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A1006" w14:textId="77777777" w:rsidR="00A041F8" w:rsidRPr="002E6DF0" w:rsidRDefault="00A041F8" w:rsidP="00A041F8">
      <w:pPr>
        <w:pStyle w:val="CmqTitle1"/>
        <w:spacing w:before="240"/>
      </w:pPr>
      <w:bookmarkStart w:id="0" w:name="_Toc123029785"/>
      <w:r w:rsidRPr="002E6DF0">
        <w:t>Gene Technology Technical Advisory Committee</w:t>
      </w:r>
      <w:bookmarkEnd w:id="0"/>
    </w:p>
    <w:p w14:paraId="1F357127" w14:textId="01AFFBFC" w:rsidR="00A041F8" w:rsidRDefault="00DB4A3E" w:rsidP="00A041F8">
      <w:pPr>
        <w:pStyle w:val="CmqTitle1"/>
        <w:rPr>
          <w:szCs w:val="24"/>
        </w:rPr>
      </w:pPr>
      <w:r>
        <w:rPr>
          <w:szCs w:val="24"/>
        </w:rPr>
        <w:t>14 April 2020</w:t>
      </w:r>
    </w:p>
    <w:p w14:paraId="604296C5" w14:textId="77777777" w:rsidR="00A041F8" w:rsidRPr="002E6DF0" w:rsidRDefault="00A041F8" w:rsidP="00A041F8">
      <w:pPr>
        <w:pStyle w:val="CmqTitle1"/>
        <w:spacing w:after="240"/>
        <w:rPr>
          <w:szCs w:val="24"/>
        </w:rPr>
      </w:pPr>
      <w:r w:rsidRPr="002E6DF0">
        <w:rPr>
          <w:szCs w:val="24"/>
        </w:rPr>
        <w:t>Communiqué</w:t>
      </w:r>
    </w:p>
    <w:p w14:paraId="759EE6D8" w14:textId="37C8C5F7" w:rsidR="00A041F8" w:rsidRPr="002E6DF0" w:rsidRDefault="00A041F8" w:rsidP="00A041F8">
      <w:pPr>
        <w:pStyle w:val="CmqTitle2"/>
        <w:ind w:left="0"/>
      </w:pPr>
      <w:r w:rsidRPr="004D6AA0">
        <w:t>This Communiqué co</w:t>
      </w:r>
      <w:r>
        <w:t>v</w:t>
      </w:r>
      <w:r w:rsidR="0039278E">
        <w:t>ers matters considered at the 1</w:t>
      </w:r>
      <w:r w:rsidR="00DB4A3E">
        <w:t>9</w:t>
      </w:r>
      <w:r w:rsidRPr="0092725D">
        <w:rPr>
          <w:vertAlign w:val="superscript"/>
        </w:rPr>
        <w:t>th</w:t>
      </w:r>
      <w:r>
        <w:t xml:space="preserve"> video conference</w:t>
      </w:r>
      <w:r w:rsidRPr="0092725D">
        <w:t xml:space="preserve"> </w:t>
      </w:r>
      <w:r w:rsidRPr="004D6AA0">
        <w:t xml:space="preserve">of the </w:t>
      </w:r>
      <w:r>
        <w:br/>
      </w:r>
      <w:r w:rsidRPr="004D6AA0">
        <w:t>Gene Technology Technical Advisory Committee (</w:t>
      </w:r>
      <w:r w:rsidR="00DB4A3E">
        <w:t>14 April 2020</w:t>
      </w:r>
      <w:r w:rsidRPr="004D6AA0">
        <w:t>)</w:t>
      </w:r>
    </w:p>
    <w:p w14:paraId="6C0AE028" w14:textId="77777777" w:rsidR="00A041F8" w:rsidRPr="002E6DF0" w:rsidRDefault="00A041F8" w:rsidP="00A041F8">
      <w:pPr>
        <w:pStyle w:val="BodyText"/>
        <w:tabs>
          <w:tab w:val="left" w:pos="2410"/>
        </w:tabs>
        <w:spacing w:before="240"/>
        <w:rPr>
          <w:color w:val="auto"/>
        </w:rPr>
      </w:pPr>
      <w:r w:rsidRPr="002E6DF0">
        <w:rPr>
          <w:color w:val="auto"/>
        </w:rPr>
        <w:t xml:space="preserve">The Gene Technology Technical Advisory Committee (GTTAC) is a statutory advisory committee established under the </w:t>
      </w:r>
      <w:r w:rsidRPr="002E6DF0">
        <w:rPr>
          <w:i/>
          <w:color w:val="auto"/>
        </w:rPr>
        <w:t>Gene Technology Act 2000</w:t>
      </w:r>
      <w:r w:rsidRPr="002E6DF0">
        <w:rPr>
          <w:color w:val="auto"/>
        </w:rPr>
        <w:t xml:space="preserve"> (the Act) to provide scientific and technical advice to the Gene Technology Regulator (the Regulator) and the Legislative and Governance Forum on Gene Technology. </w:t>
      </w:r>
    </w:p>
    <w:p w14:paraId="6E34E303" w14:textId="77777777" w:rsidR="006275F9" w:rsidRDefault="006275F9" w:rsidP="006275F9">
      <w:pPr>
        <w:pStyle w:val="BodyText"/>
        <w:rPr>
          <w:color w:val="auto"/>
        </w:rPr>
      </w:pPr>
      <w:r>
        <w:rPr>
          <w:color w:val="auto"/>
        </w:rPr>
        <w:t xml:space="preserve">GTTAC members were appointed </w:t>
      </w:r>
      <w:r w:rsidRPr="00C34ED8">
        <w:rPr>
          <w:color w:val="auto"/>
        </w:rPr>
        <w:t>by the Minister for Aged Care and Senior Australians and Minister for Youth and Sport, Senator the Hon Richard Colbeck</w:t>
      </w:r>
      <w:r>
        <w:rPr>
          <w:color w:val="auto"/>
        </w:rPr>
        <w:t>, for a three year term commencing</w:t>
      </w:r>
      <w:r w:rsidRPr="0092717F">
        <w:rPr>
          <w:color w:val="auto"/>
        </w:rPr>
        <w:t xml:space="preserve"> 1 February 20</w:t>
      </w:r>
      <w:r>
        <w:rPr>
          <w:color w:val="auto"/>
        </w:rPr>
        <w:t>20</w:t>
      </w:r>
      <w:r w:rsidRPr="0092717F">
        <w:rPr>
          <w:color w:val="auto"/>
        </w:rPr>
        <w:t xml:space="preserve">. The term </w:t>
      </w:r>
      <w:r>
        <w:rPr>
          <w:color w:val="auto"/>
        </w:rPr>
        <w:t>of</w:t>
      </w:r>
      <w:r w:rsidRPr="0092717F">
        <w:rPr>
          <w:color w:val="auto"/>
        </w:rPr>
        <w:t xml:space="preserve"> the previous Com</w:t>
      </w:r>
      <w:r>
        <w:rPr>
          <w:color w:val="auto"/>
        </w:rPr>
        <w:t>mittee expired on 31 January 2020</w:t>
      </w:r>
    </w:p>
    <w:p w14:paraId="784649C0" w14:textId="70F60EE0" w:rsidR="00A041F8" w:rsidRPr="002E6DF0" w:rsidRDefault="00A041F8" w:rsidP="00A041F8">
      <w:pPr>
        <w:pStyle w:val="BodyText"/>
        <w:rPr>
          <w:color w:val="auto"/>
        </w:rPr>
      </w:pPr>
      <w:r w:rsidRPr="002E6DF0">
        <w:rPr>
          <w:color w:val="auto"/>
        </w:rPr>
        <w:t xml:space="preserve">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w:t>
      </w:r>
      <w:r>
        <w:rPr>
          <w:color w:val="auto"/>
        </w:rPr>
        <w:t>c</w:t>
      </w:r>
      <w:r w:rsidRPr="002E6DF0">
        <w:rPr>
          <w:color w:val="auto"/>
        </w:rPr>
        <w:t xml:space="preserve">ommittee resolutions given to the Regulator. The Communiqué also provides an overview of any other </w:t>
      </w:r>
      <w:r>
        <w:rPr>
          <w:color w:val="auto"/>
        </w:rPr>
        <w:t>deliberations of the committee.</w:t>
      </w:r>
      <w:r w:rsidR="00FF482B">
        <w:rPr>
          <w:color w:val="auto"/>
        </w:rPr>
        <w:t xml:space="preserve"> </w:t>
      </w:r>
      <w:r w:rsidR="00FF482B" w:rsidRPr="00FF482B">
        <w:rPr>
          <w:color w:val="auto"/>
        </w:rPr>
        <w:t>It does not include i</w:t>
      </w:r>
      <w:r w:rsidR="00FF482B">
        <w:rPr>
          <w:color w:val="auto"/>
        </w:rPr>
        <w:t xml:space="preserve">nformation which is treated as </w:t>
      </w:r>
      <w:r w:rsidR="00E45F01">
        <w:rPr>
          <w:color w:val="auto"/>
        </w:rPr>
        <w:t xml:space="preserve">Confidential </w:t>
      </w:r>
      <w:r w:rsidR="00FF482B">
        <w:rPr>
          <w:color w:val="auto"/>
        </w:rPr>
        <w:t>Commercial I</w:t>
      </w:r>
      <w:r w:rsidR="00FF482B" w:rsidRPr="00FF482B">
        <w:rPr>
          <w:color w:val="auto"/>
        </w:rPr>
        <w:t>nformation in accordance with the</w:t>
      </w:r>
      <w:r w:rsidR="00FF482B">
        <w:rPr>
          <w:color w:val="auto"/>
        </w:rPr>
        <w:t xml:space="preserve"> Act.</w:t>
      </w:r>
    </w:p>
    <w:p w14:paraId="40C49883" w14:textId="77777777" w:rsidR="00DB4A3E" w:rsidRPr="00857464" w:rsidRDefault="00DB4A3E" w:rsidP="00DB4A3E">
      <w:pPr>
        <w:pStyle w:val="CmqHeading1"/>
        <w:spacing w:line="264" w:lineRule="auto"/>
      </w:pPr>
      <w:r w:rsidRPr="00857464">
        <w:t>Dealings Involving the Intentional Release of a GMO</w:t>
      </w:r>
    </w:p>
    <w:p w14:paraId="511BB0F5" w14:textId="77777777" w:rsidR="00DB4A3E" w:rsidRPr="00857464" w:rsidRDefault="00DB4A3E" w:rsidP="00DB4A3E">
      <w:pPr>
        <w:pStyle w:val="BodyText"/>
        <w:spacing w:line="264" w:lineRule="auto"/>
        <w:rPr>
          <w:rFonts w:cs="Arial"/>
          <w:color w:val="auto"/>
          <w:szCs w:val="22"/>
        </w:rPr>
      </w:pPr>
      <w:r w:rsidRPr="00857464">
        <w:rPr>
          <w:rFonts w:cs="Arial"/>
          <w:color w:val="auto"/>
          <w:szCs w:val="22"/>
        </w:rPr>
        <w:t>Dealings involving the Intentional Release (DIR) of a GMO into the environment can involve a limited and controlled release (clinical trial or field trial) or a commercial (general) release.</w:t>
      </w:r>
    </w:p>
    <w:p w14:paraId="2E608FE8" w14:textId="77777777" w:rsidR="00DB4A3E" w:rsidRPr="00857464" w:rsidRDefault="00DB4A3E" w:rsidP="00DB4A3E">
      <w:pPr>
        <w:pStyle w:val="BodyText"/>
        <w:spacing w:line="264" w:lineRule="auto"/>
        <w:rPr>
          <w:rFonts w:cs="Arial"/>
          <w:color w:val="auto"/>
          <w:szCs w:val="22"/>
        </w:rPr>
      </w:pPr>
      <w:r w:rsidRPr="00857464">
        <w:rPr>
          <w:rFonts w:cs="Arial"/>
          <w:color w:val="auto"/>
          <w:szCs w:val="22"/>
        </w:rPr>
        <w:t xml:space="preserve">The Regulator must seek GTTAC advice during the preparation of a RARMP for DIR applications </w:t>
      </w:r>
      <w:r>
        <w:rPr>
          <w:rFonts w:cs="Arial"/>
          <w:color w:val="auto"/>
          <w:szCs w:val="22"/>
        </w:rPr>
        <w:t>that</w:t>
      </w:r>
      <w:r w:rsidRPr="00857464">
        <w:rPr>
          <w:rFonts w:cs="Arial"/>
          <w:color w:val="auto"/>
          <w:szCs w:val="22"/>
        </w:rPr>
        <w:t xml:space="preserve"> do not qualify as limited and controlled under Section 50A of the Act. The Regulator must also seek advice from GTTAC on RARMPs that have been prepared for all DIR applications.</w:t>
      </w:r>
    </w:p>
    <w:p w14:paraId="497D7625" w14:textId="77777777" w:rsidR="00DB4A3E" w:rsidRPr="00857464" w:rsidRDefault="00DB4A3E" w:rsidP="00DB4A3E">
      <w:pPr>
        <w:pStyle w:val="BodyText"/>
        <w:spacing w:line="264" w:lineRule="auto"/>
        <w:rPr>
          <w:rFonts w:cs="Arial"/>
          <w:color w:val="auto"/>
          <w:szCs w:val="22"/>
        </w:rPr>
      </w:pPr>
      <w:r w:rsidRPr="00857464">
        <w:rPr>
          <w:rFonts w:cs="Arial"/>
          <w:color w:val="auto"/>
          <w:szCs w:val="22"/>
        </w:rPr>
        <w:t xml:space="preserve">The RARMP for every DIR licence application is issued for public consultation. Information on how to obtain copies of DIR applications and RARMPs is provided at the end of this document. </w:t>
      </w:r>
    </w:p>
    <w:p w14:paraId="6D2A527D" w14:textId="77777777" w:rsidR="00DB4A3E" w:rsidRPr="00E5548A" w:rsidRDefault="00DB4A3E" w:rsidP="00DB4A3E">
      <w:pPr>
        <w:pStyle w:val="Cmqheading2"/>
        <w:spacing w:line="264" w:lineRule="auto"/>
      </w:pPr>
      <w:r w:rsidRPr="00E5548A">
        <w:t>Advice on CONSULTATION RARMPS – limited and controlled release</w:t>
      </w:r>
    </w:p>
    <w:p w14:paraId="0BAB7894" w14:textId="3C70CCEC" w:rsidR="00DB4A3E" w:rsidRPr="00E5548A" w:rsidRDefault="004A475C" w:rsidP="00DB4A3E">
      <w:pPr>
        <w:pStyle w:val="Cmqheading3"/>
        <w:spacing w:line="264" w:lineRule="auto"/>
      </w:pPr>
      <w:hyperlink r:id="rId11" w:history="1">
        <w:r w:rsidR="00DB4A3E" w:rsidRPr="00DB4A3E">
          <w:rPr>
            <w:rStyle w:val="Hyperlink"/>
          </w:rPr>
          <w:t>DIR 171</w:t>
        </w:r>
      </w:hyperlink>
      <w:r w:rsidR="00DB4A3E" w:rsidRPr="00E5548A">
        <w:t xml:space="preserve"> – </w:t>
      </w:r>
      <w:bookmarkStart w:id="1" w:name="_GoBack"/>
      <w:r w:rsidR="00DB4A3E">
        <w:t xml:space="preserve">Clinical trial </w:t>
      </w:r>
      <w:bookmarkEnd w:id="1"/>
      <w:r w:rsidR="00DB4A3E">
        <w:t xml:space="preserve">of genetically modified Influenza vaccine (H3N2 M2SR) </w:t>
      </w:r>
    </w:p>
    <w:p w14:paraId="436778F2" w14:textId="577DCF1C" w:rsidR="00DB4A3E" w:rsidRDefault="00DB4A3E" w:rsidP="00DB4A3E">
      <w:pPr>
        <w:pStyle w:val="BodyText"/>
        <w:spacing w:line="264" w:lineRule="auto"/>
        <w:rPr>
          <w:color w:val="auto"/>
        </w:rPr>
      </w:pPr>
      <w:r w:rsidRPr="00E5548A">
        <w:rPr>
          <w:color w:val="auto"/>
        </w:rPr>
        <w:t>L</w:t>
      </w:r>
      <w:r>
        <w:rPr>
          <w:color w:val="auto"/>
        </w:rPr>
        <w:t>icence application DIR 171</w:t>
      </w:r>
      <w:r w:rsidRPr="00E5548A">
        <w:rPr>
          <w:color w:val="auto"/>
        </w:rPr>
        <w:t xml:space="preserve"> </w:t>
      </w:r>
      <w:r w:rsidR="001410D9">
        <w:rPr>
          <w:color w:val="auto"/>
        </w:rPr>
        <w:t xml:space="preserve">from </w:t>
      </w:r>
      <w:r>
        <w:rPr>
          <w:color w:val="auto"/>
        </w:rPr>
        <w:t xml:space="preserve">Clinical Network Services </w:t>
      </w:r>
      <w:r w:rsidR="00740B72">
        <w:rPr>
          <w:color w:val="auto"/>
        </w:rPr>
        <w:t xml:space="preserve">is for a clinical trial of a live genetically modified (GM) vaccine for the protection of people against </w:t>
      </w:r>
      <w:r w:rsidR="00740B72" w:rsidRPr="00740B72">
        <w:rPr>
          <w:i/>
          <w:color w:val="auto"/>
        </w:rPr>
        <w:t>Influenza (flu) virus</w:t>
      </w:r>
      <w:r w:rsidR="00740B72">
        <w:rPr>
          <w:color w:val="auto"/>
        </w:rPr>
        <w:t xml:space="preserve"> infection. </w:t>
      </w:r>
    </w:p>
    <w:p w14:paraId="0861F224" w14:textId="5F918986" w:rsidR="00905C27" w:rsidRDefault="00740B72" w:rsidP="00DB4A3E">
      <w:pPr>
        <w:pStyle w:val="BodyText"/>
        <w:spacing w:line="264" w:lineRule="auto"/>
      </w:pPr>
      <w:r>
        <w:t>The proposed trial would be conducted at up to four medical facilities, where up to 240 trial participants would be vaccinated over a three year period. The trial would assess the safety and effectiveness of the GM vaccine for children.</w:t>
      </w:r>
    </w:p>
    <w:p w14:paraId="055AAC90" w14:textId="6A1A2748" w:rsidR="00740B72" w:rsidRDefault="00DB4A3E" w:rsidP="00DB4A3E">
      <w:pPr>
        <w:pStyle w:val="BodyText"/>
        <w:spacing w:line="264" w:lineRule="auto"/>
        <w:rPr>
          <w:color w:val="auto"/>
        </w:rPr>
      </w:pPr>
      <w:r w:rsidRPr="003955E3">
        <w:rPr>
          <w:color w:val="auto"/>
        </w:rPr>
        <w:lastRenderedPageBreak/>
        <w:t xml:space="preserve">The Committee noted the key points in the consultation RARMP including the conclusion that this </w:t>
      </w:r>
      <w:r w:rsidR="00740B72">
        <w:rPr>
          <w:color w:val="auto"/>
        </w:rPr>
        <w:t>clinical trial</w:t>
      </w:r>
      <w:r w:rsidRPr="003955E3">
        <w:rPr>
          <w:color w:val="auto"/>
        </w:rPr>
        <w:t xml:space="preserve"> poses negligible risks to people or the environment. </w:t>
      </w:r>
    </w:p>
    <w:p w14:paraId="4FF4685D" w14:textId="77777777" w:rsidR="00E37FA5" w:rsidRPr="000C1CB5" w:rsidRDefault="00E37FA5" w:rsidP="00E37FA5">
      <w:pPr>
        <w:pStyle w:val="BodyText"/>
        <w:spacing w:line="264" w:lineRule="auto"/>
        <w:rPr>
          <w:color w:val="auto"/>
        </w:rPr>
      </w:pPr>
      <w:r w:rsidRPr="000C1CB5">
        <w:rPr>
          <w:color w:val="auto"/>
        </w:rPr>
        <w:t>The Committee discussed several topics related to the potential for the GMO to spread or persist, including:</w:t>
      </w:r>
    </w:p>
    <w:p w14:paraId="6E54A541" w14:textId="06904F3E" w:rsidR="00E37FA5" w:rsidRPr="000C1CB5" w:rsidRDefault="00E37FA5" w:rsidP="00E37FA5">
      <w:pPr>
        <w:pStyle w:val="BodyText"/>
        <w:numPr>
          <w:ilvl w:val="0"/>
          <w:numId w:val="17"/>
        </w:numPr>
        <w:spacing w:line="264" w:lineRule="auto"/>
        <w:ind w:left="714" w:hanging="357"/>
        <w:contextualSpacing/>
        <w:rPr>
          <w:color w:val="auto"/>
        </w:rPr>
      </w:pPr>
      <w:r w:rsidRPr="000C1CB5">
        <w:rPr>
          <w:color w:val="auto"/>
        </w:rPr>
        <w:t xml:space="preserve">how quickly the GMO would be </w:t>
      </w:r>
      <w:r w:rsidR="006275F9">
        <w:rPr>
          <w:color w:val="auto"/>
        </w:rPr>
        <w:t>cleared by trial participants</w:t>
      </w:r>
      <w:r w:rsidRPr="000C1CB5">
        <w:rPr>
          <w:color w:val="auto"/>
        </w:rPr>
        <w:t xml:space="preserve"> </w:t>
      </w:r>
    </w:p>
    <w:p w14:paraId="405496EA" w14:textId="77777777" w:rsidR="00E37FA5" w:rsidRPr="000C1CB5" w:rsidRDefault="00E37FA5" w:rsidP="00E37FA5">
      <w:pPr>
        <w:pStyle w:val="BodyText"/>
        <w:numPr>
          <w:ilvl w:val="0"/>
          <w:numId w:val="17"/>
        </w:numPr>
        <w:spacing w:line="264" w:lineRule="auto"/>
        <w:ind w:left="714" w:hanging="357"/>
        <w:contextualSpacing/>
        <w:rPr>
          <w:color w:val="auto"/>
        </w:rPr>
      </w:pPr>
      <w:r w:rsidRPr="000C1CB5">
        <w:rPr>
          <w:color w:val="auto"/>
        </w:rPr>
        <w:t>how long trial participants would remain on the trial site post-inoculation</w:t>
      </w:r>
    </w:p>
    <w:p w14:paraId="082E62DB" w14:textId="77777777" w:rsidR="00E37FA5" w:rsidRPr="000C1CB5" w:rsidRDefault="00E37FA5" w:rsidP="00E37FA5">
      <w:pPr>
        <w:pStyle w:val="BodyText"/>
        <w:numPr>
          <w:ilvl w:val="0"/>
          <w:numId w:val="17"/>
        </w:numPr>
        <w:spacing w:line="264" w:lineRule="auto"/>
        <w:ind w:left="714" w:hanging="357"/>
        <w:contextualSpacing/>
        <w:rPr>
          <w:color w:val="auto"/>
        </w:rPr>
      </w:pPr>
      <w:r w:rsidRPr="000C1CB5">
        <w:rPr>
          <w:color w:val="auto"/>
        </w:rPr>
        <w:t>the potential for spread of the GM vaccine to caregivers/parents</w:t>
      </w:r>
    </w:p>
    <w:p w14:paraId="769328D9" w14:textId="53198D15" w:rsidR="00E37FA5" w:rsidRPr="000C1CB5" w:rsidRDefault="00E37FA5" w:rsidP="00E37FA5">
      <w:pPr>
        <w:pStyle w:val="BodyText"/>
        <w:numPr>
          <w:ilvl w:val="0"/>
          <w:numId w:val="17"/>
        </w:numPr>
        <w:spacing w:line="264" w:lineRule="auto"/>
        <w:ind w:left="714" w:hanging="357"/>
        <w:rPr>
          <w:color w:val="auto"/>
        </w:rPr>
      </w:pPr>
      <w:r w:rsidRPr="000C1CB5">
        <w:rPr>
          <w:color w:val="auto"/>
        </w:rPr>
        <w:t>the potential for the GM vaccine to persist in the clinical facilities</w:t>
      </w:r>
      <w:r w:rsidR="00CD4F2B">
        <w:rPr>
          <w:color w:val="auto"/>
        </w:rPr>
        <w:t>.</w:t>
      </w:r>
    </w:p>
    <w:p w14:paraId="7468035D" w14:textId="740A56A6" w:rsidR="00E37FA5" w:rsidRDefault="00E37FA5" w:rsidP="00E37FA5">
      <w:pPr>
        <w:pStyle w:val="BodyText"/>
        <w:spacing w:line="264" w:lineRule="auto"/>
        <w:rPr>
          <w:color w:val="auto"/>
        </w:rPr>
      </w:pPr>
      <w:r>
        <w:rPr>
          <w:color w:val="auto"/>
        </w:rPr>
        <w:t xml:space="preserve">In addition, members discussed the ages of the trial participants in the context of appropriate dose rates, and </w:t>
      </w:r>
      <w:r w:rsidR="000C1CB5" w:rsidRPr="000C1CB5">
        <w:rPr>
          <w:color w:val="auto"/>
        </w:rPr>
        <w:t xml:space="preserve">the </w:t>
      </w:r>
      <w:r w:rsidR="00FD0F1C">
        <w:rPr>
          <w:color w:val="auto"/>
        </w:rPr>
        <w:t xml:space="preserve">potential for </w:t>
      </w:r>
      <w:r w:rsidR="000C1CB5" w:rsidRPr="000C1CB5">
        <w:rPr>
          <w:color w:val="auto"/>
        </w:rPr>
        <w:t>reassortment between the GMO and non-GM influenza.</w:t>
      </w:r>
    </w:p>
    <w:p w14:paraId="66387CF2" w14:textId="7B42BB35" w:rsidR="00DB4A3E" w:rsidRPr="000C1CB5" w:rsidRDefault="00DB4A3E" w:rsidP="000C1CB5">
      <w:pPr>
        <w:pStyle w:val="BodyText"/>
        <w:spacing w:before="120" w:line="264" w:lineRule="auto"/>
        <w:rPr>
          <w:color w:val="auto"/>
        </w:rPr>
      </w:pPr>
      <w:r w:rsidRPr="000C1CB5">
        <w:rPr>
          <w:color w:val="auto"/>
        </w:rPr>
        <w:t>GTTAC agreed to the following resolutions.</w:t>
      </w:r>
    </w:p>
    <w:tbl>
      <w:tblPr>
        <w:tblStyle w:val="TableGrid"/>
        <w:tblW w:w="0" w:type="auto"/>
        <w:tblInd w:w="279" w:type="dxa"/>
        <w:tblLook w:val="04A0" w:firstRow="1" w:lastRow="0" w:firstColumn="1" w:lastColumn="0" w:noHBand="0" w:noVBand="1"/>
        <w:tblCaption w:val="Resolutions  for DIR 169"/>
        <w:tblDescription w:val="This table has one row"/>
      </w:tblPr>
      <w:tblGrid>
        <w:gridCol w:w="9350"/>
      </w:tblGrid>
      <w:tr w:rsidR="00740B72" w:rsidRPr="00740B72" w14:paraId="2210F852" w14:textId="77777777" w:rsidTr="008B7F0A">
        <w:trPr>
          <w:tblHeader/>
        </w:trPr>
        <w:tc>
          <w:tcPr>
            <w:tcW w:w="9350" w:type="dxa"/>
          </w:tcPr>
          <w:p w14:paraId="201E30E0" w14:textId="77777777" w:rsidR="00DB4A3E" w:rsidRPr="001410D9" w:rsidRDefault="00DB4A3E" w:rsidP="008B7F0A">
            <w:pPr>
              <w:pStyle w:val="Default"/>
              <w:widowControl w:val="0"/>
              <w:spacing w:before="240" w:after="120" w:line="264" w:lineRule="auto"/>
              <w:rPr>
                <w:rFonts w:ascii="Arial" w:hAnsi="Arial" w:cs="Arial"/>
                <w:b/>
                <w:color w:val="auto"/>
                <w:sz w:val="22"/>
                <w:szCs w:val="22"/>
              </w:rPr>
            </w:pPr>
            <w:r w:rsidRPr="001410D9">
              <w:rPr>
                <w:rFonts w:ascii="Arial" w:hAnsi="Arial" w:cs="Arial"/>
                <w:b/>
                <w:color w:val="auto"/>
                <w:sz w:val="22"/>
                <w:szCs w:val="22"/>
              </w:rPr>
              <w:t>Resolutions</w:t>
            </w:r>
          </w:p>
          <w:p w14:paraId="5E80D3D5" w14:textId="77777777" w:rsidR="001410D9" w:rsidRPr="001410D9" w:rsidRDefault="001410D9" w:rsidP="001410D9">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1410D9">
              <w:t>The Regulator should consider clarifying timeframes for clearance after administration and whether related risk management measures are warranted.</w:t>
            </w:r>
          </w:p>
          <w:p w14:paraId="0F4B7E34" w14:textId="7F27A3FF" w:rsidR="001410D9" w:rsidRPr="001410D9" w:rsidRDefault="001410D9" w:rsidP="001410D9">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1410D9">
              <w:t xml:space="preserve">The Regulator should further consider whether PPE </w:t>
            </w:r>
            <w:r w:rsidR="001B1DC0">
              <w:t xml:space="preserve">[Personal Protective Equipment] </w:t>
            </w:r>
            <w:r w:rsidRPr="001410D9">
              <w:t>is appropriate for caregivers/parents or any other people present at administration.</w:t>
            </w:r>
          </w:p>
          <w:p w14:paraId="5E3552FA" w14:textId="77777777" w:rsidR="001410D9" w:rsidRPr="001410D9" w:rsidRDefault="001410D9" w:rsidP="001410D9">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1410D9">
              <w:t>The Regulator should further consider risks associated with administration to children.</w:t>
            </w:r>
          </w:p>
          <w:p w14:paraId="36C797A2" w14:textId="65837C87" w:rsidR="00DB4A3E" w:rsidRPr="001410D9" w:rsidRDefault="001410D9" w:rsidP="001410D9">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1410D9">
              <w:t>The Regulator should further consider the risks associated with possible reassortment.</w:t>
            </w:r>
          </w:p>
        </w:tc>
      </w:tr>
    </w:tbl>
    <w:p w14:paraId="2F4A6928" w14:textId="1BAF5E23" w:rsidR="000C1CB5" w:rsidRDefault="000C1CB5" w:rsidP="000C1CB5">
      <w:pPr>
        <w:pStyle w:val="Cmqheading2"/>
        <w:spacing w:line="264" w:lineRule="auto"/>
      </w:pPr>
      <w:r w:rsidRPr="00E5548A">
        <w:t xml:space="preserve">Advice on </w:t>
      </w:r>
      <w:r w:rsidR="001B1DC0">
        <w:t>applications</w:t>
      </w:r>
      <w:r w:rsidRPr="00E5548A">
        <w:t xml:space="preserve"> – </w:t>
      </w:r>
      <w:r>
        <w:t>commercial</w:t>
      </w:r>
      <w:r w:rsidRPr="00E5548A">
        <w:t xml:space="preserve"> release</w:t>
      </w:r>
    </w:p>
    <w:p w14:paraId="1C3F605D" w14:textId="59BE19E8" w:rsidR="000C1CB5" w:rsidRDefault="004A475C" w:rsidP="000046DB">
      <w:pPr>
        <w:pStyle w:val="Cmqheading3"/>
        <w:spacing w:line="264" w:lineRule="auto"/>
        <w:ind w:left="1077" w:hanging="1077"/>
      </w:pPr>
      <w:hyperlink r:id="rId12" w:history="1">
        <w:r w:rsidR="000C1CB5" w:rsidRPr="000046DB">
          <w:rPr>
            <w:rStyle w:val="Hyperlink"/>
          </w:rPr>
          <w:t>DIR 173</w:t>
        </w:r>
      </w:hyperlink>
      <w:r w:rsidR="000C1CB5" w:rsidRPr="000C1CB5">
        <w:t xml:space="preserve"> – Commercial release of cotton (</w:t>
      </w:r>
      <w:r w:rsidR="000C1CB5" w:rsidRPr="000046DB">
        <w:rPr>
          <w:i/>
        </w:rPr>
        <w:t>Gossypium hirsutum</w:t>
      </w:r>
      <w:r w:rsidR="000C1CB5" w:rsidRPr="000C1CB5">
        <w:t xml:space="preserve">) </w:t>
      </w:r>
      <w:r w:rsidR="000046DB">
        <w:t>genetically modified</w:t>
      </w:r>
      <w:r w:rsidR="000C1CB5" w:rsidRPr="000C1CB5">
        <w:t xml:space="preserve"> for herbicide tolerance</w:t>
      </w:r>
    </w:p>
    <w:p w14:paraId="6CF4CACC" w14:textId="3875149F" w:rsidR="000046DB" w:rsidRDefault="000046DB" w:rsidP="000046DB">
      <w:pPr>
        <w:pStyle w:val="BodyText"/>
        <w:spacing w:line="264" w:lineRule="auto"/>
        <w:rPr>
          <w:color w:val="auto"/>
        </w:rPr>
      </w:pPr>
      <w:r w:rsidRPr="000046DB">
        <w:rPr>
          <w:color w:val="auto"/>
        </w:rPr>
        <w:t xml:space="preserve">Monsanto Australia </w:t>
      </w:r>
      <w:r>
        <w:rPr>
          <w:color w:val="auto"/>
        </w:rPr>
        <w:t>is seeking approval for commercial cultivation in Australia of a GM cotton line (MON 88701) that has been modified for herbicide tolerance.</w:t>
      </w:r>
      <w:r w:rsidR="00496576">
        <w:rPr>
          <w:color w:val="auto"/>
        </w:rPr>
        <w:t xml:space="preserve"> If a licence is issued, t</w:t>
      </w:r>
      <w:r w:rsidR="00496576">
        <w:t>he GM cotton could enter general commerce, including use in human food and animal feed</w:t>
      </w:r>
      <w:r w:rsidRPr="000046DB">
        <w:rPr>
          <w:color w:val="auto"/>
        </w:rPr>
        <w:t>.</w:t>
      </w:r>
    </w:p>
    <w:p w14:paraId="7EA4E2B0" w14:textId="0CEFE793" w:rsidR="00496576" w:rsidRDefault="00496576" w:rsidP="000046DB">
      <w:pPr>
        <w:pStyle w:val="BodyText"/>
        <w:spacing w:line="264" w:lineRule="auto"/>
        <w:rPr>
          <w:szCs w:val="22"/>
        </w:rPr>
      </w:pPr>
      <w:r>
        <w:rPr>
          <w:szCs w:val="22"/>
        </w:rPr>
        <w:t>MON 88701 contains two introduced genes (</w:t>
      </w:r>
      <w:r>
        <w:rPr>
          <w:i/>
          <w:iCs/>
          <w:szCs w:val="22"/>
        </w:rPr>
        <w:t xml:space="preserve">dmo </w:t>
      </w:r>
      <w:r>
        <w:rPr>
          <w:szCs w:val="22"/>
        </w:rPr>
        <w:t xml:space="preserve">and </w:t>
      </w:r>
      <w:r>
        <w:rPr>
          <w:i/>
          <w:iCs/>
          <w:szCs w:val="22"/>
        </w:rPr>
        <w:t>bar</w:t>
      </w:r>
      <w:r>
        <w:rPr>
          <w:szCs w:val="22"/>
        </w:rPr>
        <w:t xml:space="preserve">) that confer tolerance to the herbicides dicamba and glufosinate, respectively. The modification in MON88701, in combination with other insect resistance and herbicide tolerance traits, has been approved for commercial release </w:t>
      </w:r>
      <w:r w:rsidR="006F6761">
        <w:rPr>
          <w:szCs w:val="22"/>
        </w:rPr>
        <w:t>under licence DIR 145</w:t>
      </w:r>
      <w:r>
        <w:rPr>
          <w:szCs w:val="22"/>
        </w:rPr>
        <w:t>.</w:t>
      </w:r>
    </w:p>
    <w:p w14:paraId="0C29363A" w14:textId="2114F077" w:rsidR="003C0031" w:rsidRDefault="00496576" w:rsidP="000046DB">
      <w:pPr>
        <w:pStyle w:val="BodyText"/>
        <w:spacing w:line="264" w:lineRule="auto"/>
        <w:rPr>
          <w:szCs w:val="22"/>
        </w:rPr>
      </w:pPr>
      <w:r>
        <w:rPr>
          <w:szCs w:val="22"/>
        </w:rPr>
        <w:t xml:space="preserve">GTTAC </w:t>
      </w:r>
      <w:r w:rsidR="003C0031">
        <w:rPr>
          <w:szCs w:val="22"/>
        </w:rPr>
        <w:t>discussed the issues identified for consideration in the consultation RARMP being prepared by the Regulator for this application, including weediness and invasiveness</w:t>
      </w:r>
      <w:r w:rsidR="00E02CF3">
        <w:rPr>
          <w:szCs w:val="22"/>
        </w:rPr>
        <w:t>, as well a</w:t>
      </w:r>
      <w:r w:rsidR="00092653">
        <w:rPr>
          <w:szCs w:val="22"/>
        </w:rPr>
        <w:t>s</w:t>
      </w:r>
      <w:r w:rsidR="00E02CF3">
        <w:rPr>
          <w:szCs w:val="22"/>
        </w:rPr>
        <w:t xml:space="preserve"> the analysis of</w:t>
      </w:r>
      <w:r w:rsidR="003C0031">
        <w:rPr>
          <w:szCs w:val="22"/>
        </w:rPr>
        <w:t xml:space="preserve"> genotype stability. </w:t>
      </w:r>
    </w:p>
    <w:p w14:paraId="088D254C" w14:textId="31EFE873" w:rsidR="00496576" w:rsidRDefault="00496576" w:rsidP="000046DB">
      <w:pPr>
        <w:pStyle w:val="BodyText"/>
        <w:spacing w:line="264" w:lineRule="auto"/>
        <w:rPr>
          <w:szCs w:val="22"/>
        </w:rPr>
      </w:pPr>
      <w:r>
        <w:rPr>
          <w:szCs w:val="22"/>
        </w:rPr>
        <w:t>Members discussed the use of herbicide tolerance traits</w:t>
      </w:r>
      <w:r w:rsidR="00133D40">
        <w:rPr>
          <w:szCs w:val="22"/>
        </w:rPr>
        <w:t xml:space="preserve"> </w:t>
      </w:r>
      <w:r w:rsidR="003C0031">
        <w:rPr>
          <w:szCs w:val="22"/>
        </w:rPr>
        <w:t xml:space="preserve">more broadly. </w:t>
      </w:r>
      <w:r w:rsidR="00133D40">
        <w:rPr>
          <w:szCs w:val="22"/>
        </w:rPr>
        <w:t>The Committee was a</w:t>
      </w:r>
      <w:r w:rsidR="006F6761">
        <w:rPr>
          <w:szCs w:val="22"/>
        </w:rPr>
        <w:t xml:space="preserve">dvised that </w:t>
      </w:r>
      <w:r w:rsidR="00133D40">
        <w:rPr>
          <w:szCs w:val="22"/>
        </w:rPr>
        <w:t xml:space="preserve">the </w:t>
      </w:r>
      <w:r w:rsidR="006F6761">
        <w:rPr>
          <w:szCs w:val="22"/>
        </w:rPr>
        <w:t>Australian Pesticides and Veterinary Medicines Authority</w:t>
      </w:r>
      <w:r w:rsidR="00092653">
        <w:rPr>
          <w:szCs w:val="22"/>
        </w:rPr>
        <w:t xml:space="preserve"> </w:t>
      </w:r>
      <w:r w:rsidR="004227F7">
        <w:rPr>
          <w:szCs w:val="22"/>
        </w:rPr>
        <w:t xml:space="preserve">(APVMA) </w:t>
      </w:r>
      <w:r w:rsidR="00092653">
        <w:rPr>
          <w:szCs w:val="22"/>
        </w:rPr>
        <w:t>is responsible for regulating herbicides</w:t>
      </w:r>
      <w:r w:rsidR="00E02CF3">
        <w:rPr>
          <w:szCs w:val="22"/>
        </w:rPr>
        <w:t xml:space="preserve">, </w:t>
      </w:r>
      <w:r w:rsidR="004227F7">
        <w:rPr>
          <w:szCs w:val="22"/>
        </w:rPr>
        <w:t xml:space="preserve">and there are </w:t>
      </w:r>
      <w:r w:rsidR="00E02CF3">
        <w:rPr>
          <w:szCs w:val="22"/>
        </w:rPr>
        <w:t>reciprocal consultation requirements</w:t>
      </w:r>
      <w:r w:rsidR="004227F7">
        <w:rPr>
          <w:szCs w:val="22"/>
        </w:rPr>
        <w:t xml:space="preserve"> between OGTR and APVMA</w:t>
      </w:r>
      <w:r w:rsidR="00E02CF3">
        <w:rPr>
          <w:szCs w:val="22"/>
        </w:rPr>
        <w:t xml:space="preserve">. </w:t>
      </w:r>
    </w:p>
    <w:p w14:paraId="705B2520" w14:textId="306F7A5B" w:rsidR="00DB4825" w:rsidRPr="00DB4825" w:rsidRDefault="00DB4825" w:rsidP="00DB4825">
      <w:pPr>
        <w:pStyle w:val="BodyText"/>
        <w:spacing w:before="120" w:line="264" w:lineRule="auto"/>
        <w:rPr>
          <w:color w:val="auto"/>
        </w:rPr>
      </w:pPr>
      <w:r w:rsidRPr="000C1CB5">
        <w:rPr>
          <w:color w:val="auto"/>
        </w:rPr>
        <w:t>GTTAC agreed to the following resolutions.</w:t>
      </w:r>
    </w:p>
    <w:tbl>
      <w:tblPr>
        <w:tblStyle w:val="TableGrid"/>
        <w:tblW w:w="0" w:type="auto"/>
        <w:tblLook w:val="06A0" w:firstRow="1" w:lastRow="0" w:firstColumn="1" w:lastColumn="0" w:noHBand="1" w:noVBand="1"/>
        <w:tblCaption w:val="Resolutions"/>
        <w:tblDescription w:val="A list of resolutions from this meeting."/>
      </w:tblPr>
      <w:tblGrid>
        <w:gridCol w:w="9629"/>
      </w:tblGrid>
      <w:tr w:rsidR="001E2D57" w14:paraId="44D74CC6" w14:textId="77777777" w:rsidTr="007650F4">
        <w:trPr>
          <w:tblHeader/>
        </w:trPr>
        <w:tc>
          <w:tcPr>
            <w:tcW w:w="9629" w:type="dxa"/>
          </w:tcPr>
          <w:p w14:paraId="74D90665" w14:textId="36EED77F" w:rsidR="001E2D57" w:rsidRPr="00496576" w:rsidRDefault="001E2D57" w:rsidP="00496576">
            <w:pPr>
              <w:pStyle w:val="Default"/>
              <w:widowControl w:val="0"/>
              <w:spacing w:before="240" w:after="120" w:line="264" w:lineRule="auto"/>
              <w:rPr>
                <w:rFonts w:ascii="Arial" w:hAnsi="Arial" w:cs="Arial"/>
                <w:b/>
                <w:color w:val="auto"/>
                <w:sz w:val="22"/>
                <w:szCs w:val="22"/>
              </w:rPr>
            </w:pPr>
            <w:r w:rsidRPr="00496576">
              <w:rPr>
                <w:rFonts w:ascii="Arial" w:hAnsi="Arial" w:cs="Arial"/>
                <w:b/>
                <w:color w:val="auto"/>
                <w:sz w:val="22"/>
                <w:szCs w:val="22"/>
              </w:rPr>
              <w:t>Resolutions</w:t>
            </w:r>
          </w:p>
        </w:tc>
      </w:tr>
      <w:tr w:rsidR="00496576" w14:paraId="6734B5ED" w14:textId="77777777" w:rsidTr="007650F4">
        <w:tc>
          <w:tcPr>
            <w:tcW w:w="9629" w:type="dxa"/>
          </w:tcPr>
          <w:p w14:paraId="71CAF8BA" w14:textId="77777777" w:rsidR="00496576" w:rsidRPr="00496576" w:rsidRDefault="00496576" w:rsidP="00496576">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496576">
              <w:t>The Committee agrees that those matters outlined in the agenda paper should be considered when preparing the RARMP.</w:t>
            </w:r>
          </w:p>
          <w:p w14:paraId="57C622DF" w14:textId="12B4F35B" w:rsidR="00496576" w:rsidRDefault="00496576" w:rsidP="00496576">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496576">
              <w:t>The Committee did not identify any other matters that should be considered.</w:t>
            </w:r>
          </w:p>
        </w:tc>
      </w:tr>
    </w:tbl>
    <w:p w14:paraId="2AE373D1" w14:textId="2B0B4898" w:rsidR="00496576" w:rsidRDefault="00E02CF3" w:rsidP="00E02CF3">
      <w:pPr>
        <w:pStyle w:val="Cmqheading2"/>
        <w:spacing w:line="264" w:lineRule="auto"/>
      </w:pPr>
      <w:r>
        <w:lastRenderedPageBreak/>
        <w:t xml:space="preserve">other </w:t>
      </w:r>
      <w:r w:rsidRPr="00E5548A">
        <w:t>Advice</w:t>
      </w:r>
    </w:p>
    <w:p w14:paraId="6AECC589" w14:textId="4E295F5B" w:rsidR="00E02CF3" w:rsidRDefault="004A475C" w:rsidP="00E02CF3">
      <w:pPr>
        <w:pStyle w:val="Cmqheading3"/>
        <w:keepNext/>
        <w:spacing w:line="264" w:lineRule="auto"/>
        <w:ind w:left="1162" w:hanging="1162"/>
      </w:pPr>
      <w:hyperlink r:id="rId13" w:history="1">
        <w:r w:rsidR="00E02CF3" w:rsidRPr="00545794">
          <w:rPr>
            <w:rStyle w:val="Hyperlink"/>
          </w:rPr>
          <w:t>REG-002</w:t>
        </w:r>
      </w:hyperlink>
      <w:r w:rsidR="00E02CF3">
        <w:t xml:space="preserve"> – Proposal to include dealings with cut flowers of GM carnations on the GMO Register</w:t>
      </w:r>
    </w:p>
    <w:p w14:paraId="2E632BC7" w14:textId="0211748D" w:rsidR="00E02CF3" w:rsidRDefault="00DB4825" w:rsidP="00E02CF3">
      <w:pPr>
        <w:pStyle w:val="BodyText"/>
        <w:spacing w:line="264" w:lineRule="auto"/>
        <w:rPr>
          <w:szCs w:val="22"/>
        </w:rPr>
      </w:pPr>
      <w:r>
        <w:rPr>
          <w:szCs w:val="22"/>
        </w:rPr>
        <w:t>International Flower Developments has applied to include import, transport and disposal of cut flowers from three GM carnation</w:t>
      </w:r>
      <w:r w:rsidR="004227F7">
        <w:rPr>
          <w:szCs w:val="22"/>
        </w:rPr>
        <w:t xml:space="preserve"> line</w:t>
      </w:r>
      <w:r>
        <w:rPr>
          <w:szCs w:val="22"/>
        </w:rPr>
        <w:t xml:space="preserve">s on the GMO Register. The carnations are modified for flower colour and produce flowers with blue/purple colour, which is otherwise not found in carnations. If included on the GMO Register, the dealings with the GM carnations could be conducted by anyone without the need for a licence. </w:t>
      </w:r>
      <w:r w:rsidRPr="00DB4825">
        <w:rPr>
          <w:szCs w:val="22"/>
        </w:rPr>
        <w:t>Dealings with similar GM carnations were included on the GMO Register in 2007.</w:t>
      </w:r>
    </w:p>
    <w:p w14:paraId="03EB8FE2" w14:textId="78E5E711" w:rsidR="00DB4825" w:rsidRDefault="00DB4825" w:rsidP="00E02CF3">
      <w:pPr>
        <w:pStyle w:val="BodyText"/>
        <w:spacing w:line="264" w:lineRule="auto"/>
        <w:rPr>
          <w:szCs w:val="22"/>
        </w:rPr>
      </w:pPr>
      <w:r>
        <w:rPr>
          <w:szCs w:val="22"/>
        </w:rPr>
        <w:t>GTTAC briefly discussed the treatment of all imported</w:t>
      </w:r>
      <w:r w:rsidR="00545794">
        <w:rPr>
          <w:szCs w:val="22"/>
        </w:rPr>
        <w:t xml:space="preserve"> GM and non-GM</w:t>
      </w:r>
      <w:r>
        <w:rPr>
          <w:szCs w:val="22"/>
        </w:rPr>
        <w:t xml:space="preserve"> carnations, and agreed to the following resolutions. </w:t>
      </w:r>
    </w:p>
    <w:tbl>
      <w:tblPr>
        <w:tblStyle w:val="TableGrid"/>
        <w:tblW w:w="0" w:type="auto"/>
        <w:tblLook w:val="04A0" w:firstRow="1" w:lastRow="0" w:firstColumn="1" w:lastColumn="0" w:noHBand="0" w:noVBand="1"/>
        <w:tblCaption w:val="Resolutions"/>
        <w:tblDescription w:val="A list of resolutions from this meeting."/>
      </w:tblPr>
      <w:tblGrid>
        <w:gridCol w:w="9629"/>
      </w:tblGrid>
      <w:tr w:rsidR="007650F4" w14:paraId="38669E8A" w14:textId="77777777" w:rsidTr="00863C52">
        <w:tc>
          <w:tcPr>
            <w:tcW w:w="9629" w:type="dxa"/>
          </w:tcPr>
          <w:p w14:paraId="0CC9E519" w14:textId="0850AAF1" w:rsidR="007650F4" w:rsidRPr="00496576" w:rsidRDefault="007650F4" w:rsidP="00DB4825">
            <w:pPr>
              <w:pStyle w:val="Default"/>
              <w:widowControl w:val="0"/>
              <w:spacing w:before="240" w:after="120" w:line="264" w:lineRule="auto"/>
              <w:rPr>
                <w:rFonts w:ascii="Arial" w:hAnsi="Arial" w:cs="Arial"/>
                <w:b/>
                <w:color w:val="auto"/>
                <w:sz w:val="22"/>
                <w:szCs w:val="22"/>
              </w:rPr>
            </w:pPr>
            <w:r w:rsidRPr="00496576">
              <w:rPr>
                <w:rFonts w:ascii="Arial" w:hAnsi="Arial" w:cs="Arial"/>
                <w:b/>
                <w:color w:val="auto"/>
                <w:sz w:val="22"/>
                <w:szCs w:val="22"/>
              </w:rPr>
              <w:t>Resolutions</w:t>
            </w:r>
          </w:p>
        </w:tc>
      </w:tr>
      <w:tr w:rsidR="00DB4825" w14:paraId="291382FB" w14:textId="77777777" w:rsidTr="00863C52">
        <w:tc>
          <w:tcPr>
            <w:tcW w:w="9629" w:type="dxa"/>
          </w:tcPr>
          <w:p w14:paraId="7E027C89" w14:textId="77777777" w:rsidR="00DB4825" w:rsidRPr="00DB4825" w:rsidRDefault="00DB4825" w:rsidP="00DB4825">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DB4825">
              <w:t>The Committee agrees that the conclusions of RARMP for DIR 134 remain valid.</w:t>
            </w:r>
          </w:p>
          <w:p w14:paraId="407087E9" w14:textId="77777777" w:rsidR="00DB4825" w:rsidRPr="00DB4825" w:rsidRDefault="00DB4825" w:rsidP="00DB4825">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DB4825">
              <w:t>The information gathered for this application is sufficient and no new information was identified.</w:t>
            </w:r>
          </w:p>
          <w:p w14:paraId="6D9931AC" w14:textId="071A4C71" w:rsidR="00DB4825" w:rsidRDefault="00DB4825" w:rsidP="00DB4825">
            <w:pPr>
              <w:pStyle w:val="ListParagraph"/>
              <w:numPr>
                <w:ilvl w:val="0"/>
                <w:numId w:val="13"/>
              </w:numPr>
              <w:pBdr>
                <w:top w:val="none" w:sz="0" w:space="0" w:color="auto"/>
                <w:left w:val="none" w:sz="0" w:space="0" w:color="auto"/>
                <w:bottom w:val="none" w:sz="0" w:space="0" w:color="auto"/>
                <w:right w:val="none" w:sz="0" w:space="0" w:color="auto"/>
              </w:pBdr>
              <w:tabs>
                <w:tab w:val="clear" w:pos="1276"/>
              </w:tabs>
              <w:spacing w:before="120" w:line="264" w:lineRule="auto"/>
              <w:ind w:left="567" w:hanging="340"/>
            </w:pPr>
            <w:r w:rsidRPr="00DB4825">
              <w:t>The Committee agrees with the overall conclusions of the RARMP</w:t>
            </w:r>
            <w:r>
              <w:t>.</w:t>
            </w:r>
          </w:p>
        </w:tc>
      </w:tr>
    </w:tbl>
    <w:p w14:paraId="385157EB" w14:textId="77777777" w:rsidR="00740B72" w:rsidRPr="00DB4825" w:rsidRDefault="00740B72" w:rsidP="00740B72">
      <w:pPr>
        <w:pStyle w:val="CmqHeading1"/>
      </w:pPr>
      <w:r w:rsidRPr="00DB4825">
        <w:t>information items and reports</w:t>
      </w:r>
    </w:p>
    <w:p w14:paraId="23A6B38E" w14:textId="5A8E7A68" w:rsidR="00740B72" w:rsidRPr="00DB4825" w:rsidRDefault="00740B72" w:rsidP="00740B72">
      <w:pPr>
        <w:pStyle w:val="BodyText"/>
        <w:spacing w:line="23" w:lineRule="atLeast"/>
        <w:rPr>
          <w:color w:val="auto"/>
        </w:rPr>
      </w:pPr>
      <w:r w:rsidRPr="00DB4825">
        <w:rPr>
          <w:color w:val="auto"/>
        </w:rPr>
        <w:t>OGTR staff provided the Committee with information on the gene technology regulatory scheme, the role of GTTAC, and the Regulator’s approach to risk analysis.</w:t>
      </w:r>
    </w:p>
    <w:p w14:paraId="734572CE" w14:textId="77777777" w:rsidR="0039278E" w:rsidRPr="00547553" w:rsidRDefault="0039278E" w:rsidP="0039278E">
      <w:pPr>
        <w:pStyle w:val="CmqHeading1"/>
      </w:pPr>
      <w:r w:rsidRPr="00547553">
        <w:t>Enquiries and Risk Assessment and Risk Management Plans</w:t>
      </w:r>
    </w:p>
    <w:p w14:paraId="4A524704" w14:textId="77777777" w:rsidR="00E421D6" w:rsidRDefault="0039278E" w:rsidP="00C823D4">
      <w:pPr>
        <w:pStyle w:val="BodyText"/>
      </w:pPr>
      <w:r w:rsidRPr="00547553">
        <w:rPr>
          <w:color w:val="auto"/>
        </w:rPr>
        <w:t>For all enquiries and to obtain copies</w:t>
      </w:r>
      <w:r w:rsidR="00AE0C6C">
        <w:rPr>
          <w:color w:val="auto"/>
        </w:rPr>
        <w:t xml:space="preserve"> of applications or RARMPs for Dealings involving the Intentional R</w:t>
      </w:r>
      <w:r w:rsidRPr="00547553">
        <w:rPr>
          <w:color w:val="auto"/>
        </w:rPr>
        <w:t>elease</w:t>
      </w:r>
      <w:r w:rsidR="00AE0C6C">
        <w:rPr>
          <w:color w:val="auto"/>
        </w:rPr>
        <w:t xml:space="preserve"> (DIR)</w:t>
      </w:r>
      <w:r w:rsidRPr="00547553">
        <w:rPr>
          <w:color w:val="auto"/>
        </w:rPr>
        <w:t xml:space="preserve"> of GMOs into the environment, please call the OGTR on 1800 181 030 or email </w:t>
      </w:r>
      <w:hyperlink r:id="rId14" w:history="1">
        <w:r w:rsidRPr="00547553">
          <w:rPr>
            <w:color w:val="auto"/>
          </w:rPr>
          <w:t>ogtr@health.gov.au</w:t>
        </w:r>
      </w:hyperlink>
      <w:r w:rsidRPr="00547553">
        <w:rPr>
          <w:color w:val="auto"/>
        </w:rPr>
        <w:t>.</w:t>
      </w:r>
      <w:r w:rsidR="00AE0C6C">
        <w:rPr>
          <w:color w:val="auto"/>
        </w:rPr>
        <w:t xml:space="preserve"> DIR</w:t>
      </w:r>
      <w:r w:rsidRPr="00547553">
        <w:rPr>
          <w:color w:val="auto"/>
        </w:rPr>
        <w:t xml:space="preserve"> RARMPs are also available on the </w:t>
      </w:r>
      <w:hyperlink r:id="rId15" w:history="1">
        <w:r w:rsidRPr="00547553">
          <w:rPr>
            <w:rStyle w:val="Hyperlink"/>
            <w:color w:val="0000FF"/>
          </w:rPr>
          <w:t>OGTR website</w:t>
        </w:r>
      </w:hyperlink>
      <w:r w:rsidRPr="00547553">
        <w:rPr>
          <w:color w:val="auto"/>
        </w:rPr>
        <w:t>.</w:t>
      </w:r>
    </w:p>
    <w:sectPr w:rsidR="00E421D6" w:rsidSect="00C6551C">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BEFE" w14:textId="77777777" w:rsidR="00A041F8" w:rsidRDefault="00A041F8" w:rsidP="00A041F8">
      <w:r>
        <w:separator/>
      </w:r>
    </w:p>
  </w:endnote>
  <w:endnote w:type="continuationSeparator" w:id="0">
    <w:p w14:paraId="29DB9473" w14:textId="77777777" w:rsidR="00A041F8" w:rsidRDefault="00A041F8" w:rsidP="00A0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556A" w14:textId="77777777" w:rsidR="00C47F99" w:rsidRDefault="00ED62D5" w:rsidP="0082638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652A66A" w14:textId="77777777" w:rsidR="00C47F99" w:rsidRDefault="004A475C" w:rsidP="0082638C">
    <w:pPr>
      <w:pStyle w:val="Footer"/>
      <w:ind w:right="360"/>
    </w:pPr>
  </w:p>
  <w:p w14:paraId="3BC7015B" w14:textId="77777777" w:rsidR="00C47F99" w:rsidRDefault="004A47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4BEDF" w14:textId="658E8012" w:rsidR="00C47F99" w:rsidRPr="00740B72" w:rsidRDefault="00ED62D5" w:rsidP="00D62729">
    <w:pPr>
      <w:pStyle w:val="Footer"/>
      <w:tabs>
        <w:tab w:val="clear" w:pos="4153"/>
        <w:tab w:val="clear" w:pos="8306"/>
        <w:tab w:val="right" w:pos="8931"/>
      </w:tabs>
      <w:rPr>
        <w:rFonts w:ascii="Arial" w:hAnsi="Arial" w:cs="Arial"/>
        <w:sz w:val="20"/>
      </w:rPr>
    </w:pPr>
    <w:r w:rsidRPr="00740B72">
      <w:rPr>
        <w:rFonts w:ascii="Arial" w:hAnsi="Arial" w:cs="Arial"/>
        <w:sz w:val="20"/>
      </w:rPr>
      <w:t xml:space="preserve">GTTAC Communiqué </w:t>
    </w:r>
    <w:r w:rsidR="00740B72" w:rsidRPr="00740B72">
      <w:rPr>
        <w:rFonts w:ascii="Arial" w:hAnsi="Arial" w:cs="Arial"/>
        <w:sz w:val="20"/>
      </w:rPr>
      <w:t>14 April 2020</w:t>
    </w:r>
    <w:r w:rsidRPr="00740B72">
      <w:rPr>
        <w:rFonts w:ascii="Arial" w:hAnsi="Arial" w:cs="Arial"/>
        <w:sz w:val="20"/>
      </w:rPr>
      <w:tab/>
    </w:r>
    <w:sdt>
      <w:sdtPr>
        <w:rPr>
          <w:rFonts w:ascii="Arial" w:hAnsi="Arial" w:cs="Arial"/>
          <w:sz w:val="22"/>
        </w:rPr>
        <w:id w:val="1584713254"/>
        <w:docPartObj>
          <w:docPartGallery w:val="Page Numbers (Bottom of Page)"/>
          <w:docPartUnique/>
        </w:docPartObj>
      </w:sdtPr>
      <w:sdtEndPr>
        <w:rPr>
          <w:noProof/>
          <w:sz w:val="20"/>
          <w:szCs w:val="22"/>
        </w:rPr>
      </w:sdtEndPr>
      <w:sdtContent>
        <w:r w:rsidRPr="00740B72">
          <w:rPr>
            <w:rFonts w:ascii="Arial" w:hAnsi="Arial" w:cs="Arial"/>
            <w:sz w:val="20"/>
            <w:szCs w:val="22"/>
          </w:rPr>
          <w:fldChar w:fldCharType="begin"/>
        </w:r>
        <w:r w:rsidRPr="00740B72">
          <w:rPr>
            <w:rFonts w:ascii="Arial" w:hAnsi="Arial" w:cs="Arial"/>
            <w:sz w:val="20"/>
            <w:szCs w:val="22"/>
          </w:rPr>
          <w:instrText xml:space="preserve"> PAGE   \* MERGEFORMAT </w:instrText>
        </w:r>
        <w:r w:rsidRPr="00740B72">
          <w:rPr>
            <w:rFonts w:ascii="Arial" w:hAnsi="Arial" w:cs="Arial"/>
            <w:sz w:val="20"/>
            <w:szCs w:val="22"/>
          </w:rPr>
          <w:fldChar w:fldCharType="separate"/>
        </w:r>
        <w:r w:rsidR="004A475C">
          <w:rPr>
            <w:rFonts w:ascii="Arial" w:hAnsi="Arial" w:cs="Arial"/>
            <w:noProof/>
            <w:sz w:val="20"/>
            <w:szCs w:val="22"/>
          </w:rPr>
          <w:t>2</w:t>
        </w:r>
        <w:r w:rsidRPr="00740B72">
          <w:rPr>
            <w:rFonts w:ascii="Arial" w:hAnsi="Arial" w:cs="Arial"/>
            <w:noProof/>
            <w:sz w:val="20"/>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4867" w14:textId="77777777" w:rsidR="006E2FD0" w:rsidRDefault="004A475C" w:rsidP="006E2FD0">
    <w:pPr>
      <w:pStyle w:val="Footer"/>
      <w:rPr>
        <w:rFonts w:ascii="Arial (W1)" w:hAnsi="Arial (W1)"/>
        <w:sz w:val="22"/>
      </w:rPr>
    </w:pPr>
  </w:p>
  <w:p w14:paraId="6B9C6EEF" w14:textId="296C7086" w:rsidR="006E2FD0" w:rsidRPr="00740B72" w:rsidRDefault="00ED62D5" w:rsidP="00D62729">
    <w:pPr>
      <w:pStyle w:val="Footer"/>
      <w:tabs>
        <w:tab w:val="clear" w:pos="4153"/>
        <w:tab w:val="clear" w:pos="8306"/>
        <w:tab w:val="right" w:pos="8931"/>
      </w:tabs>
      <w:rPr>
        <w:rFonts w:ascii="Arial" w:hAnsi="Arial" w:cs="Arial"/>
        <w:sz w:val="20"/>
        <w:szCs w:val="22"/>
      </w:rPr>
    </w:pPr>
    <w:r w:rsidRPr="00740B72">
      <w:rPr>
        <w:rFonts w:ascii="Arial" w:hAnsi="Arial" w:cs="Arial"/>
        <w:sz w:val="20"/>
      </w:rPr>
      <w:t xml:space="preserve">GTTAC Communiqué </w:t>
    </w:r>
    <w:r w:rsidR="00DB4A3E" w:rsidRPr="00740B72">
      <w:rPr>
        <w:rFonts w:ascii="Arial" w:hAnsi="Arial" w:cs="Arial"/>
        <w:sz w:val="20"/>
      </w:rPr>
      <w:t>14 April 2020</w:t>
    </w:r>
    <w:r w:rsidR="00355A2E" w:rsidRPr="00740B72">
      <w:rPr>
        <w:rFonts w:ascii="Arial" w:hAnsi="Arial" w:cs="Arial"/>
        <w:sz w:val="20"/>
      </w:rPr>
      <w:tab/>
    </w:r>
    <w:sdt>
      <w:sdtPr>
        <w:rPr>
          <w:rFonts w:ascii="Arial" w:hAnsi="Arial" w:cs="Arial"/>
          <w:sz w:val="22"/>
        </w:rPr>
        <w:id w:val="868874125"/>
        <w:docPartObj>
          <w:docPartGallery w:val="Page Numbers (Bottom of Page)"/>
          <w:docPartUnique/>
        </w:docPartObj>
      </w:sdtPr>
      <w:sdtEndPr>
        <w:rPr>
          <w:noProof/>
          <w:sz w:val="20"/>
          <w:szCs w:val="22"/>
        </w:rPr>
      </w:sdtEndPr>
      <w:sdtContent>
        <w:r w:rsidRPr="00740B72">
          <w:rPr>
            <w:rFonts w:ascii="Arial" w:hAnsi="Arial" w:cs="Arial"/>
            <w:sz w:val="20"/>
            <w:szCs w:val="22"/>
          </w:rPr>
          <w:fldChar w:fldCharType="begin"/>
        </w:r>
        <w:r w:rsidRPr="00740B72">
          <w:rPr>
            <w:rFonts w:ascii="Arial" w:hAnsi="Arial" w:cs="Arial"/>
            <w:sz w:val="20"/>
            <w:szCs w:val="22"/>
          </w:rPr>
          <w:instrText xml:space="preserve"> PAGE   \* MERGEFORMAT </w:instrText>
        </w:r>
        <w:r w:rsidRPr="00740B72">
          <w:rPr>
            <w:rFonts w:ascii="Arial" w:hAnsi="Arial" w:cs="Arial"/>
            <w:sz w:val="20"/>
            <w:szCs w:val="22"/>
          </w:rPr>
          <w:fldChar w:fldCharType="separate"/>
        </w:r>
        <w:r w:rsidR="001E2D57">
          <w:rPr>
            <w:rFonts w:ascii="Arial" w:hAnsi="Arial" w:cs="Arial"/>
            <w:noProof/>
            <w:sz w:val="20"/>
            <w:szCs w:val="22"/>
          </w:rPr>
          <w:t>1</w:t>
        </w:r>
        <w:r w:rsidRPr="00740B72">
          <w:rPr>
            <w:rFonts w:ascii="Arial" w:hAnsi="Arial" w:cs="Arial"/>
            <w:noProof/>
            <w:sz w:val="20"/>
            <w:szCs w:val="22"/>
          </w:rPr>
          <w:fldChar w:fldCharType="end"/>
        </w:r>
      </w:sdtContent>
    </w:sdt>
  </w:p>
  <w:p w14:paraId="6B58A6A8" w14:textId="77777777" w:rsidR="00C47F99" w:rsidRPr="006E2FD0" w:rsidRDefault="004A475C">
    <w:pPr>
      <w:pStyle w:val="Footer"/>
      <w:rPr>
        <w:rFonts w:ascii="Arial (W1)" w:hAnsi="Arial (W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6BD3" w14:textId="77777777" w:rsidR="00A041F8" w:rsidRDefault="00A041F8" w:rsidP="00A041F8">
      <w:r>
        <w:separator/>
      </w:r>
    </w:p>
  </w:footnote>
  <w:footnote w:type="continuationSeparator" w:id="0">
    <w:p w14:paraId="48CC642C" w14:textId="77777777" w:rsidR="00A041F8" w:rsidRDefault="00A041F8" w:rsidP="00A0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E84B4" w14:textId="77777777" w:rsidR="00C47F99" w:rsidRDefault="004A475C" w:rsidP="002E6DF0">
    <w:pPr>
      <w:pStyle w:val="Header"/>
      <w:tabs>
        <w:tab w:val="left" w:pos="2410"/>
        <w:tab w:val="left" w:pos="637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9C14" w14:textId="77777777" w:rsidR="00C47F99" w:rsidRDefault="00ED62D5" w:rsidP="00B073C2">
    <w:pPr>
      <w:pStyle w:val="Header"/>
      <w:jc w:val="center"/>
    </w:pPr>
    <w:r>
      <w:rPr>
        <w:noProof/>
        <w:lang w:eastAsia="en-AU"/>
      </w:rPr>
      <w:drawing>
        <wp:inline distT="0" distB="0" distL="0" distR="0" wp14:anchorId="06AD88E8" wp14:editId="4A69E71A">
          <wp:extent cx="2352675" cy="1219200"/>
          <wp:effectExtent l="0" t="0" r="9525" b="0"/>
          <wp:docPr id="4" name="Picture 4"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383"/>
    <w:multiLevelType w:val="hybridMultilevel"/>
    <w:tmpl w:val="A200568A"/>
    <w:lvl w:ilvl="0" w:tplc="0C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E7B2448"/>
    <w:multiLevelType w:val="hybridMultilevel"/>
    <w:tmpl w:val="3B48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16359"/>
    <w:multiLevelType w:val="hybridMultilevel"/>
    <w:tmpl w:val="555AD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D9A4472"/>
    <w:multiLevelType w:val="hybridMultilevel"/>
    <w:tmpl w:val="A4CEDC62"/>
    <w:lvl w:ilvl="0" w:tplc="52005076">
      <w:start w:val="1"/>
      <w:numFmt w:val="bullet"/>
      <w:lvlText w:val=""/>
      <w:lvlJc w:val="left"/>
      <w:pPr>
        <w:tabs>
          <w:tab w:val="num" w:pos="910"/>
        </w:tabs>
        <w:ind w:left="9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62CE6"/>
    <w:multiLevelType w:val="hybridMultilevel"/>
    <w:tmpl w:val="FFD8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192AB6"/>
    <w:multiLevelType w:val="hybridMultilevel"/>
    <w:tmpl w:val="316ED67C"/>
    <w:lvl w:ilvl="0" w:tplc="0D24849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0E7AC1"/>
    <w:multiLevelType w:val="hybridMultilevel"/>
    <w:tmpl w:val="2AC8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C5D2A"/>
    <w:multiLevelType w:val="hybridMultilevel"/>
    <w:tmpl w:val="D1928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EC39D4"/>
    <w:multiLevelType w:val="hybridMultilevel"/>
    <w:tmpl w:val="5580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81EE5"/>
    <w:multiLevelType w:val="hybridMultilevel"/>
    <w:tmpl w:val="DF20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E2CDE"/>
    <w:multiLevelType w:val="hybridMultilevel"/>
    <w:tmpl w:val="F1F0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62565F"/>
    <w:multiLevelType w:val="hybridMultilevel"/>
    <w:tmpl w:val="8E1E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103F77"/>
    <w:multiLevelType w:val="hybridMultilevel"/>
    <w:tmpl w:val="1468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3C7450"/>
    <w:multiLevelType w:val="hybridMultilevel"/>
    <w:tmpl w:val="4672F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983D93"/>
    <w:multiLevelType w:val="hybridMultilevel"/>
    <w:tmpl w:val="2FE0F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942BCC"/>
    <w:multiLevelType w:val="hybridMultilevel"/>
    <w:tmpl w:val="94EA606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7D3C4210"/>
    <w:multiLevelType w:val="hybridMultilevel"/>
    <w:tmpl w:val="C54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10"/>
  </w:num>
  <w:num w:numId="5">
    <w:abstractNumId w:val="0"/>
  </w:num>
  <w:num w:numId="6">
    <w:abstractNumId w:val="16"/>
  </w:num>
  <w:num w:numId="7">
    <w:abstractNumId w:val="4"/>
  </w:num>
  <w:num w:numId="8">
    <w:abstractNumId w:val="7"/>
  </w:num>
  <w:num w:numId="9">
    <w:abstractNumId w:val="1"/>
  </w:num>
  <w:num w:numId="10">
    <w:abstractNumId w:val="9"/>
  </w:num>
  <w:num w:numId="11">
    <w:abstractNumId w:val="2"/>
  </w:num>
  <w:num w:numId="12">
    <w:abstractNumId w:val="11"/>
  </w:num>
  <w:num w:numId="13">
    <w:abstractNumId w:val="15"/>
  </w:num>
  <w:num w:numId="14">
    <w:abstractNumId w:val="3"/>
  </w:num>
  <w:num w:numId="15">
    <w:abstractNumId w:val="14"/>
  </w:num>
  <w:num w:numId="16">
    <w:abstractNumId w:val="5"/>
  </w:num>
  <w:num w:numId="17">
    <w:abstractNumId w:val="8"/>
  </w:num>
  <w:num w:numId="18">
    <w:abstractNumId w:val="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F8"/>
    <w:rsid w:val="000046DB"/>
    <w:rsid w:val="00020C48"/>
    <w:rsid w:val="00083955"/>
    <w:rsid w:val="000917A4"/>
    <w:rsid w:val="00092653"/>
    <w:rsid w:val="00096B70"/>
    <w:rsid w:val="000B10E0"/>
    <w:rsid w:val="000C1CB5"/>
    <w:rsid w:val="000D2392"/>
    <w:rsid w:val="00104A3B"/>
    <w:rsid w:val="001212F1"/>
    <w:rsid w:val="00131369"/>
    <w:rsid w:val="00133D40"/>
    <w:rsid w:val="00134B5C"/>
    <w:rsid w:val="001410D9"/>
    <w:rsid w:val="001655F6"/>
    <w:rsid w:val="00171898"/>
    <w:rsid w:val="001877F0"/>
    <w:rsid w:val="001A6A9A"/>
    <w:rsid w:val="001A73D6"/>
    <w:rsid w:val="001B1DC0"/>
    <w:rsid w:val="001E2D57"/>
    <w:rsid w:val="00254498"/>
    <w:rsid w:val="00267FEF"/>
    <w:rsid w:val="00276FF6"/>
    <w:rsid w:val="002F690B"/>
    <w:rsid w:val="003105D4"/>
    <w:rsid w:val="003113C9"/>
    <w:rsid w:val="00355745"/>
    <w:rsid w:val="00355A2E"/>
    <w:rsid w:val="0039278E"/>
    <w:rsid w:val="00393ED7"/>
    <w:rsid w:val="003A1B38"/>
    <w:rsid w:val="003A1F23"/>
    <w:rsid w:val="003C0031"/>
    <w:rsid w:val="003C77B4"/>
    <w:rsid w:val="004227F7"/>
    <w:rsid w:val="004243C6"/>
    <w:rsid w:val="004446B7"/>
    <w:rsid w:val="00453FFD"/>
    <w:rsid w:val="004612C8"/>
    <w:rsid w:val="0048635A"/>
    <w:rsid w:val="00496576"/>
    <w:rsid w:val="004A475C"/>
    <w:rsid w:val="004B7E4A"/>
    <w:rsid w:val="004C4475"/>
    <w:rsid w:val="004E2D58"/>
    <w:rsid w:val="00517CB3"/>
    <w:rsid w:val="00520DC6"/>
    <w:rsid w:val="00545794"/>
    <w:rsid w:val="0056430E"/>
    <w:rsid w:val="005769C4"/>
    <w:rsid w:val="005A6C29"/>
    <w:rsid w:val="005B3E4F"/>
    <w:rsid w:val="005B7F18"/>
    <w:rsid w:val="005D3C8C"/>
    <w:rsid w:val="005F6E5B"/>
    <w:rsid w:val="00600A0D"/>
    <w:rsid w:val="006275F9"/>
    <w:rsid w:val="0067260F"/>
    <w:rsid w:val="006726F6"/>
    <w:rsid w:val="006911FB"/>
    <w:rsid w:val="006A3C71"/>
    <w:rsid w:val="006D7707"/>
    <w:rsid w:val="006E3D3F"/>
    <w:rsid w:val="006F6761"/>
    <w:rsid w:val="007079AD"/>
    <w:rsid w:val="0072691A"/>
    <w:rsid w:val="00731782"/>
    <w:rsid w:val="00733C41"/>
    <w:rsid w:val="00740B72"/>
    <w:rsid w:val="00745471"/>
    <w:rsid w:val="00745763"/>
    <w:rsid w:val="007650F4"/>
    <w:rsid w:val="007A0117"/>
    <w:rsid w:val="00863C52"/>
    <w:rsid w:val="008915E2"/>
    <w:rsid w:val="00892655"/>
    <w:rsid w:val="00893176"/>
    <w:rsid w:val="008A19F6"/>
    <w:rsid w:val="008B58D2"/>
    <w:rsid w:val="008F0113"/>
    <w:rsid w:val="00905C27"/>
    <w:rsid w:val="00916D8E"/>
    <w:rsid w:val="0092717F"/>
    <w:rsid w:val="00976EF6"/>
    <w:rsid w:val="00A041F8"/>
    <w:rsid w:val="00A27475"/>
    <w:rsid w:val="00A62953"/>
    <w:rsid w:val="00AE0C6C"/>
    <w:rsid w:val="00B05A0B"/>
    <w:rsid w:val="00B170AA"/>
    <w:rsid w:val="00C349E6"/>
    <w:rsid w:val="00C34ED8"/>
    <w:rsid w:val="00C42EFD"/>
    <w:rsid w:val="00C67143"/>
    <w:rsid w:val="00C823D4"/>
    <w:rsid w:val="00CC32A2"/>
    <w:rsid w:val="00CD4F2B"/>
    <w:rsid w:val="00D13275"/>
    <w:rsid w:val="00D52EE9"/>
    <w:rsid w:val="00D62729"/>
    <w:rsid w:val="00D7225F"/>
    <w:rsid w:val="00D728D8"/>
    <w:rsid w:val="00DA5B41"/>
    <w:rsid w:val="00DB4825"/>
    <w:rsid w:val="00DB4A3E"/>
    <w:rsid w:val="00DD55B9"/>
    <w:rsid w:val="00DE171F"/>
    <w:rsid w:val="00DF157B"/>
    <w:rsid w:val="00E02CF3"/>
    <w:rsid w:val="00E21A00"/>
    <w:rsid w:val="00E37FA5"/>
    <w:rsid w:val="00E421D6"/>
    <w:rsid w:val="00E45F01"/>
    <w:rsid w:val="00E56780"/>
    <w:rsid w:val="00E72D09"/>
    <w:rsid w:val="00EA3431"/>
    <w:rsid w:val="00EC0114"/>
    <w:rsid w:val="00ED62D5"/>
    <w:rsid w:val="00F024C0"/>
    <w:rsid w:val="00F230D9"/>
    <w:rsid w:val="00F618E4"/>
    <w:rsid w:val="00F85616"/>
    <w:rsid w:val="00FB50E5"/>
    <w:rsid w:val="00FD0F1C"/>
    <w:rsid w:val="00FF3520"/>
    <w:rsid w:val="00FF4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E0F8C4D"/>
  <w15:docId w15:val="{4A5DD9FF-296B-4A0D-8380-CF6BB22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1F8"/>
    <w:pPr>
      <w:spacing w:after="0" w:line="240" w:lineRule="auto"/>
    </w:pPr>
    <w:rPr>
      <w:rFonts w:ascii="Times New Roman" w:hAnsi="Times New Roman"/>
      <w:sz w:val="24"/>
      <w:szCs w:val="24"/>
    </w:rPr>
  </w:style>
  <w:style w:type="paragraph" w:styleId="Heading3">
    <w:name w:val="heading 3"/>
    <w:basedOn w:val="Normal"/>
    <w:next w:val="Normal"/>
    <w:link w:val="Heading3Char"/>
    <w:uiPriority w:val="9"/>
    <w:semiHidden/>
    <w:unhideWhenUsed/>
    <w:qFormat/>
    <w:rsid w:val="00A041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41F8"/>
    <w:pPr>
      <w:spacing w:after="120" w:line="260" w:lineRule="exact"/>
    </w:pPr>
    <w:rPr>
      <w:rFonts w:ascii="Arial" w:eastAsia="Times" w:hAnsi="Arial"/>
      <w:color w:val="000000"/>
      <w:sz w:val="22"/>
    </w:rPr>
  </w:style>
  <w:style w:type="character" w:customStyle="1" w:styleId="BodyTextChar">
    <w:name w:val="Body Text Char"/>
    <w:basedOn w:val="DefaultParagraphFont"/>
    <w:link w:val="BodyText"/>
    <w:rsid w:val="00A041F8"/>
    <w:rPr>
      <w:rFonts w:ascii="Arial" w:eastAsia="Times" w:hAnsi="Arial"/>
      <w:color w:val="000000"/>
      <w:szCs w:val="24"/>
    </w:rPr>
  </w:style>
  <w:style w:type="paragraph" w:styleId="Header">
    <w:name w:val="header"/>
    <w:basedOn w:val="Normal"/>
    <w:link w:val="HeaderChar"/>
    <w:rsid w:val="00A041F8"/>
    <w:pPr>
      <w:tabs>
        <w:tab w:val="center" w:pos="4153"/>
        <w:tab w:val="right" w:pos="8306"/>
      </w:tabs>
    </w:pPr>
  </w:style>
  <w:style w:type="character" w:customStyle="1" w:styleId="HeaderChar">
    <w:name w:val="Header Char"/>
    <w:basedOn w:val="DefaultParagraphFont"/>
    <w:link w:val="Header"/>
    <w:rsid w:val="00A041F8"/>
    <w:rPr>
      <w:rFonts w:ascii="Times New Roman" w:hAnsi="Times New Roman"/>
      <w:sz w:val="24"/>
      <w:szCs w:val="24"/>
    </w:rPr>
  </w:style>
  <w:style w:type="paragraph" w:styleId="Footer">
    <w:name w:val="footer"/>
    <w:basedOn w:val="Normal"/>
    <w:link w:val="FooterChar"/>
    <w:uiPriority w:val="99"/>
    <w:rsid w:val="00A041F8"/>
    <w:pPr>
      <w:tabs>
        <w:tab w:val="center" w:pos="4153"/>
        <w:tab w:val="right" w:pos="8306"/>
      </w:tabs>
    </w:pPr>
  </w:style>
  <w:style w:type="character" w:customStyle="1" w:styleId="FooterChar">
    <w:name w:val="Footer Char"/>
    <w:basedOn w:val="DefaultParagraphFont"/>
    <w:link w:val="Footer"/>
    <w:uiPriority w:val="99"/>
    <w:rsid w:val="00A041F8"/>
    <w:rPr>
      <w:rFonts w:ascii="Times New Roman" w:hAnsi="Times New Roman"/>
      <w:sz w:val="24"/>
      <w:szCs w:val="24"/>
    </w:rPr>
  </w:style>
  <w:style w:type="character" w:styleId="PageNumber">
    <w:name w:val="page number"/>
    <w:basedOn w:val="DefaultParagraphFont"/>
    <w:rsid w:val="00A041F8"/>
  </w:style>
  <w:style w:type="paragraph" w:styleId="ListParagraph">
    <w:name w:val="List Paragraph"/>
    <w:basedOn w:val="Normal"/>
    <w:link w:val="ListParagraphChar"/>
    <w:uiPriority w:val="34"/>
    <w:qFormat/>
    <w:rsid w:val="00A041F8"/>
    <w:pPr>
      <w:numPr>
        <w:numId w:val="1"/>
      </w:numPr>
      <w:pBdr>
        <w:top w:val="single" w:sz="4" w:space="4" w:color="auto"/>
        <w:left w:val="single" w:sz="4" w:space="4" w:color="auto"/>
        <w:bottom w:val="single" w:sz="4" w:space="4" w:color="auto"/>
        <w:right w:val="single" w:sz="4" w:space="4" w:color="auto"/>
      </w:pBdr>
      <w:tabs>
        <w:tab w:val="left" w:pos="1276"/>
      </w:tabs>
      <w:spacing w:after="120"/>
      <w:contextualSpacing/>
    </w:pPr>
    <w:rPr>
      <w:rFonts w:ascii="Arial" w:hAnsi="Arial" w:cs="Arial"/>
      <w:sz w:val="22"/>
      <w:szCs w:val="22"/>
    </w:rPr>
  </w:style>
  <w:style w:type="paragraph" w:styleId="FootnoteText">
    <w:name w:val="footnote text"/>
    <w:basedOn w:val="Normal"/>
    <w:link w:val="FootnoteTextChar"/>
    <w:uiPriority w:val="99"/>
    <w:semiHidden/>
    <w:unhideWhenUsed/>
    <w:rsid w:val="00A041F8"/>
  </w:style>
  <w:style w:type="character" w:customStyle="1" w:styleId="FootnoteTextChar">
    <w:name w:val="Footnote Text Char"/>
    <w:basedOn w:val="DefaultParagraphFont"/>
    <w:link w:val="FootnoteText"/>
    <w:uiPriority w:val="99"/>
    <w:semiHidden/>
    <w:rsid w:val="00A041F8"/>
    <w:rPr>
      <w:rFonts w:ascii="Times New Roman" w:hAnsi="Times New Roman"/>
      <w:sz w:val="24"/>
      <w:szCs w:val="24"/>
    </w:rPr>
  </w:style>
  <w:style w:type="character" w:styleId="FootnoteReference">
    <w:name w:val="footnote reference"/>
    <w:basedOn w:val="DefaultParagraphFont"/>
    <w:uiPriority w:val="99"/>
    <w:semiHidden/>
    <w:unhideWhenUsed/>
    <w:rsid w:val="00A041F8"/>
    <w:rPr>
      <w:vertAlign w:val="superscript"/>
    </w:rPr>
  </w:style>
  <w:style w:type="paragraph" w:customStyle="1" w:styleId="CmqHeading1">
    <w:name w:val="Cmq Heading 1"/>
    <w:basedOn w:val="Heading3"/>
    <w:link w:val="CmqHeading1Char"/>
    <w:autoRedefine/>
    <w:qFormat/>
    <w:rsid w:val="00267FEF"/>
    <w:pPr>
      <w:keepNext w:val="0"/>
      <w:keepLines w:val="0"/>
      <w:spacing w:before="360" w:after="120"/>
    </w:pPr>
    <w:rPr>
      <w:rFonts w:ascii="Arial Bold" w:eastAsia="Times" w:hAnsi="Arial Bold" w:cs="Arial"/>
      <w:bCs w:val="0"/>
      <w:caps/>
      <w:color w:val="auto"/>
      <w:sz w:val="26"/>
      <w:szCs w:val="26"/>
    </w:rPr>
  </w:style>
  <w:style w:type="paragraph" w:customStyle="1" w:styleId="Cmqheading2">
    <w:name w:val="Cmq heading 2"/>
    <w:basedOn w:val="BodyText"/>
    <w:link w:val="Cmqheading2Char"/>
    <w:qFormat/>
    <w:rsid w:val="00731782"/>
    <w:pPr>
      <w:keepNext/>
      <w:spacing w:before="360" w:after="240" w:line="240" w:lineRule="auto"/>
    </w:pPr>
    <w:rPr>
      <w:rFonts w:cs="Arial"/>
      <w:b/>
      <w:bCs/>
      <w:i/>
      <w:caps/>
    </w:rPr>
  </w:style>
  <w:style w:type="character" w:customStyle="1" w:styleId="CmqHeading1Char">
    <w:name w:val="Cmq Heading 1 Char"/>
    <w:basedOn w:val="Heading3Char"/>
    <w:link w:val="CmqHeading1"/>
    <w:rsid w:val="00267FEF"/>
    <w:rPr>
      <w:rFonts w:ascii="Arial Bold" w:eastAsia="Times" w:hAnsi="Arial Bold" w:cs="Arial"/>
      <w:b/>
      <w:bCs w:val="0"/>
      <w:caps/>
      <w:color w:val="4F81BD" w:themeColor="accent1"/>
      <w:sz w:val="26"/>
      <w:szCs w:val="26"/>
    </w:rPr>
  </w:style>
  <w:style w:type="paragraph" w:customStyle="1" w:styleId="Cmqheading3">
    <w:name w:val="Cmq heading 3"/>
    <w:basedOn w:val="Heading3"/>
    <w:link w:val="Cmqheading3Char"/>
    <w:qFormat/>
    <w:rsid w:val="00355A2E"/>
    <w:pPr>
      <w:keepNext w:val="0"/>
      <w:keepLines w:val="0"/>
      <w:spacing w:before="240" w:after="120" w:line="23" w:lineRule="atLeast"/>
      <w:ind w:left="1191" w:hanging="1191"/>
      <w:contextualSpacing/>
      <w:outlineLvl w:val="9"/>
    </w:pPr>
    <w:rPr>
      <w:rFonts w:ascii="Arial" w:eastAsiaTheme="minorHAnsi" w:hAnsi="Arial" w:cs="Arial"/>
      <w:bCs w:val="0"/>
      <w:color w:val="auto"/>
      <w:sz w:val="22"/>
      <w:szCs w:val="22"/>
    </w:rPr>
  </w:style>
  <w:style w:type="character" w:customStyle="1" w:styleId="Cmqheading2Char">
    <w:name w:val="Cmq heading 2 Char"/>
    <w:basedOn w:val="BodyTextChar"/>
    <w:link w:val="Cmqheading2"/>
    <w:rsid w:val="00731782"/>
    <w:rPr>
      <w:rFonts w:ascii="Arial" w:eastAsia="Times" w:hAnsi="Arial" w:cs="Arial"/>
      <w:b/>
      <w:bCs/>
      <w:i/>
      <w:caps/>
      <w:color w:val="000000"/>
      <w:szCs w:val="24"/>
    </w:rPr>
  </w:style>
  <w:style w:type="paragraph" w:customStyle="1" w:styleId="CmqTitle1">
    <w:name w:val="Cmq Title 1"/>
    <w:basedOn w:val="Normal"/>
    <w:qFormat/>
    <w:rsid w:val="00A041F8"/>
    <w:pPr>
      <w:spacing w:before="120" w:after="120" w:line="260" w:lineRule="exact"/>
      <w:jc w:val="center"/>
    </w:pPr>
    <w:rPr>
      <w:rFonts w:ascii="Arial" w:hAnsi="Arial" w:cs="Arial"/>
      <w:b/>
      <w:bCs/>
      <w:color w:val="000000"/>
      <w:szCs w:val="28"/>
    </w:rPr>
  </w:style>
  <w:style w:type="character" w:customStyle="1" w:styleId="Cmqheading3Char">
    <w:name w:val="Cmq heading 3 Char"/>
    <w:basedOn w:val="Heading3Char"/>
    <w:link w:val="Cmqheading3"/>
    <w:rsid w:val="00355A2E"/>
    <w:rPr>
      <w:rFonts w:ascii="Arial" w:eastAsiaTheme="majorEastAsia" w:hAnsi="Arial" w:cs="Arial"/>
      <w:b/>
      <w:bCs w:val="0"/>
      <w:color w:val="4F81BD" w:themeColor="accent1"/>
      <w:sz w:val="24"/>
      <w:szCs w:val="24"/>
    </w:rPr>
  </w:style>
  <w:style w:type="paragraph" w:customStyle="1" w:styleId="CmqTitle2">
    <w:name w:val="Cmq Title 2"/>
    <w:basedOn w:val="Normal"/>
    <w:qFormat/>
    <w:rsid w:val="00A041F8"/>
    <w:pPr>
      <w:pBdr>
        <w:top w:val="single" w:sz="4" w:space="12" w:color="auto"/>
        <w:bottom w:val="single" w:sz="4" w:space="12" w:color="auto"/>
      </w:pBdr>
      <w:ind w:left="360"/>
      <w:jc w:val="center"/>
    </w:pPr>
    <w:rPr>
      <w:rFonts w:ascii="Arial" w:eastAsia="Times" w:hAnsi="Arial" w:cs="Arial"/>
      <w:b/>
      <w:i/>
      <w:iCs/>
      <w:sz w:val="22"/>
      <w:szCs w:val="22"/>
    </w:rPr>
  </w:style>
  <w:style w:type="character" w:customStyle="1" w:styleId="ListParagraphChar">
    <w:name w:val="List Paragraph Char"/>
    <w:basedOn w:val="DefaultParagraphFont"/>
    <w:link w:val="ListParagraph"/>
    <w:uiPriority w:val="34"/>
    <w:rsid w:val="00A041F8"/>
    <w:rPr>
      <w:rFonts w:ascii="Arial" w:hAnsi="Arial" w:cs="Arial"/>
    </w:rPr>
  </w:style>
  <w:style w:type="character" w:styleId="Hyperlink">
    <w:name w:val="Hyperlink"/>
    <w:basedOn w:val="DefaultParagraphFont"/>
    <w:uiPriority w:val="99"/>
    <w:unhideWhenUsed/>
    <w:rsid w:val="00A041F8"/>
    <w:rPr>
      <w:color w:val="0000FF" w:themeColor="hyperlink"/>
      <w:u w:val="single"/>
    </w:rPr>
  </w:style>
  <w:style w:type="character" w:styleId="Emphasis">
    <w:name w:val="Emphasis"/>
    <w:basedOn w:val="DefaultParagraphFont"/>
    <w:qFormat/>
    <w:rsid w:val="00A041F8"/>
    <w:rPr>
      <w:i/>
      <w:iCs/>
    </w:rPr>
  </w:style>
  <w:style w:type="character" w:customStyle="1" w:styleId="Heading3Char">
    <w:name w:val="Heading 3 Char"/>
    <w:basedOn w:val="DefaultParagraphFont"/>
    <w:link w:val="Heading3"/>
    <w:uiPriority w:val="9"/>
    <w:semiHidden/>
    <w:rsid w:val="00A041F8"/>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A041F8"/>
    <w:rPr>
      <w:rFonts w:ascii="Tahoma" w:hAnsi="Tahoma" w:cs="Tahoma"/>
      <w:sz w:val="16"/>
      <w:szCs w:val="16"/>
    </w:rPr>
  </w:style>
  <w:style w:type="character" w:customStyle="1" w:styleId="BalloonTextChar">
    <w:name w:val="Balloon Text Char"/>
    <w:basedOn w:val="DefaultParagraphFont"/>
    <w:link w:val="BalloonText"/>
    <w:uiPriority w:val="99"/>
    <w:semiHidden/>
    <w:rsid w:val="00A041F8"/>
    <w:rPr>
      <w:rFonts w:ascii="Tahoma" w:hAnsi="Tahoma" w:cs="Tahoma"/>
      <w:sz w:val="16"/>
      <w:szCs w:val="16"/>
    </w:rPr>
  </w:style>
  <w:style w:type="paragraph" w:customStyle="1" w:styleId="Default">
    <w:name w:val="Default"/>
    <w:rsid w:val="00F618E4"/>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EA3431"/>
    <w:rPr>
      <w:sz w:val="16"/>
      <w:szCs w:val="16"/>
    </w:rPr>
  </w:style>
  <w:style w:type="paragraph" w:styleId="CommentText">
    <w:name w:val="annotation text"/>
    <w:basedOn w:val="Normal"/>
    <w:link w:val="CommentTextChar"/>
    <w:uiPriority w:val="99"/>
    <w:semiHidden/>
    <w:unhideWhenUsed/>
    <w:rsid w:val="00EA3431"/>
    <w:rPr>
      <w:sz w:val="20"/>
      <w:szCs w:val="20"/>
    </w:rPr>
  </w:style>
  <w:style w:type="character" w:customStyle="1" w:styleId="CommentTextChar">
    <w:name w:val="Comment Text Char"/>
    <w:basedOn w:val="DefaultParagraphFont"/>
    <w:link w:val="CommentText"/>
    <w:uiPriority w:val="99"/>
    <w:semiHidden/>
    <w:rsid w:val="00EA34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3431"/>
    <w:rPr>
      <w:b/>
      <w:bCs/>
    </w:rPr>
  </w:style>
  <w:style w:type="character" w:customStyle="1" w:styleId="CommentSubjectChar">
    <w:name w:val="Comment Subject Char"/>
    <w:basedOn w:val="CommentTextChar"/>
    <w:link w:val="CommentSubject"/>
    <w:uiPriority w:val="99"/>
    <w:semiHidden/>
    <w:rsid w:val="00EA3431"/>
    <w:rPr>
      <w:rFonts w:ascii="Times New Roman" w:hAnsi="Times New Roman"/>
      <w:b/>
      <w:bCs/>
      <w:sz w:val="20"/>
      <w:szCs w:val="20"/>
    </w:rPr>
  </w:style>
  <w:style w:type="paragraph" w:styleId="NoSpacing">
    <w:name w:val="No Spacing"/>
    <w:uiPriority w:val="1"/>
    <w:qFormat/>
    <w:rsid w:val="00C823D4"/>
    <w:pPr>
      <w:spacing w:after="0" w:line="240" w:lineRule="auto"/>
    </w:pPr>
    <w:rPr>
      <w:rFonts w:ascii="Times New Roman" w:hAnsi="Times New Roman"/>
      <w:sz w:val="24"/>
      <w:szCs w:val="24"/>
    </w:rPr>
  </w:style>
  <w:style w:type="table" w:styleId="TableGrid">
    <w:name w:val="Table Grid"/>
    <w:basedOn w:val="TableNormal"/>
    <w:uiPriority w:val="59"/>
    <w:rsid w:val="0052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5572">
      <w:bodyDiv w:val="1"/>
      <w:marLeft w:val="0"/>
      <w:marRight w:val="0"/>
      <w:marTop w:val="0"/>
      <w:marBottom w:val="0"/>
      <w:divBdr>
        <w:top w:val="none" w:sz="0" w:space="0" w:color="auto"/>
        <w:left w:val="none" w:sz="0" w:space="0" w:color="auto"/>
        <w:bottom w:val="none" w:sz="0" w:space="0" w:color="auto"/>
        <w:right w:val="none" w:sz="0" w:space="0" w:color="auto"/>
      </w:divBdr>
    </w:div>
    <w:div w:id="16767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gtr.gov.au/internet/ogtr/publishing.nsf/Content/reg00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gtr.gov.au/internet/ogtr/publishing.nsf/Content/DIR17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gtr.gov.au/internet/ogtr/publishing.nsf/Content/DIR171" TargetMode="External"/><Relationship Id="rId5" Type="http://schemas.openxmlformats.org/officeDocument/2006/relationships/numbering" Target="numbering.xml"/><Relationship Id="rId15" Type="http://schemas.openxmlformats.org/officeDocument/2006/relationships/hyperlink" Target="http://www.ogtr.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gtr@health.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9" ma:contentTypeDescription="Create a new document." ma:contentTypeScope="" ma:versionID="f8d52eb0bf84271f3000f02bdc65f139">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e5cf206723a9a264e3231da6e7ab977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cf7b372-aaaa-46d8-9da6-ade9aab953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84C4-FC6E-4FFB-89F6-CA7D58F5A61F}"/>
</file>

<file path=customXml/itemProps2.xml><?xml version="1.0" encoding="utf-8"?>
<ds:datastoreItem xmlns:ds="http://schemas.openxmlformats.org/officeDocument/2006/customXml" ds:itemID="{9488BDA0-BB6A-420C-A668-E658CF6A4099}">
  <ds:schemaRefs>
    <ds:schemaRef ds:uri="236487dd-ec90-4f99-8970-1318e5f29791"/>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971BAB74-E6EC-4FAA-9763-8485EBBFB54C}">
  <ds:schemaRefs>
    <ds:schemaRef ds:uri="http://schemas.microsoft.com/sharepoint/v3/contenttype/forms"/>
  </ds:schemaRefs>
</ds:datastoreItem>
</file>

<file path=customXml/itemProps4.xml><?xml version="1.0" encoding="utf-8"?>
<ds:datastoreItem xmlns:ds="http://schemas.openxmlformats.org/officeDocument/2006/customXml" ds:itemID="{98F0FAEE-877E-45B7-9254-CBE1CF9F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Communique of GTTAC meeting of 14 April 2020</vt:lpstr>
    </vt:vector>
  </TitlesOfParts>
  <Company>Dept Health And Ageing</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of GTTAC meeting of 14 April 2020</dc:title>
  <dc:creator>Australian Government Department of Health</dc:creator>
  <cp:keywords>Gene Technology Technical Advisory Committee, GTTAC, Clinical trial, Influenza Vaccine</cp:keywords>
  <cp:lastModifiedBy>BAIRD, Dallas</cp:lastModifiedBy>
  <cp:revision>3</cp:revision>
  <dcterms:created xsi:type="dcterms:W3CDTF">2021-05-13T01:19:00Z</dcterms:created>
  <dcterms:modified xsi:type="dcterms:W3CDTF">2021-05-13T01:22:00Z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