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9B0D" w14:textId="77777777" w:rsidR="00747D3E" w:rsidRPr="0000143A" w:rsidRDefault="00747D3E" w:rsidP="00747D3E">
      <w:pPr>
        <w:pStyle w:val="Heading1"/>
      </w:pPr>
      <w:bookmarkStart w:id="0" w:name="_Toc47536733"/>
      <w:bookmarkStart w:id="1" w:name="_Toc220571238"/>
      <w:bookmarkStart w:id="2" w:name="_Toc174765844"/>
      <w:bookmarkStart w:id="3" w:name="_Toc167164262"/>
      <w:bookmarkStart w:id="4" w:name="_Toc198434571"/>
      <w:bookmarkStart w:id="5" w:name="_Toc259790166"/>
      <w:bookmarkStart w:id="6" w:name="_Toc236620543"/>
      <w:bookmarkStart w:id="7" w:name="_Toc209859545"/>
      <w:bookmarkStart w:id="8" w:name="_Toc342042133"/>
      <w:bookmarkStart w:id="9" w:name="_Toc347392001"/>
      <w:r w:rsidRPr="0000143A">
        <w:t>Summary of the Risk Assessment and Risk Management Plan</w:t>
      </w:r>
      <w:bookmarkEnd w:id="0"/>
      <w:bookmarkEnd w:id="1"/>
    </w:p>
    <w:p w14:paraId="3E2B289A" w14:textId="77777777" w:rsidR="00747D3E" w:rsidRPr="0000143A" w:rsidRDefault="00747D3E" w:rsidP="00747D3E">
      <w:pPr>
        <w:keepNext/>
        <w:jc w:val="center"/>
        <w:rPr>
          <w:rFonts w:cs="Arial"/>
          <w:b/>
          <w:bCs/>
          <w:kern w:val="32"/>
          <w:sz w:val="28"/>
          <w:szCs w:val="28"/>
          <w:lang w:eastAsia="en-US"/>
        </w:rPr>
      </w:pPr>
      <w:r w:rsidRPr="0000143A">
        <w:rPr>
          <w:rFonts w:cs="Arial"/>
          <w:b/>
          <w:bCs/>
          <w:kern w:val="32"/>
          <w:sz w:val="28"/>
          <w:szCs w:val="28"/>
          <w:lang w:eastAsia="en-US"/>
        </w:rPr>
        <w:t>for</w:t>
      </w:r>
    </w:p>
    <w:p w14:paraId="18C15E8F" w14:textId="408A8BB8" w:rsidR="00747D3E" w:rsidRPr="00F736DB" w:rsidRDefault="00747D3E" w:rsidP="00747D3E">
      <w:pPr>
        <w:keepNext/>
        <w:jc w:val="center"/>
        <w:rPr>
          <w:rFonts w:cs="Arial"/>
          <w:b/>
          <w:bCs/>
          <w:kern w:val="32"/>
          <w:sz w:val="36"/>
          <w:szCs w:val="36"/>
          <w:lang w:eastAsia="en-US"/>
        </w:rPr>
      </w:pPr>
      <w:r w:rsidRPr="0000143A">
        <w:rPr>
          <w:rFonts w:cs="Arial"/>
          <w:b/>
          <w:bCs/>
          <w:kern w:val="32"/>
          <w:sz w:val="36"/>
          <w:szCs w:val="36"/>
          <w:lang w:eastAsia="en-US"/>
        </w:rPr>
        <w:t xml:space="preserve">Licence </w:t>
      </w:r>
      <w:r>
        <w:rPr>
          <w:rFonts w:cs="Arial"/>
          <w:b/>
          <w:bCs/>
          <w:kern w:val="32"/>
          <w:sz w:val="36"/>
          <w:szCs w:val="36"/>
          <w:lang w:eastAsia="en-US"/>
        </w:rPr>
        <w:t>Application DIR-22</w:t>
      </w:r>
      <w:r w:rsidR="0000591A">
        <w:rPr>
          <w:rFonts w:cs="Arial"/>
          <w:b/>
          <w:bCs/>
          <w:kern w:val="32"/>
          <w:sz w:val="36"/>
          <w:szCs w:val="36"/>
          <w:lang w:eastAsia="en-US"/>
        </w:rPr>
        <w:t>0</w:t>
      </w:r>
    </w:p>
    <w:p w14:paraId="348749D6" w14:textId="77777777" w:rsidR="00C43E49" w:rsidRPr="000A29BE" w:rsidRDefault="00C43E49" w:rsidP="00C43E49">
      <w:pPr>
        <w:pStyle w:val="Heading2"/>
        <w:numPr>
          <w:ilvl w:val="0"/>
          <w:numId w:val="0"/>
        </w:numPr>
        <w:rPr>
          <w:lang w:eastAsia="en-US"/>
        </w:rPr>
      </w:pPr>
      <w:bookmarkStart w:id="10" w:name="_Toc47536734"/>
      <w:bookmarkStart w:id="11" w:name="_Toc232752736"/>
      <w:bookmarkEnd w:id="2"/>
      <w:bookmarkEnd w:id="3"/>
      <w:bookmarkEnd w:id="4"/>
      <w:bookmarkEnd w:id="5"/>
      <w:bookmarkEnd w:id="6"/>
      <w:bookmarkEnd w:id="7"/>
      <w:bookmarkEnd w:id="8"/>
      <w:bookmarkEnd w:id="9"/>
      <w:r>
        <w:rPr>
          <w:lang w:eastAsia="en-US"/>
        </w:rPr>
        <w:t>Decision</w:t>
      </w:r>
      <w:bookmarkEnd w:id="10"/>
      <w:bookmarkEnd w:id="11"/>
    </w:p>
    <w:p w14:paraId="4528680A" w14:textId="77777777" w:rsidR="00C43E49" w:rsidRPr="000A29BE" w:rsidRDefault="00C43E49" w:rsidP="00C43E49">
      <w:r w:rsidRPr="000A29BE">
        <w:t xml:space="preserve">The Gene Technology Regulator (the Regulator) has </w:t>
      </w:r>
      <w:r>
        <w:t>decided to issue</w:t>
      </w:r>
      <w:r w:rsidRPr="000A29BE">
        <w:t xml:space="preserve"> a licence for </w:t>
      </w:r>
      <w:r>
        <w:t xml:space="preserve">the import, </w:t>
      </w:r>
      <w:r w:rsidRPr="000A29BE">
        <w:t>transport, storage and disposal</w:t>
      </w:r>
      <w:r>
        <w:t xml:space="preserve"> of a</w:t>
      </w:r>
      <w:r w:rsidRPr="000A29BE">
        <w:t xml:space="preserve"> </w:t>
      </w:r>
      <w:r>
        <w:t xml:space="preserve">multivalent vaccine containing a </w:t>
      </w:r>
      <w:r w:rsidRPr="000A29BE">
        <w:t xml:space="preserve">genetically modified (GM) </w:t>
      </w:r>
      <w:r>
        <w:t>Venezuelan Equine Encephalitis Virus (VEEV) that produces the glycoprotein from Feline leukemia virus (FeLV), as part of its commercial supply to vaccinate cats</w:t>
      </w:r>
      <w:r w:rsidRPr="000A29BE">
        <w:t xml:space="preserve">. </w:t>
      </w:r>
      <w:r w:rsidRPr="00DA76ED">
        <w:t>A Ri</w:t>
      </w:r>
      <w:r w:rsidRPr="00DA76ED">
        <w:rPr>
          <w:color w:val="000000"/>
        </w:rPr>
        <w:t>sk Assessment and Risk Management Plan (RARMP) for this application</w:t>
      </w:r>
      <w:r w:rsidRPr="00DA76ED">
        <w:t xml:space="preserve"> has been prepared</w:t>
      </w:r>
      <w:r w:rsidRPr="00DA76ED" w:rsidDel="002F4DCA">
        <w:t xml:space="preserve"> </w:t>
      </w:r>
      <w:r w:rsidRPr="00DA76ED">
        <w:t xml:space="preserve">by the Regulator in accordance with the </w:t>
      </w:r>
      <w:r w:rsidRPr="00DA76ED">
        <w:rPr>
          <w:i/>
          <w:iCs/>
        </w:rPr>
        <w:t>Gene Technology Act 2000</w:t>
      </w:r>
      <w:r w:rsidRPr="00DA76ED">
        <w:t xml:space="preserve"> (the Act) and corresponding state and territory legislation, and finalised following consultation with a wide range of experts, agencies and authorities, and the public. The RARMP concluded</w:t>
      </w:r>
      <w:r w:rsidRPr="00DA76ED">
        <w:rPr>
          <w:color w:val="000000"/>
        </w:rPr>
        <w:t xml:space="preserve"> that the prop</w:t>
      </w:r>
      <w:r w:rsidRPr="002D48AF">
        <w:t>osed release</w:t>
      </w:r>
      <w:r w:rsidRPr="00DA76ED">
        <w:t xml:space="preserve"> poses </w:t>
      </w:r>
      <w:r w:rsidRPr="002D48AF">
        <w:t>negligible</w:t>
      </w:r>
      <w:r w:rsidRPr="00DA76ED">
        <w:t xml:space="preserve"> risk to human health and safety and the environment and that any risks posed by the dealings can be managed by imposing conditions on the release.</w:t>
      </w:r>
    </w:p>
    <w:p w14:paraId="3A2C300C" w14:textId="77777777" w:rsidR="00C43E49" w:rsidRPr="000A29BE" w:rsidRDefault="00C43E49" w:rsidP="00C43E49">
      <w:r w:rsidRPr="000A29BE">
        <w:t>Before vaccine</w:t>
      </w:r>
      <w:r>
        <w:t>s</w:t>
      </w:r>
      <w:r w:rsidRPr="000A29BE">
        <w:t xml:space="preserve"> </w:t>
      </w:r>
      <w:r>
        <w:t xml:space="preserve">containing the GMO </w:t>
      </w:r>
      <w:r w:rsidRPr="000A29BE">
        <w:t xml:space="preserve">can be used, </w:t>
      </w:r>
      <w:r>
        <w:t>Intervet Australia</w:t>
      </w:r>
      <w:r w:rsidRPr="000A29BE">
        <w:t xml:space="preserve"> Pty Ltd must also obtain regulatory approval from the Australian Pesticide and Veterinary Medicines Authority (APVMA). The APVMA </w:t>
      </w:r>
      <w:r w:rsidRPr="000A29BE">
        <w:rPr>
          <w:rFonts w:asciiTheme="minorHAnsi" w:hAnsiTheme="minorHAnsi"/>
        </w:rPr>
        <w:t xml:space="preserve">administers the </w:t>
      </w:r>
      <w:r w:rsidRPr="000A29BE">
        <w:rPr>
          <w:rFonts w:asciiTheme="minorHAnsi" w:hAnsiTheme="minorHAnsi"/>
          <w:i/>
        </w:rPr>
        <w:t>Agricultural and Veterinary Chemicals Code Act 1994</w:t>
      </w:r>
      <w:r w:rsidRPr="000A29BE">
        <w:rPr>
          <w:rFonts w:asciiTheme="minorHAnsi" w:hAnsiTheme="minorHAnsi"/>
        </w:rPr>
        <w:t xml:space="preserve"> </w:t>
      </w:r>
      <w:r w:rsidRPr="000A29BE">
        <w:rPr>
          <w:rFonts w:asciiTheme="minorHAnsi" w:hAnsiTheme="minorHAnsi"/>
          <w:szCs w:val="22"/>
        </w:rPr>
        <w:t xml:space="preserve">(the Agvet Code) </w:t>
      </w:r>
      <w:r w:rsidRPr="000A29BE">
        <w:rPr>
          <w:rFonts w:asciiTheme="minorHAnsi" w:hAnsiTheme="minorHAnsi"/>
        </w:rPr>
        <w:t>to regulate agricultural and veterinary chemical products, including veterinary vaccines.</w:t>
      </w:r>
      <w:r w:rsidRPr="000A29BE">
        <w:t xml:space="preserve"> </w:t>
      </w:r>
      <w:r w:rsidRPr="000A29BE">
        <w:rPr>
          <w:rFonts w:asciiTheme="minorHAnsi" w:hAnsiTheme="minorHAnsi"/>
        </w:rPr>
        <w:t xml:space="preserve">For commercial products, the </w:t>
      </w:r>
      <w:r>
        <w:rPr>
          <w:rFonts w:asciiTheme="minorHAnsi" w:hAnsiTheme="minorHAnsi"/>
        </w:rPr>
        <w:t>standard</w:t>
      </w:r>
      <w:r w:rsidRPr="000A29BE">
        <w:rPr>
          <w:rFonts w:asciiTheme="minorHAnsi" w:hAnsiTheme="minorHAnsi"/>
        </w:rPr>
        <w:t xml:space="preserve"> form of approval is through registration</w:t>
      </w:r>
      <w:r w:rsidRPr="000A29BE">
        <w:rPr>
          <w:rFonts w:cs="Calibri"/>
          <w:szCs w:val="22"/>
        </w:rPr>
        <w:t>.</w:t>
      </w:r>
      <w:r w:rsidRPr="000A29BE">
        <w:rPr>
          <w:rFonts w:asciiTheme="minorHAnsi" w:hAnsiTheme="minorHAnsi"/>
        </w:rPr>
        <w:t xml:space="preserve"> The APVMA can impose conditions on the use of veterinary products via registrations and permits.</w:t>
      </w:r>
    </w:p>
    <w:p w14:paraId="4C3C0770" w14:textId="77777777" w:rsidR="00C43E49" w:rsidRPr="000A29BE" w:rsidRDefault="00C43E49" w:rsidP="00C43E49">
      <w:pPr>
        <w:pStyle w:val="Heading2"/>
        <w:numPr>
          <w:ilvl w:val="0"/>
          <w:numId w:val="0"/>
        </w:numPr>
      </w:pPr>
      <w:bookmarkStart w:id="12" w:name="_Toc342042135"/>
      <w:bookmarkStart w:id="13" w:name="_Toc47536735"/>
      <w:bookmarkStart w:id="14" w:name="_Toc232752737"/>
      <w:bookmarkStart w:id="15" w:name="_Toc291151777"/>
      <w:bookmarkStart w:id="16" w:name="_Toc274904727"/>
      <w:bookmarkStart w:id="17" w:name="_Toc209859548"/>
      <w:r w:rsidRPr="00F53DEA">
        <w:t>The application</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C43E49" w:rsidRPr="000A29BE" w14:paraId="6B00CAA6" w14:textId="77777777" w:rsidTr="00AD6019">
        <w:tc>
          <w:tcPr>
            <w:tcW w:w="2263" w:type="dxa"/>
            <w:tcBorders>
              <w:top w:val="single" w:sz="4" w:space="0" w:color="auto"/>
              <w:left w:val="single" w:sz="4" w:space="0" w:color="auto"/>
              <w:bottom w:val="single" w:sz="4" w:space="0" w:color="auto"/>
              <w:right w:val="single" w:sz="4" w:space="0" w:color="auto"/>
            </w:tcBorders>
            <w:hideMark/>
          </w:tcPr>
          <w:p w14:paraId="35F62DAD" w14:textId="77777777" w:rsidR="00C43E49" w:rsidRPr="000A29BE" w:rsidRDefault="00C43E49" w:rsidP="00AD6019">
            <w:pPr>
              <w:spacing w:before="60" w:after="60"/>
              <w:rPr>
                <w:b/>
              </w:rPr>
            </w:pPr>
            <w:r w:rsidRPr="000A29BE">
              <w:rPr>
                <w:b/>
              </w:rPr>
              <w:t>Project title</w:t>
            </w:r>
          </w:p>
        </w:tc>
        <w:tc>
          <w:tcPr>
            <w:tcW w:w="7343" w:type="dxa"/>
            <w:tcBorders>
              <w:top w:val="single" w:sz="4" w:space="0" w:color="auto"/>
              <w:left w:val="single" w:sz="4" w:space="0" w:color="auto"/>
              <w:bottom w:val="single" w:sz="4" w:space="0" w:color="auto"/>
              <w:right w:val="single" w:sz="4" w:space="0" w:color="auto"/>
            </w:tcBorders>
          </w:tcPr>
          <w:p w14:paraId="40432575" w14:textId="77777777" w:rsidR="00C43E49" w:rsidRPr="000A29BE" w:rsidRDefault="00C43E49" w:rsidP="00AD6019">
            <w:pPr>
              <w:spacing w:before="60" w:after="60"/>
            </w:pPr>
            <w:r w:rsidRPr="000A29BE">
              <w:rPr>
                <w:rFonts w:asciiTheme="minorHAnsi" w:hAnsiTheme="minorHAnsi"/>
              </w:rPr>
              <w:t xml:space="preserve">Commercial supply of </w:t>
            </w:r>
            <w:r>
              <w:rPr>
                <w:rFonts w:asciiTheme="minorHAnsi" w:hAnsiTheme="minorHAnsi"/>
              </w:rPr>
              <w:t xml:space="preserve">multivalent cat vaccines containing a </w:t>
            </w:r>
            <w:r w:rsidRPr="000A29BE">
              <w:rPr>
                <w:rFonts w:asciiTheme="minorHAnsi" w:hAnsiTheme="minorHAnsi" w:cs="Arial"/>
              </w:rPr>
              <w:t xml:space="preserve">genetically modified </w:t>
            </w:r>
            <w:r>
              <w:rPr>
                <w:rFonts w:asciiTheme="minorHAnsi" w:hAnsiTheme="minorHAnsi" w:cs="Arial"/>
              </w:rPr>
              <w:t>component for the prevention of feline leukemia virus infection</w:t>
            </w:r>
            <w:r w:rsidRPr="000A29BE">
              <w:rPr>
                <w:rStyle w:val="FootnoteReference"/>
                <w:rFonts w:asciiTheme="minorHAnsi" w:hAnsiTheme="minorHAnsi" w:cs="Arial"/>
              </w:rPr>
              <w:footnoteReference w:id="1"/>
            </w:r>
          </w:p>
        </w:tc>
      </w:tr>
      <w:tr w:rsidR="00C43E49" w:rsidRPr="000A29BE" w14:paraId="6547848A" w14:textId="77777777" w:rsidTr="00AD6019">
        <w:tc>
          <w:tcPr>
            <w:tcW w:w="2263" w:type="dxa"/>
            <w:tcBorders>
              <w:top w:val="single" w:sz="4" w:space="0" w:color="auto"/>
              <w:left w:val="single" w:sz="4" w:space="0" w:color="auto"/>
              <w:bottom w:val="single" w:sz="4" w:space="0" w:color="auto"/>
              <w:right w:val="single" w:sz="4" w:space="0" w:color="auto"/>
            </w:tcBorders>
            <w:hideMark/>
          </w:tcPr>
          <w:p w14:paraId="186B37A5" w14:textId="77777777" w:rsidR="00C43E49" w:rsidRPr="000A29BE" w:rsidRDefault="00C43E49" w:rsidP="00AD6019">
            <w:pPr>
              <w:spacing w:before="60" w:after="60"/>
              <w:rPr>
                <w:b/>
              </w:rPr>
            </w:pPr>
            <w:r w:rsidRPr="000A29BE">
              <w:rPr>
                <w:b/>
              </w:rPr>
              <w:t>Parent organism</w:t>
            </w:r>
          </w:p>
        </w:tc>
        <w:tc>
          <w:tcPr>
            <w:tcW w:w="7343" w:type="dxa"/>
            <w:tcBorders>
              <w:top w:val="single" w:sz="4" w:space="0" w:color="auto"/>
              <w:left w:val="single" w:sz="4" w:space="0" w:color="auto"/>
              <w:bottom w:val="single" w:sz="4" w:space="0" w:color="auto"/>
              <w:right w:val="single" w:sz="4" w:space="0" w:color="auto"/>
            </w:tcBorders>
          </w:tcPr>
          <w:p w14:paraId="644279CC" w14:textId="77777777" w:rsidR="00C43E49" w:rsidRPr="000A29BE" w:rsidRDefault="00C43E49" w:rsidP="00AD6019">
            <w:pPr>
              <w:spacing w:before="60" w:after="60"/>
            </w:pPr>
            <w:r>
              <w:rPr>
                <w:rFonts w:asciiTheme="minorHAnsi" w:hAnsiTheme="minorHAnsi"/>
              </w:rPr>
              <w:t>Venezuelan Equine Encephalitis Virus (VEEV) vaccine strain TC-83</w:t>
            </w:r>
          </w:p>
        </w:tc>
      </w:tr>
      <w:tr w:rsidR="00C43E49" w:rsidRPr="000A29BE" w14:paraId="70563915" w14:textId="77777777" w:rsidTr="00AD6019">
        <w:tc>
          <w:tcPr>
            <w:tcW w:w="2263" w:type="dxa"/>
            <w:tcBorders>
              <w:top w:val="single" w:sz="4" w:space="0" w:color="auto"/>
              <w:left w:val="single" w:sz="4" w:space="0" w:color="auto"/>
              <w:bottom w:val="single" w:sz="4" w:space="0" w:color="auto"/>
              <w:right w:val="single" w:sz="4" w:space="0" w:color="auto"/>
            </w:tcBorders>
            <w:hideMark/>
          </w:tcPr>
          <w:p w14:paraId="03B47E86" w14:textId="77777777" w:rsidR="00C43E49" w:rsidRPr="000A29BE" w:rsidRDefault="00C43E49" w:rsidP="00AD6019">
            <w:pPr>
              <w:spacing w:before="60" w:after="60"/>
              <w:rPr>
                <w:b/>
              </w:rPr>
            </w:pPr>
            <w:r>
              <w:rPr>
                <w:b/>
              </w:rPr>
              <w:t xml:space="preserve">Genetic modifications </w:t>
            </w:r>
          </w:p>
        </w:tc>
        <w:tc>
          <w:tcPr>
            <w:tcW w:w="7343" w:type="dxa"/>
            <w:tcBorders>
              <w:top w:val="single" w:sz="4" w:space="0" w:color="auto"/>
              <w:left w:val="single" w:sz="4" w:space="0" w:color="auto"/>
              <w:bottom w:val="single" w:sz="4" w:space="0" w:color="auto"/>
              <w:right w:val="single" w:sz="4" w:space="0" w:color="auto"/>
            </w:tcBorders>
          </w:tcPr>
          <w:p w14:paraId="3E668CBB" w14:textId="77777777" w:rsidR="00C43E49" w:rsidRDefault="00C43E49" w:rsidP="00AD6019">
            <w:pPr>
              <w:pStyle w:val="RIGHTLIST"/>
              <w:keepNext w:val="0"/>
              <w:widowControl w:val="0"/>
              <w:spacing w:before="60" w:after="60"/>
              <w:rPr>
                <w:rFonts w:ascii="Calibri" w:hAnsi="Calibri"/>
              </w:rPr>
            </w:pPr>
            <w:r w:rsidRPr="005B21E0">
              <w:rPr>
                <w:rFonts w:ascii="Calibri" w:hAnsi="Calibri"/>
                <w:b/>
                <w:bCs/>
              </w:rPr>
              <w:t>Delet</w:t>
            </w:r>
            <w:r>
              <w:rPr>
                <w:rFonts w:ascii="Calibri" w:hAnsi="Calibri"/>
                <w:b/>
                <w:bCs/>
              </w:rPr>
              <w:t>ed genes</w:t>
            </w:r>
            <w:r>
              <w:rPr>
                <w:rFonts w:ascii="Calibri" w:hAnsi="Calibri"/>
              </w:rPr>
              <w:t>:</w:t>
            </w:r>
          </w:p>
          <w:p w14:paraId="7F31C8A8" w14:textId="77777777" w:rsidR="00C43E49" w:rsidRPr="007765FB" w:rsidRDefault="00C43E49" w:rsidP="00C43E49">
            <w:pPr>
              <w:pStyle w:val="RIGHTLIST"/>
              <w:keepNext w:val="0"/>
              <w:widowControl w:val="0"/>
              <w:numPr>
                <w:ilvl w:val="0"/>
                <w:numId w:val="9"/>
              </w:numPr>
              <w:spacing w:before="60" w:after="60"/>
              <w:rPr>
                <w:rFonts w:ascii="Calibri" w:hAnsi="Calibri"/>
              </w:rPr>
            </w:pPr>
            <w:r>
              <w:rPr>
                <w:rFonts w:ascii="Calibri" w:hAnsi="Calibri"/>
              </w:rPr>
              <w:t>Viral structural genes - to render the GMO unable to produce new viral particles</w:t>
            </w:r>
          </w:p>
          <w:p w14:paraId="33EBD65C" w14:textId="77777777" w:rsidR="00C43E49" w:rsidRDefault="00C43E49" w:rsidP="00AD6019">
            <w:pPr>
              <w:pStyle w:val="RIGHTLIST"/>
              <w:autoSpaceDE w:val="0"/>
              <w:autoSpaceDN w:val="0"/>
              <w:spacing w:before="0"/>
              <w:rPr>
                <w:rFonts w:ascii="Calibri" w:hAnsi="Calibri"/>
              </w:rPr>
            </w:pPr>
            <w:r w:rsidRPr="005B21E0">
              <w:rPr>
                <w:rFonts w:ascii="Calibri" w:hAnsi="Calibri"/>
                <w:b/>
                <w:bCs/>
              </w:rPr>
              <w:t>Introduced</w:t>
            </w:r>
            <w:r>
              <w:rPr>
                <w:rFonts w:ascii="Calibri" w:hAnsi="Calibri"/>
                <w:b/>
                <w:bCs/>
              </w:rPr>
              <w:t xml:space="preserve"> gene</w:t>
            </w:r>
            <w:r>
              <w:rPr>
                <w:rFonts w:ascii="Calibri" w:hAnsi="Calibri"/>
              </w:rPr>
              <w:t>:</w:t>
            </w:r>
          </w:p>
          <w:p w14:paraId="798B4EAD" w14:textId="77777777" w:rsidR="00C43E49" w:rsidRPr="000975F5" w:rsidRDefault="00C43E49" w:rsidP="00C43E49">
            <w:pPr>
              <w:pStyle w:val="RIGHTLIST"/>
              <w:numPr>
                <w:ilvl w:val="0"/>
                <w:numId w:val="9"/>
              </w:numPr>
              <w:autoSpaceDE w:val="0"/>
              <w:autoSpaceDN w:val="0"/>
              <w:spacing w:before="0"/>
              <w:rPr>
                <w:rFonts w:ascii="Calibri" w:hAnsi="Calibri"/>
              </w:rPr>
            </w:pPr>
            <w:r w:rsidRPr="00CC03CD">
              <w:rPr>
                <w:rFonts w:ascii="Calibri" w:hAnsi="Calibri"/>
              </w:rPr>
              <w:t>Feline leukemia virus glycoprotein gene</w:t>
            </w:r>
            <w:r>
              <w:rPr>
                <w:rFonts w:ascii="Calibri" w:hAnsi="Calibri"/>
              </w:rPr>
              <w:t xml:space="preserve"> </w:t>
            </w:r>
            <w:r w:rsidRPr="00CC03CD">
              <w:rPr>
                <w:rFonts w:ascii="Calibri" w:hAnsi="Calibri"/>
              </w:rPr>
              <w:t xml:space="preserve">– </w:t>
            </w:r>
            <w:r>
              <w:rPr>
                <w:rFonts w:ascii="Calibri" w:hAnsi="Calibri"/>
                <w:iCs/>
              </w:rPr>
              <w:t>trigger an immune response against</w:t>
            </w:r>
            <w:r>
              <w:rPr>
                <w:rFonts w:ascii="Calibri" w:hAnsi="Calibri"/>
              </w:rPr>
              <w:t xml:space="preserve"> the feline leukemia virus and protect animals against later infection</w:t>
            </w:r>
          </w:p>
        </w:tc>
      </w:tr>
      <w:tr w:rsidR="00C43E49" w:rsidRPr="000A29BE" w14:paraId="71DFBB89" w14:textId="77777777" w:rsidTr="00AD6019">
        <w:tc>
          <w:tcPr>
            <w:tcW w:w="2263" w:type="dxa"/>
            <w:tcBorders>
              <w:top w:val="single" w:sz="4" w:space="0" w:color="auto"/>
              <w:left w:val="single" w:sz="4" w:space="0" w:color="auto"/>
              <w:bottom w:val="single" w:sz="4" w:space="0" w:color="auto"/>
              <w:right w:val="single" w:sz="4" w:space="0" w:color="auto"/>
            </w:tcBorders>
          </w:tcPr>
          <w:p w14:paraId="36D8CCBF" w14:textId="77777777" w:rsidR="00C43E49" w:rsidRPr="003B0047" w:rsidRDefault="00C43E49" w:rsidP="00AD6019">
            <w:pPr>
              <w:spacing w:before="60" w:after="60"/>
              <w:rPr>
                <w:iCs/>
              </w:rPr>
            </w:pPr>
            <w:r w:rsidRPr="0020030D">
              <w:rPr>
                <w:b/>
                <w:iCs/>
              </w:rPr>
              <w:t>Previous releases</w:t>
            </w:r>
          </w:p>
        </w:tc>
        <w:tc>
          <w:tcPr>
            <w:tcW w:w="7343" w:type="dxa"/>
            <w:tcBorders>
              <w:top w:val="single" w:sz="4" w:space="0" w:color="auto"/>
              <w:left w:val="single" w:sz="4" w:space="0" w:color="auto"/>
              <w:bottom w:val="single" w:sz="4" w:space="0" w:color="auto"/>
              <w:right w:val="single" w:sz="4" w:space="0" w:color="auto"/>
            </w:tcBorders>
          </w:tcPr>
          <w:p w14:paraId="36338771" w14:textId="77777777" w:rsidR="00C43E49" w:rsidRPr="000A29BE" w:rsidRDefault="00C43E49" w:rsidP="00AD6019">
            <w:pPr>
              <w:pStyle w:val="Para"/>
              <w:rPr>
                <w:rFonts w:ascii="Calibri" w:hAnsi="Calibri" w:cs="Calibri"/>
              </w:rPr>
            </w:pPr>
            <w:r w:rsidRPr="000A29BE">
              <w:t>The GM</w:t>
            </w:r>
            <w:r>
              <w:t>O in the</w:t>
            </w:r>
            <w:r w:rsidRPr="000A29BE">
              <w:t xml:space="preserve"> vaccine has </w:t>
            </w:r>
            <w:r>
              <w:t>not been previously approved for release in Australia</w:t>
            </w:r>
          </w:p>
        </w:tc>
      </w:tr>
      <w:tr w:rsidR="00C43E49" w:rsidRPr="000A29BE" w14:paraId="12238D07" w14:textId="77777777" w:rsidTr="00AD6019">
        <w:tc>
          <w:tcPr>
            <w:tcW w:w="2263" w:type="dxa"/>
            <w:tcBorders>
              <w:top w:val="single" w:sz="4" w:space="0" w:color="auto"/>
              <w:left w:val="single" w:sz="4" w:space="0" w:color="auto"/>
              <w:bottom w:val="single" w:sz="4" w:space="0" w:color="auto"/>
              <w:right w:val="single" w:sz="4" w:space="0" w:color="auto"/>
            </w:tcBorders>
          </w:tcPr>
          <w:p w14:paraId="2F2A6D88" w14:textId="77777777" w:rsidR="00C43E49" w:rsidRPr="000A29BE" w:rsidRDefault="00C43E49" w:rsidP="00AD6019">
            <w:pPr>
              <w:spacing w:before="60" w:after="60"/>
            </w:pPr>
            <w:r w:rsidRPr="000A29BE">
              <w:rPr>
                <w:b/>
              </w:rPr>
              <w:t>Current approvals</w:t>
            </w:r>
          </w:p>
        </w:tc>
        <w:tc>
          <w:tcPr>
            <w:tcW w:w="7343" w:type="dxa"/>
            <w:tcBorders>
              <w:top w:val="single" w:sz="4" w:space="0" w:color="auto"/>
              <w:left w:val="single" w:sz="4" w:space="0" w:color="auto"/>
              <w:bottom w:val="single" w:sz="4" w:space="0" w:color="auto"/>
              <w:right w:val="single" w:sz="4" w:space="0" w:color="auto"/>
            </w:tcBorders>
          </w:tcPr>
          <w:p w14:paraId="09B8D081" w14:textId="77777777" w:rsidR="00C43E49" w:rsidRPr="000A29BE" w:rsidRDefault="00C43E49" w:rsidP="00AD6019">
            <w:pPr>
              <w:pStyle w:val="Para"/>
            </w:pPr>
            <w:r w:rsidRPr="00EB3066">
              <w:t>The GM</w:t>
            </w:r>
            <w:r>
              <w:t>O and the</w:t>
            </w:r>
            <w:r w:rsidRPr="00EB3066">
              <w:t xml:space="preserve"> vaccine </w:t>
            </w:r>
            <w:r>
              <w:t>are currently</w:t>
            </w:r>
            <w:r w:rsidRPr="00EB3066">
              <w:t xml:space="preserve"> approved for </w:t>
            </w:r>
            <w:r>
              <w:t xml:space="preserve">use by the United States Department of Agriculture and are recommended for approval by the European Medicines Agency. </w:t>
            </w:r>
          </w:p>
        </w:tc>
      </w:tr>
      <w:tr w:rsidR="00C43E49" w:rsidRPr="000A29BE" w14:paraId="3194DED5" w14:textId="77777777" w:rsidTr="00AD6019">
        <w:tc>
          <w:tcPr>
            <w:tcW w:w="2263" w:type="dxa"/>
            <w:tcBorders>
              <w:top w:val="single" w:sz="4" w:space="0" w:color="auto"/>
              <w:left w:val="single" w:sz="4" w:space="0" w:color="auto"/>
              <w:bottom w:val="single" w:sz="4" w:space="0" w:color="auto"/>
              <w:right w:val="single" w:sz="4" w:space="0" w:color="auto"/>
            </w:tcBorders>
            <w:hideMark/>
          </w:tcPr>
          <w:p w14:paraId="78E606CD" w14:textId="77777777" w:rsidR="00C43E49" w:rsidRPr="000A29BE" w:rsidRDefault="00C43E49" w:rsidP="00AD6019">
            <w:pPr>
              <w:spacing w:before="60" w:after="60"/>
              <w:rPr>
                <w:b/>
              </w:rPr>
            </w:pPr>
            <w:r w:rsidRPr="000A29BE">
              <w:rPr>
                <w:b/>
              </w:rPr>
              <w:lastRenderedPageBreak/>
              <w:t>Proposed locations</w:t>
            </w:r>
          </w:p>
        </w:tc>
        <w:tc>
          <w:tcPr>
            <w:tcW w:w="7343" w:type="dxa"/>
            <w:tcBorders>
              <w:top w:val="single" w:sz="4" w:space="0" w:color="auto"/>
              <w:left w:val="single" w:sz="4" w:space="0" w:color="auto"/>
              <w:bottom w:val="single" w:sz="4" w:space="0" w:color="auto"/>
              <w:right w:val="single" w:sz="4" w:space="0" w:color="auto"/>
            </w:tcBorders>
          </w:tcPr>
          <w:p w14:paraId="2B9FEEB2" w14:textId="77777777" w:rsidR="00C43E49" w:rsidRPr="000A29BE" w:rsidRDefault="00C43E49" w:rsidP="00AD6019">
            <w:pPr>
              <w:spacing w:before="60" w:after="60"/>
            </w:pPr>
            <w:r w:rsidRPr="000A29BE">
              <w:t>Australia-wide</w:t>
            </w:r>
          </w:p>
        </w:tc>
      </w:tr>
      <w:tr w:rsidR="00C43E49" w:rsidRPr="000A29BE" w14:paraId="43A1E1D3" w14:textId="77777777" w:rsidTr="00AD6019">
        <w:tc>
          <w:tcPr>
            <w:tcW w:w="2263" w:type="dxa"/>
            <w:tcBorders>
              <w:top w:val="single" w:sz="4" w:space="0" w:color="auto"/>
              <w:left w:val="single" w:sz="4" w:space="0" w:color="auto"/>
              <w:bottom w:val="single" w:sz="4" w:space="0" w:color="auto"/>
              <w:right w:val="single" w:sz="4" w:space="0" w:color="auto"/>
            </w:tcBorders>
            <w:hideMark/>
          </w:tcPr>
          <w:p w14:paraId="373565C0" w14:textId="77777777" w:rsidR="00C43E49" w:rsidRPr="000A29BE" w:rsidRDefault="00C43E49" w:rsidP="00AD6019">
            <w:pPr>
              <w:spacing w:before="60" w:after="60"/>
              <w:rPr>
                <w:b/>
              </w:rPr>
            </w:pPr>
            <w:r w:rsidRPr="000A29BE">
              <w:rPr>
                <w:b/>
              </w:rPr>
              <w:t xml:space="preserve">Primary purpose </w:t>
            </w:r>
          </w:p>
        </w:tc>
        <w:tc>
          <w:tcPr>
            <w:tcW w:w="7343" w:type="dxa"/>
            <w:tcBorders>
              <w:top w:val="single" w:sz="4" w:space="0" w:color="auto"/>
              <w:left w:val="single" w:sz="4" w:space="0" w:color="auto"/>
              <w:bottom w:val="single" w:sz="4" w:space="0" w:color="auto"/>
              <w:right w:val="single" w:sz="4" w:space="0" w:color="auto"/>
            </w:tcBorders>
          </w:tcPr>
          <w:p w14:paraId="168D3E76" w14:textId="77777777" w:rsidR="00C43E49" w:rsidRPr="000A29BE" w:rsidRDefault="00C43E49" w:rsidP="00AD6019">
            <w:pPr>
              <w:spacing w:before="60" w:after="60"/>
            </w:pPr>
            <w:r w:rsidRPr="000A29BE">
              <w:t xml:space="preserve">Commercial supply of the </w:t>
            </w:r>
            <w:r>
              <w:t>multivalent vaccines to protect against infectious diseases in cats</w:t>
            </w:r>
            <w:r w:rsidRPr="000A29BE">
              <w:t>.</w:t>
            </w:r>
          </w:p>
        </w:tc>
      </w:tr>
    </w:tbl>
    <w:p w14:paraId="346134E5" w14:textId="77777777" w:rsidR="00C43E49" w:rsidRPr="000A29BE" w:rsidRDefault="00C43E49" w:rsidP="00C43E49">
      <w:pPr>
        <w:pStyle w:val="Heading2"/>
        <w:numPr>
          <w:ilvl w:val="0"/>
          <w:numId w:val="0"/>
        </w:numPr>
      </w:pPr>
      <w:bookmarkStart w:id="18" w:name="_Toc342042136"/>
      <w:bookmarkStart w:id="19" w:name="_Toc47536736"/>
      <w:bookmarkStart w:id="20" w:name="_Toc232752738"/>
      <w:r w:rsidRPr="00F53DEA">
        <w:t>Risk assessment</w:t>
      </w:r>
      <w:bookmarkEnd w:id="15"/>
      <w:bookmarkEnd w:id="16"/>
      <w:bookmarkEnd w:id="17"/>
      <w:bookmarkEnd w:id="18"/>
      <w:bookmarkEnd w:id="19"/>
      <w:bookmarkEnd w:id="20"/>
    </w:p>
    <w:p w14:paraId="1036F57C" w14:textId="77777777" w:rsidR="00C43E49" w:rsidRPr="000A29BE" w:rsidRDefault="00C43E49" w:rsidP="00C43E49">
      <w:pPr>
        <w:pStyle w:val="RARMPnumberedparagraphs"/>
        <w:numPr>
          <w:ilvl w:val="0"/>
          <w:numId w:val="0"/>
        </w:numPr>
      </w:pPr>
      <w:r w:rsidRPr="000A29BE">
        <w:rPr>
          <w:rFonts w:cs="Calibri"/>
        </w:rPr>
        <w:t xml:space="preserve">The risk assessment process considers how the genetic modification and activities conducted with the GM vaccine in the context of </w:t>
      </w:r>
      <w:r>
        <w:rPr>
          <w:rFonts w:cs="Calibri"/>
        </w:rPr>
        <w:t xml:space="preserve">import, </w:t>
      </w:r>
      <w:r w:rsidRPr="000A29BE">
        <w:rPr>
          <w:rFonts w:cs="Calibri"/>
        </w:rPr>
        <w:t>transport, storage and disposal might lead to harm to people or the environment. Risks are characterised in relation to both</w:t>
      </w:r>
      <w:r w:rsidRPr="000A29BE">
        <w:rPr>
          <w:rFonts w:cs="Calibri"/>
          <w:szCs w:val="22"/>
        </w:rPr>
        <w:t xml:space="preserve"> the seriousness and likelihood of harm, taking into account information in the application, relevant previous approvals, current scientific knowledge and advice received from a wide range of experts, agencies and authorities consulted on the </w:t>
      </w:r>
      <w:r>
        <w:rPr>
          <w:rFonts w:cs="Calibri"/>
          <w:szCs w:val="22"/>
        </w:rPr>
        <w:t>consultation</w:t>
      </w:r>
      <w:r w:rsidRPr="000A29BE">
        <w:rPr>
          <w:rFonts w:cs="Calibri"/>
          <w:szCs w:val="22"/>
        </w:rPr>
        <w:t xml:space="preserve"> RARMP. Both the short- and long-term risks were considered. </w:t>
      </w:r>
    </w:p>
    <w:p w14:paraId="277443AE" w14:textId="77777777" w:rsidR="00C43E49" w:rsidRPr="000A29BE" w:rsidRDefault="00C43E49" w:rsidP="00C43E49">
      <w:pPr>
        <w:pStyle w:val="Paranonumbers"/>
        <w:rPr>
          <w:rFonts w:ascii="Calibri" w:hAnsi="Calibri" w:cs="Calibri"/>
          <w:sz w:val="22"/>
          <w:szCs w:val="22"/>
        </w:rPr>
      </w:pPr>
      <w:r w:rsidRPr="000A29BE">
        <w:rPr>
          <w:rFonts w:ascii="Calibri" w:hAnsi="Calibri" w:cs="Calibri"/>
          <w:sz w:val="22"/>
          <w:szCs w:val="22"/>
        </w:rPr>
        <w:t>Credible pathways to potential harm that were considered include</w:t>
      </w:r>
      <w:r>
        <w:rPr>
          <w:rFonts w:ascii="Calibri" w:hAnsi="Calibri" w:cs="Calibri"/>
          <w:sz w:val="22"/>
          <w:szCs w:val="22"/>
        </w:rPr>
        <w:t>d</w:t>
      </w:r>
      <w:r w:rsidRPr="000A29BE">
        <w:rPr>
          <w:rFonts w:ascii="Calibri" w:hAnsi="Calibri" w:cs="Calibri"/>
          <w:sz w:val="22"/>
          <w:szCs w:val="22"/>
        </w:rPr>
        <w:t xml:space="preserve"> the potential exposure of people to the GMO; the potential exposure of animals to the GMO; and the potential for the GMO to recombine with other similar viruses. The potential for the GMO to be released into the environment and its effects were also considered.</w:t>
      </w:r>
    </w:p>
    <w:p w14:paraId="32553571" w14:textId="77777777" w:rsidR="00C43E49" w:rsidRPr="000A29BE" w:rsidRDefault="00C43E49" w:rsidP="00C43E49">
      <w:pPr>
        <w:rPr>
          <w:bCs/>
        </w:rPr>
      </w:pPr>
      <w:r w:rsidRPr="00892BE6">
        <w:t xml:space="preserve">The risk assessment concludes that risks to the health and safety of people are negligible and the risks to the environment from the proposed supply of this vaccine are </w:t>
      </w:r>
      <w:r w:rsidRPr="00892BE6">
        <w:rPr>
          <w:bCs/>
        </w:rPr>
        <w:t>negligible</w:t>
      </w:r>
      <w:r w:rsidRPr="00892BE6">
        <w:t>.</w:t>
      </w:r>
    </w:p>
    <w:p w14:paraId="09EFF19E" w14:textId="77777777" w:rsidR="00C43E49" w:rsidRPr="000A29BE" w:rsidRDefault="00C43E49" w:rsidP="00C43E49">
      <w:pPr>
        <w:rPr>
          <w:rFonts w:cs="Calibri"/>
          <w:szCs w:val="22"/>
        </w:rPr>
      </w:pPr>
      <w:r w:rsidRPr="000A29BE">
        <w:rPr>
          <w:rFonts w:cs="Calibri"/>
          <w:szCs w:val="22"/>
        </w:rPr>
        <w:t xml:space="preserve">The principal reasons for the conclusion of negligible risks associated with </w:t>
      </w:r>
      <w:r>
        <w:rPr>
          <w:rFonts w:cs="Calibri"/>
          <w:szCs w:val="22"/>
        </w:rPr>
        <w:t xml:space="preserve">import, </w:t>
      </w:r>
      <w:r w:rsidRPr="000A29BE">
        <w:rPr>
          <w:rFonts w:cs="Calibri"/>
          <w:szCs w:val="22"/>
        </w:rPr>
        <w:t xml:space="preserve">transport, storage and disposal of the GMO are: </w:t>
      </w:r>
    </w:p>
    <w:p w14:paraId="5514EB67" w14:textId="77777777" w:rsidR="00C43E49" w:rsidRPr="000A29BE" w:rsidRDefault="00C43E49" w:rsidP="00C43E49">
      <w:pPr>
        <w:pStyle w:val="ListParagraph"/>
        <w:numPr>
          <w:ilvl w:val="0"/>
          <w:numId w:val="4"/>
        </w:numPr>
      </w:pPr>
      <w:r w:rsidRPr="000A29BE">
        <w:t xml:space="preserve">The GMO </w:t>
      </w:r>
      <w:r>
        <w:t>is unable to produce new viral particles</w:t>
      </w:r>
      <w:r w:rsidRPr="000A29BE">
        <w:t xml:space="preserve"> and </w:t>
      </w:r>
      <w:r>
        <w:t xml:space="preserve">is </w:t>
      </w:r>
      <w:r w:rsidRPr="000A29BE">
        <w:t xml:space="preserve">unlikely to cause disease in </w:t>
      </w:r>
      <w:r>
        <w:t>cats, horses</w:t>
      </w:r>
      <w:r w:rsidRPr="000A29BE">
        <w:t xml:space="preserve"> or other susceptible </w:t>
      </w:r>
      <w:r>
        <w:t>mammalian</w:t>
      </w:r>
      <w:r w:rsidRPr="000A29BE">
        <w:t xml:space="preserve"> species;</w:t>
      </w:r>
    </w:p>
    <w:p w14:paraId="1E97A051" w14:textId="77777777" w:rsidR="00C43E49" w:rsidRDefault="00C43E49" w:rsidP="00C43E49">
      <w:pPr>
        <w:pStyle w:val="RARMPnumberedparagraphs"/>
        <w:numPr>
          <w:ilvl w:val="0"/>
          <w:numId w:val="3"/>
        </w:numPr>
      </w:pPr>
      <w:r w:rsidRPr="000A29BE">
        <w:t xml:space="preserve">The likelihood of accidental exposure to the GMO by people and the environment would be minimised due to well-established transport, storage and disposal procedures that are regulated by each State and Territory; and local councils; </w:t>
      </w:r>
    </w:p>
    <w:p w14:paraId="39EE0B5C" w14:textId="77777777" w:rsidR="00C43E49" w:rsidRPr="000A29BE" w:rsidRDefault="00C43E49" w:rsidP="00C43E49">
      <w:pPr>
        <w:pStyle w:val="RARMPnumberedparagraphs"/>
        <w:numPr>
          <w:ilvl w:val="0"/>
          <w:numId w:val="3"/>
        </w:numPr>
      </w:pPr>
      <w:r>
        <w:t>The GMO would be imported under a DAFF import permit, that requires specific import conditions to manage biosecurity risks;</w:t>
      </w:r>
    </w:p>
    <w:p w14:paraId="7C368A48" w14:textId="77777777" w:rsidR="00C43E49" w:rsidRPr="000A29BE" w:rsidRDefault="00C43E49" w:rsidP="00C43E49">
      <w:pPr>
        <w:pStyle w:val="RARMPnumberedparagraphs"/>
        <w:numPr>
          <w:ilvl w:val="0"/>
          <w:numId w:val="3"/>
        </w:numPr>
      </w:pPr>
      <w:r w:rsidRPr="000A29BE">
        <w:t xml:space="preserve">The GMO would need to be registered with the APVMA, who would impose conditions on the use, transport, storage and disposal of the vaccine; and </w:t>
      </w:r>
    </w:p>
    <w:p w14:paraId="5363DF65" w14:textId="77777777" w:rsidR="00C43E49" w:rsidRPr="000A29BE" w:rsidRDefault="00C43E49" w:rsidP="00C43E49">
      <w:pPr>
        <w:pStyle w:val="ListParagraph"/>
        <w:numPr>
          <w:ilvl w:val="0"/>
          <w:numId w:val="3"/>
        </w:numPr>
        <w:rPr>
          <w:rFonts w:cs="Calibri"/>
          <w:szCs w:val="22"/>
        </w:rPr>
      </w:pPr>
      <w:r>
        <w:rPr>
          <w:rFonts w:cs="Calibri"/>
        </w:rPr>
        <w:t>R</w:t>
      </w:r>
      <w:r w:rsidRPr="000A29BE">
        <w:rPr>
          <w:rFonts w:cs="Calibri"/>
        </w:rPr>
        <w:t xml:space="preserve">ecombination of the GMO with </w:t>
      </w:r>
      <w:r>
        <w:rPr>
          <w:rFonts w:cs="Calibri"/>
        </w:rPr>
        <w:t>other</w:t>
      </w:r>
      <w:r w:rsidRPr="000A29BE">
        <w:rPr>
          <w:rFonts w:cs="Calibri"/>
        </w:rPr>
        <w:t xml:space="preserve"> </w:t>
      </w:r>
      <w:r>
        <w:rPr>
          <w:rFonts w:cs="Calibri"/>
        </w:rPr>
        <w:t>alphaviruses</w:t>
      </w:r>
      <w:r w:rsidRPr="000A29BE">
        <w:rPr>
          <w:rFonts w:cs="Calibri"/>
        </w:rPr>
        <w:t xml:space="preserve"> </w:t>
      </w:r>
      <w:r>
        <w:rPr>
          <w:rFonts w:cs="Calibri"/>
        </w:rPr>
        <w:t>is highly unlikely due to superinfection exclusion mechanisms</w:t>
      </w:r>
      <w:r w:rsidRPr="000A29BE">
        <w:rPr>
          <w:rFonts w:cs="Calibri"/>
        </w:rPr>
        <w:t>.</w:t>
      </w:r>
    </w:p>
    <w:p w14:paraId="397E0D9E" w14:textId="77777777" w:rsidR="00C43E49" w:rsidRPr="000A29BE" w:rsidRDefault="00C43E49" w:rsidP="00C43E49">
      <w:pPr>
        <w:pStyle w:val="Heading2"/>
        <w:numPr>
          <w:ilvl w:val="0"/>
          <w:numId w:val="0"/>
        </w:numPr>
      </w:pPr>
      <w:bookmarkStart w:id="21" w:name="_Toc47536737"/>
      <w:bookmarkStart w:id="22" w:name="_Toc232752739"/>
      <w:r w:rsidRPr="000A29BE">
        <w:t>Risk ma</w:t>
      </w:r>
      <w:bookmarkStart w:id="23" w:name="_Toc209859549"/>
      <w:bookmarkStart w:id="24" w:name="_Toc342042137"/>
      <w:bookmarkStart w:id="25" w:name="_Toc291151778"/>
      <w:bookmarkStart w:id="26" w:name="_Toc274904728"/>
      <w:r w:rsidRPr="000A29BE">
        <w:t>nagement</w:t>
      </w:r>
      <w:bookmarkEnd w:id="21"/>
      <w:bookmarkEnd w:id="22"/>
      <w:bookmarkEnd w:id="23"/>
      <w:bookmarkEnd w:id="24"/>
      <w:bookmarkEnd w:id="25"/>
      <w:bookmarkEnd w:id="26"/>
    </w:p>
    <w:p w14:paraId="33DD3DC4" w14:textId="77777777" w:rsidR="00C43E49" w:rsidRPr="000A29BE" w:rsidRDefault="00C43E49" w:rsidP="00C43E49">
      <w:r>
        <w:t>The r</w:t>
      </w:r>
      <w:r w:rsidRPr="000A29BE">
        <w:t xml:space="preserve">isk management </w:t>
      </w:r>
      <w:r>
        <w:t xml:space="preserve">plan describes measures </w:t>
      </w:r>
      <w:r w:rsidRPr="000A29BE">
        <w:t xml:space="preserve">to protect the health and safety of people and to protect the environment by controlling or mitigating risk. </w:t>
      </w:r>
      <w:r>
        <w:t>The risk management plan is given effect through licence conditions</w:t>
      </w:r>
      <w:r w:rsidRPr="000A29BE">
        <w:t>.</w:t>
      </w:r>
    </w:p>
    <w:p w14:paraId="49975A19" w14:textId="77777777" w:rsidR="00C43E49" w:rsidRDefault="00C43E49" w:rsidP="00C43E49">
      <w:r w:rsidRPr="000A29BE">
        <w:t>The risk management plan concludes the negligible</w:t>
      </w:r>
      <w:r>
        <w:t xml:space="preserve"> risks</w:t>
      </w:r>
      <w:r w:rsidRPr="000A29BE">
        <w:t xml:space="preserve"> can be managed to protect</w:t>
      </w:r>
      <w:r>
        <w:t xml:space="preserve"> </w:t>
      </w:r>
      <w:r w:rsidRPr="000A29BE">
        <w:t>the health and safety of people and the environment</w:t>
      </w:r>
      <w:r>
        <w:t>. The product is not currently registered by the APVMA and registration with the APVMA is required prior to commercial use. The licence requires the Regulator to be notified of the APVMA registration of the product and any amendments to the registration (see Chapter 4)</w:t>
      </w:r>
      <w:r w:rsidRPr="000A29BE">
        <w:t xml:space="preserve">. </w:t>
      </w:r>
    </w:p>
    <w:p w14:paraId="135EAD13" w14:textId="4E685F60" w:rsidR="00F13AF6" w:rsidRDefault="00C43E49" w:rsidP="00C43E49">
      <w:r>
        <w:t>G</w:t>
      </w:r>
      <w:r w:rsidRPr="000A29BE">
        <w:t xml:space="preserve">eneral </w:t>
      </w:r>
      <w:r>
        <w:t xml:space="preserve">licence </w:t>
      </w:r>
      <w:r w:rsidRPr="000A29BE">
        <w:t xml:space="preserve">conditions </w:t>
      </w:r>
      <w:r>
        <w:t>are imposed</w:t>
      </w:r>
      <w:r w:rsidRPr="000A29BE">
        <w:t xml:space="preserve"> to ensure that there is ongoing oversight of the GM vaccine</w:t>
      </w:r>
      <w:r w:rsidRPr="003C5AC2">
        <w:t>.</w:t>
      </w:r>
      <w:r w:rsidRPr="003C5AC2">
        <w:rPr>
          <w:rFonts w:eastAsia="SimSun"/>
          <w:szCs w:val="22"/>
        </w:rPr>
        <w:t xml:space="preserve"> Conditions </w:t>
      </w:r>
      <w:r>
        <w:rPr>
          <w:rFonts w:eastAsia="SimSun"/>
          <w:szCs w:val="22"/>
        </w:rPr>
        <w:t>are</w:t>
      </w:r>
      <w:r w:rsidRPr="003C5AC2">
        <w:rPr>
          <w:rFonts w:eastAsia="SimSun"/>
          <w:szCs w:val="22"/>
        </w:rPr>
        <w:t xml:space="preserve"> included</w:t>
      </w:r>
      <w:r>
        <w:rPr>
          <w:rFonts w:eastAsia="SimSun"/>
          <w:szCs w:val="22"/>
        </w:rPr>
        <w:t xml:space="preserve"> that</w:t>
      </w:r>
      <w:r w:rsidRPr="003C5AC2">
        <w:rPr>
          <w:rFonts w:eastAsia="SimSun"/>
          <w:szCs w:val="22"/>
        </w:rPr>
        <w:t xml:space="preserve"> requir</w:t>
      </w:r>
      <w:r>
        <w:rPr>
          <w:rFonts w:eastAsia="SimSun"/>
          <w:szCs w:val="22"/>
        </w:rPr>
        <w:t>e</w:t>
      </w:r>
      <w:r w:rsidRPr="003C5AC2">
        <w:rPr>
          <w:rFonts w:eastAsia="SimSun"/>
          <w:szCs w:val="22"/>
        </w:rPr>
        <w:t xml:space="preserve"> the applicant to report any new information obtained after release of the GMO to allow the collection of information to verify the findings of the RARMP. </w:t>
      </w:r>
      <w:bookmarkStart w:id="27" w:name="_Toc342042138"/>
      <w:bookmarkStart w:id="28" w:name="_Toc291151780"/>
      <w:bookmarkStart w:id="29" w:name="_Toc274904730"/>
      <w:bookmarkStart w:id="30" w:name="_Toc209859551"/>
      <w:r w:rsidRPr="003C5AC2">
        <w:rPr>
          <w:rFonts w:eastAsia="SimSun"/>
          <w:szCs w:val="22"/>
        </w:rPr>
        <w:t xml:space="preserve">Post-market surveillance of veterinary vaccines is carried out in an ongoing capacity by State and Territories. The </w:t>
      </w:r>
      <w:r w:rsidRPr="000A29BE">
        <w:rPr>
          <w:rFonts w:eastAsia="SimSun"/>
          <w:szCs w:val="22"/>
        </w:rPr>
        <w:t xml:space="preserve">licence also contains </w:t>
      </w:r>
      <w:r>
        <w:rPr>
          <w:rFonts w:eastAsia="SimSun"/>
          <w:szCs w:val="22"/>
        </w:rPr>
        <w:t>several</w:t>
      </w:r>
      <w:r w:rsidRPr="000A29BE">
        <w:rPr>
          <w:rFonts w:eastAsia="SimSun"/>
          <w:szCs w:val="22"/>
        </w:rPr>
        <w:t xml:space="preserve"> general conditions relating to ongoing licence holder </w:t>
      </w:r>
      <w:r w:rsidRPr="000A29BE">
        <w:rPr>
          <w:rFonts w:eastAsia="SimSun"/>
          <w:szCs w:val="22"/>
        </w:rPr>
        <w:lastRenderedPageBreak/>
        <w:t xml:space="preserve">suitability, auditing and monitoring, and </w:t>
      </w:r>
      <w:r>
        <w:rPr>
          <w:rFonts w:eastAsia="SimSun"/>
          <w:szCs w:val="22"/>
        </w:rPr>
        <w:t xml:space="preserve">other </w:t>
      </w:r>
      <w:r w:rsidRPr="000A29BE">
        <w:rPr>
          <w:rFonts w:eastAsia="SimSun"/>
          <w:szCs w:val="22"/>
        </w:rPr>
        <w:t>reporting requirements, which include an obligation to report any unintended effects.</w:t>
      </w:r>
      <w:bookmarkEnd w:id="27"/>
      <w:bookmarkEnd w:id="28"/>
      <w:bookmarkEnd w:id="29"/>
      <w:bookmarkEnd w:id="30"/>
    </w:p>
    <w:sectPr w:rsidR="00F13AF6" w:rsidSect="00F13AF6">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FC23" w14:textId="77777777" w:rsidR="00D57474" w:rsidRDefault="00D57474" w:rsidP="00F13AF6">
      <w:pPr>
        <w:spacing w:before="0" w:after="0"/>
      </w:pPr>
      <w:r>
        <w:separator/>
      </w:r>
    </w:p>
  </w:endnote>
  <w:endnote w:type="continuationSeparator" w:id="0">
    <w:p w14:paraId="6A3380B6" w14:textId="77777777" w:rsidR="00D57474" w:rsidRDefault="00D57474" w:rsidP="00F13A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587" w14:textId="77777777" w:rsidR="00F13AF6" w:rsidRPr="005F6834" w:rsidRDefault="00F13AF6" w:rsidP="00F13AF6">
    <w:pPr>
      <w:pBdr>
        <w:top w:val="single" w:sz="4" w:space="1" w:color="auto"/>
      </w:pBdr>
      <w:jc w:val="center"/>
      <w:rPr>
        <w:rFonts w:asciiTheme="minorHAnsi" w:hAnsiTheme="minorHAnsi" w:cstheme="minorHAnsi"/>
        <w:sz w:val="20"/>
        <w:szCs w:val="22"/>
      </w:rPr>
    </w:pPr>
    <w:r w:rsidRPr="005F6834">
      <w:rPr>
        <w:rFonts w:asciiTheme="minorHAnsi" w:hAnsiTheme="minorHAnsi" w:cstheme="minorHAnsi"/>
        <w:sz w:val="20"/>
        <w:szCs w:val="22"/>
      </w:rPr>
      <w:t>Address: MDP 54 GPO Box 9848, Canberra ACT 2601</w:t>
    </w:r>
    <w:r w:rsidRPr="005F6834">
      <w:rPr>
        <w:rFonts w:asciiTheme="minorHAnsi" w:hAnsiTheme="minorHAnsi" w:cstheme="minorHAnsi"/>
        <w:sz w:val="20"/>
        <w:szCs w:val="22"/>
      </w:rPr>
      <w:tab/>
      <w:t>Website: www.ogtr.gov.au</w:t>
    </w:r>
  </w:p>
  <w:p w14:paraId="04AFA71F" w14:textId="77777777" w:rsidR="00F13AF6" w:rsidRPr="001D2F5F" w:rsidRDefault="00F13AF6" w:rsidP="00F13AF6">
    <w:pPr>
      <w:jc w:val="center"/>
      <w:rPr>
        <w:rFonts w:asciiTheme="minorHAnsi" w:hAnsiTheme="minorHAnsi" w:cstheme="minorHAnsi"/>
      </w:rPr>
    </w:pPr>
    <w:r w:rsidRPr="005F6834">
      <w:rPr>
        <w:rFonts w:asciiTheme="minorHAnsi" w:hAnsiTheme="minorHAnsi" w:cstheme="minorHAnsi"/>
        <w:sz w:val="20"/>
        <w:szCs w:val="22"/>
      </w:rPr>
      <w:t>Telephone: 1800 181 030</w:t>
    </w:r>
    <w:r w:rsidRPr="005F6834">
      <w:rPr>
        <w:rFonts w:asciiTheme="minorHAnsi" w:hAnsiTheme="minorHAnsi" w:cstheme="minorHAnsi"/>
        <w:sz w:val="20"/>
        <w:szCs w:val="22"/>
      </w:rPr>
      <w:tab/>
      <w:t>Email: ogtr@health.gov.au</w:t>
    </w:r>
  </w:p>
  <w:p w14:paraId="39012D5B" w14:textId="77777777" w:rsidR="00F13AF6" w:rsidRDefault="00F1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5545" w14:textId="77777777" w:rsidR="00D57474" w:rsidRDefault="00D57474" w:rsidP="00F13AF6">
      <w:pPr>
        <w:spacing w:before="0" w:after="0"/>
      </w:pPr>
      <w:r>
        <w:separator/>
      </w:r>
    </w:p>
  </w:footnote>
  <w:footnote w:type="continuationSeparator" w:id="0">
    <w:p w14:paraId="775BAA1F" w14:textId="77777777" w:rsidR="00D57474" w:rsidRDefault="00D57474" w:rsidP="00F13AF6">
      <w:pPr>
        <w:spacing w:before="0" w:after="0"/>
      </w:pPr>
      <w:r>
        <w:continuationSeparator/>
      </w:r>
    </w:p>
  </w:footnote>
  <w:footnote w:id="1">
    <w:p w14:paraId="151FCE1A" w14:textId="77777777" w:rsidR="00C43E49" w:rsidRPr="00493482" w:rsidRDefault="00C43E49" w:rsidP="00C43E49">
      <w:pPr>
        <w:pStyle w:val="FootnoteText"/>
        <w:rPr>
          <w:rFonts w:asciiTheme="minorHAnsi" w:hAnsiTheme="minorHAnsi" w:cstheme="minorHAnsi"/>
        </w:rPr>
      </w:pPr>
      <w:r w:rsidRPr="00493482">
        <w:rPr>
          <w:rStyle w:val="FootnoteReference"/>
          <w:rFonts w:asciiTheme="minorHAnsi" w:hAnsiTheme="minorHAnsi" w:cstheme="minorHAnsi"/>
        </w:rPr>
        <w:footnoteRef/>
      </w:r>
      <w:r w:rsidRPr="00493482">
        <w:rPr>
          <w:rFonts w:asciiTheme="minorHAnsi" w:hAnsiTheme="minorHAnsi" w:cstheme="minorHAnsi"/>
        </w:rPr>
        <w:t xml:space="preserve"> The title for the licence application submitted by </w:t>
      </w:r>
      <w:r>
        <w:rPr>
          <w:rFonts w:asciiTheme="minorHAnsi" w:hAnsiTheme="minorHAnsi" w:cstheme="minorHAnsi"/>
        </w:rPr>
        <w:t>Intervet Australia</w:t>
      </w:r>
      <w:r w:rsidRPr="00493482">
        <w:rPr>
          <w:rFonts w:asciiTheme="minorHAnsi" w:hAnsiTheme="minorHAnsi" w:cstheme="minorHAnsi"/>
        </w:rPr>
        <w:t xml:space="preserve"> Pty Ltd is “</w:t>
      </w:r>
      <w:r>
        <w:rPr>
          <w:rFonts w:asciiTheme="minorHAnsi" w:hAnsiTheme="minorHAnsi" w:cstheme="minorHAnsi"/>
        </w:rPr>
        <w:t>Commercial DIR application for Nobivac NXT HCPChFeLV Live Vaccine for cats, plus fall out vaccine product Nobivac NXT HCPFeLV Live Vaccine for cats</w:t>
      </w:r>
      <w:r w:rsidRPr="00493482">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FD5B" w14:textId="32D7C31C" w:rsidR="00F13AF6" w:rsidRDefault="00F13AF6">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6363" w14:textId="63C79F88" w:rsidR="00F13AF6" w:rsidRDefault="0022313B">
    <w:pPr>
      <w:pStyle w:val="Header"/>
    </w:pPr>
    <w:r>
      <w:rPr>
        <w:noProof/>
      </w:rPr>
      <w:drawing>
        <wp:inline distT="0" distB="0" distL="0" distR="0" wp14:anchorId="4B6C987D" wp14:editId="2022BDD2">
          <wp:extent cx="3383479" cy="694706"/>
          <wp:effectExtent l="0" t="0" r="762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08627" cy="699870"/>
                  </a:xfrm>
                  <a:prstGeom prst="rect">
                    <a:avLst/>
                  </a:prstGeom>
                  <a:noFill/>
                  <a:ln>
                    <a:noFill/>
                  </a:ln>
                </pic:spPr>
              </pic:pic>
            </a:graphicData>
          </a:graphic>
        </wp:inline>
      </w:drawing>
    </w:r>
    <w:r w:rsidR="00F13AF6">
      <w:tab/>
    </w:r>
    <w:r w:rsidR="00F13AF6">
      <w:tab/>
    </w:r>
    <w:r w:rsidR="00F13AF6">
      <w:tab/>
    </w:r>
    <w:r w:rsidR="0000591A">
      <w:t>July</w:t>
    </w:r>
    <w: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E87"/>
    <w:multiLevelType w:val="hybridMultilevel"/>
    <w:tmpl w:val="C24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36A68"/>
    <w:multiLevelType w:val="hybridMultilevel"/>
    <w:tmpl w:val="C91C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30D0491"/>
    <w:multiLevelType w:val="hybridMultilevel"/>
    <w:tmpl w:val="F2EA986A"/>
    <w:lvl w:ilvl="0" w:tplc="B4C447DC">
      <w:start w:val="1"/>
      <w:numFmt w:val="decimal"/>
      <w:pStyle w:val="RARMPnumberedparagraphs"/>
      <w:lvlText w:val="%1."/>
      <w:lvlJc w:val="left"/>
      <w:pPr>
        <w:ind w:left="418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4" w15:restartNumberingAfterBreak="0">
    <w:nsid w:val="43D808FA"/>
    <w:multiLevelType w:val="hybridMultilevel"/>
    <w:tmpl w:val="57D4DB50"/>
    <w:lvl w:ilvl="0" w:tplc="E7F2D1EE">
      <w:numFmt w:val="bullet"/>
      <w:lvlText w:val="-"/>
      <w:lvlJc w:val="left"/>
      <w:pPr>
        <w:ind w:left="410" w:hanging="360"/>
      </w:pPr>
      <w:rPr>
        <w:rFonts w:ascii="Calibri" w:eastAsia="Times New Roman"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 w15:restartNumberingAfterBreak="0">
    <w:nsid w:val="48AC2295"/>
    <w:multiLevelType w:val="hybridMultilevel"/>
    <w:tmpl w:val="11A4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DA011F"/>
    <w:multiLevelType w:val="hybridMultilevel"/>
    <w:tmpl w:val="9D2C47E4"/>
    <w:lvl w:ilvl="0" w:tplc="8316497C">
      <w:start w:val="1"/>
      <w:numFmt w:val="bullet"/>
      <w:pStyle w:val="D1stlevelbullets"/>
      <w:lvlText w:val=""/>
      <w:lvlJc w:val="left"/>
      <w:pPr>
        <w:ind w:left="2099" w:hanging="360"/>
      </w:pPr>
      <w:rPr>
        <w:rFonts w:ascii="Symbol" w:hAnsi="Symbol" w:hint="default"/>
      </w:rPr>
    </w:lvl>
    <w:lvl w:ilvl="1" w:tplc="4C06EEBC">
      <w:start w:val="1"/>
      <w:numFmt w:val="bullet"/>
      <w:pStyle w:val="GMOtablebullet2"/>
      <w:lvlText w:val=""/>
      <w:lvlJc w:val="left"/>
      <w:pPr>
        <w:ind w:left="1920" w:hanging="360"/>
      </w:pPr>
      <w:rPr>
        <w:rFonts w:ascii="Wingdings" w:hAnsi="Wingdings" w:hint="default"/>
      </w:rPr>
    </w:lvl>
    <w:lvl w:ilvl="2" w:tplc="0C090005" w:tentative="1">
      <w:start w:val="1"/>
      <w:numFmt w:val="bullet"/>
      <w:lvlText w:val=""/>
      <w:lvlJc w:val="left"/>
      <w:pPr>
        <w:ind w:left="3539" w:hanging="360"/>
      </w:pPr>
      <w:rPr>
        <w:rFonts w:ascii="Wingdings" w:hAnsi="Wingdings" w:hint="default"/>
      </w:rPr>
    </w:lvl>
    <w:lvl w:ilvl="3" w:tplc="0C090001" w:tentative="1">
      <w:start w:val="1"/>
      <w:numFmt w:val="bullet"/>
      <w:lvlText w:val=""/>
      <w:lvlJc w:val="left"/>
      <w:pPr>
        <w:ind w:left="4259" w:hanging="360"/>
      </w:pPr>
      <w:rPr>
        <w:rFonts w:ascii="Symbol" w:hAnsi="Symbol" w:hint="default"/>
      </w:rPr>
    </w:lvl>
    <w:lvl w:ilvl="4" w:tplc="0C090003" w:tentative="1">
      <w:start w:val="1"/>
      <w:numFmt w:val="bullet"/>
      <w:lvlText w:val="o"/>
      <w:lvlJc w:val="left"/>
      <w:pPr>
        <w:ind w:left="4979" w:hanging="360"/>
      </w:pPr>
      <w:rPr>
        <w:rFonts w:ascii="Courier New" w:hAnsi="Courier New" w:cs="Courier New" w:hint="default"/>
      </w:rPr>
    </w:lvl>
    <w:lvl w:ilvl="5" w:tplc="0C090005" w:tentative="1">
      <w:start w:val="1"/>
      <w:numFmt w:val="bullet"/>
      <w:lvlText w:val=""/>
      <w:lvlJc w:val="left"/>
      <w:pPr>
        <w:ind w:left="5699" w:hanging="360"/>
      </w:pPr>
      <w:rPr>
        <w:rFonts w:ascii="Wingdings" w:hAnsi="Wingdings" w:hint="default"/>
      </w:rPr>
    </w:lvl>
    <w:lvl w:ilvl="6" w:tplc="0C090001" w:tentative="1">
      <w:start w:val="1"/>
      <w:numFmt w:val="bullet"/>
      <w:lvlText w:val=""/>
      <w:lvlJc w:val="left"/>
      <w:pPr>
        <w:ind w:left="6419" w:hanging="360"/>
      </w:pPr>
      <w:rPr>
        <w:rFonts w:ascii="Symbol" w:hAnsi="Symbol" w:hint="default"/>
      </w:rPr>
    </w:lvl>
    <w:lvl w:ilvl="7" w:tplc="0C090003" w:tentative="1">
      <w:start w:val="1"/>
      <w:numFmt w:val="bullet"/>
      <w:lvlText w:val="o"/>
      <w:lvlJc w:val="left"/>
      <w:pPr>
        <w:ind w:left="7139" w:hanging="360"/>
      </w:pPr>
      <w:rPr>
        <w:rFonts w:ascii="Courier New" w:hAnsi="Courier New" w:cs="Courier New" w:hint="default"/>
      </w:rPr>
    </w:lvl>
    <w:lvl w:ilvl="8" w:tplc="0C090005" w:tentative="1">
      <w:start w:val="1"/>
      <w:numFmt w:val="bullet"/>
      <w:lvlText w:val=""/>
      <w:lvlJc w:val="left"/>
      <w:pPr>
        <w:ind w:left="7859" w:hanging="360"/>
      </w:pPr>
      <w:rPr>
        <w:rFonts w:ascii="Wingdings" w:hAnsi="Wingdings" w:hint="default"/>
      </w:rPr>
    </w:lvl>
  </w:abstractNum>
  <w:abstractNum w:abstractNumId="7"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CF66DD"/>
    <w:multiLevelType w:val="hybridMultilevel"/>
    <w:tmpl w:val="1228E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2283292">
    <w:abstractNumId w:val="3"/>
  </w:num>
  <w:num w:numId="2" w16cid:durableId="433330770">
    <w:abstractNumId w:val="2"/>
  </w:num>
  <w:num w:numId="3" w16cid:durableId="493183566">
    <w:abstractNumId w:val="5"/>
  </w:num>
  <w:num w:numId="4" w16cid:durableId="1615944486">
    <w:abstractNumId w:val="8"/>
  </w:num>
  <w:num w:numId="5" w16cid:durableId="469784753">
    <w:abstractNumId w:val="6"/>
  </w:num>
  <w:num w:numId="6" w16cid:durableId="288516890">
    <w:abstractNumId w:val="7"/>
  </w:num>
  <w:num w:numId="7" w16cid:durableId="1741318925">
    <w:abstractNumId w:val="0"/>
  </w:num>
  <w:num w:numId="8" w16cid:durableId="1522738419">
    <w:abstractNumId w:val="1"/>
  </w:num>
  <w:num w:numId="9" w16cid:durableId="817723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F6"/>
    <w:rsid w:val="0000591A"/>
    <w:rsid w:val="0005776C"/>
    <w:rsid w:val="00086972"/>
    <w:rsid w:val="0022313B"/>
    <w:rsid w:val="0029756C"/>
    <w:rsid w:val="005125A9"/>
    <w:rsid w:val="006B2065"/>
    <w:rsid w:val="00747D3E"/>
    <w:rsid w:val="00882F1A"/>
    <w:rsid w:val="008E526F"/>
    <w:rsid w:val="009D3EC9"/>
    <w:rsid w:val="00AA35EF"/>
    <w:rsid w:val="00BC5992"/>
    <w:rsid w:val="00C312AB"/>
    <w:rsid w:val="00C43E49"/>
    <w:rsid w:val="00C47880"/>
    <w:rsid w:val="00D57474"/>
    <w:rsid w:val="00F13AF6"/>
    <w:rsid w:val="00F15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EA34D"/>
  <w15:chartTrackingRefBased/>
  <w15:docId w15:val="{7D0D5D98-C321-426B-966E-964DEA8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F6"/>
    <w:pPr>
      <w:spacing w:before="120" w:after="120" w:line="240" w:lineRule="auto"/>
    </w:pPr>
    <w:rPr>
      <w:rFonts w:ascii="Calibri" w:eastAsia="Times New Roman" w:hAnsi="Calibri" w:cs="Times New Roman"/>
      <w:szCs w:val="24"/>
      <w:lang w:eastAsia="en-AU"/>
    </w:rPr>
  </w:style>
  <w:style w:type="paragraph" w:styleId="Heading1">
    <w:name w:val="heading 1"/>
    <w:basedOn w:val="Normal"/>
    <w:next w:val="Normal"/>
    <w:link w:val="Heading1Char"/>
    <w:autoRedefine/>
    <w:qFormat/>
    <w:rsid w:val="00F13AF6"/>
    <w:pPr>
      <w:keepNext/>
      <w:tabs>
        <w:tab w:val="left" w:pos="2268"/>
      </w:tabs>
      <w:spacing w:before="240" w:after="60"/>
      <w:ind w:left="1814" w:right="-613" w:hanging="1956"/>
      <w:jc w:val="center"/>
      <w:outlineLvl w:val="0"/>
    </w:pPr>
    <w:rPr>
      <w:rFonts w:cs="Arial"/>
      <w:b/>
      <w:snapToGrid w:val="0"/>
      <w:sz w:val="36"/>
      <w:szCs w:val="36"/>
      <w:lang w:eastAsia="en-US"/>
    </w:rPr>
  </w:style>
  <w:style w:type="paragraph" w:styleId="Heading2">
    <w:name w:val="heading 2"/>
    <w:basedOn w:val="Normal"/>
    <w:next w:val="Normal"/>
    <w:link w:val="Heading2Char"/>
    <w:qFormat/>
    <w:rsid w:val="00F13AF6"/>
    <w:pPr>
      <w:keepNext/>
      <w:numPr>
        <w:ilvl w:val="1"/>
        <w:numId w:val="2"/>
      </w:numPr>
      <w:tabs>
        <w:tab w:val="left" w:pos="1418"/>
      </w:tabs>
      <w:spacing w:before="240" w:after="60"/>
      <w:outlineLvl w:val="1"/>
    </w:pPr>
    <w:rPr>
      <w:b/>
      <w:i/>
      <w:sz w:val="28"/>
      <w:szCs w:val="28"/>
    </w:rPr>
  </w:style>
  <w:style w:type="paragraph" w:styleId="Heading3">
    <w:name w:val="heading 3"/>
    <w:basedOn w:val="Normal"/>
    <w:next w:val="Normal"/>
    <w:link w:val="Heading3Char"/>
    <w:qFormat/>
    <w:rsid w:val="00F13AF6"/>
    <w:pPr>
      <w:keepNext/>
      <w:numPr>
        <w:ilvl w:val="2"/>
        <w:numId w:val="2"/>
      </w:numPr>
      <w:tabs>
        <w:tab w:val="left" w:pos="851"/>
      </w:tabs>
      <w:outlineLvl w:val="2"/>
    </w:pPr>
    <w:rPr>
      <w:rFonts w:ascii="Arial (W1)" w:hAnsi="Arial (W1)"/>
      <w:b/>
      <w:szCs w:val="20"/>
    </w:rPr>
  </w:style>
  <w:style w:type="paragraph" w:styleId="Heading4">
    <w:name w:val="heading 4"/>
    <w:basedOn w:val="Normal"/>
    <w:next w:val="Normal"/>
    <w:link w:val="Heading4Char"/>
    <w:qFormat/>
    <w:rsid w:val="00F13AF6"/>
    <w:pPr>
      <w:keepNext/>
      <w:numPr>
        <w:ilvl w:val="3"/>
        <w:numId w:val="2"/>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13AF6"/>
    <w:pPr>
      <w:keepNext/>
      <w:numPr>
        <w:ilvl w:val="4"/>
        <w:numId w:val="2"/>
      </w:numPr>
      <w:spacing w:before="240" w:after="60"/>
      <w:outlineLvl w:val="4"/>
    </w:pPr>
    <w:rPr>
      <w:bCs/>
      <w:iCs/>
      <w:u w:val="single"/>
    </w:rPr>
  </w:style>
  <w:style w:type="paragraph" w:styleId="Heading6">
    <w:name w:val="heading 6"/>
    <w:basedOn w:val="Normal"/>
    <w:next w:val="Normal"/>
    <w:link w:val="Heading6Char"/>
    <w:unhideWhenUsed/>
    <w:qFormat/>
    <w:rsid w:val="00F13AF6"/>
    <w:pPr>
      <w:numPr>
        <w:ilvl w:val="5"/>
        <w:numId w:val="2"/>
      </w:numPr>
      <w:spacing w:before="240" w:after="60"/>
      <w:outlineLvl w:val="5"/>
    </w:pPr>
    <w:rPr>
      <w:b/>
      <w:bCs/>
      <w:szCs w:val="22"/>
    </w:rPr>
  </w:style>
  <w:style w:type="paragraph" w:styleId="Heading7">
    <w:name w:val="heading 7"/>
    <w:basedOn w:val="Normal"/>
    <w:next w:val="Normal"/>
    <w:link w:val="Heading7Char"/>
    <w:unhideWhenUsed/>
    <w:qFormat/>
    <w:rsid w:val="00F13AF6"/>
    <w:pPr>
      <w:numPr>
        <w:ilvl w:val="6"/>
        <w:numId w:val="2"/>
      </w:numPr>
      <w:spacing w:before="240" w:after="60"/>
      <w:outlineLvl w:val="6"/>
    </w:pPr>
  </w:style>
  <w:style w:type="paragraph" w:styleId="Heading8">
    <w:name w:val="heading 8"/>
    <w:basedOn w:val="Normal"/>
    <w:next w:val="Normal"/>
    <w:link w:val="Heading8Char"/>
    <w:qFormat/>
    <w:rsid w:val="00F13AF6"/>
    <w:pPr>
      <w:numPr>
        <w:ilvl w:val="7"/>
        <w:numId w:val="2"/>
      </w:numPr>
      <w:spacing w:before="240" w:after="60"/>
      <w:outlineLvl w:val="7"/>
    </w:pPr>
    <w:rPr>
      <w:i/>
      <w:iCs/>
    </w:rPr>
  </w:style>
  <w:style w:type="paragraph" w:styleId="Heading9">
    <w:name w:val="heading 9"/>
    <w:basedOn w:val="Normal"/>
    <w:next w:val="Normal"/>
    <w:link w:val="Heading9Char"/>
    <w:unhideWhenUsed/>
    <w:qFormat/>
    <w:rsid w:val="00F13AF6"/>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AF6"/>
    <w:pPr>
      <w:tabs>
        <w:tab w:val="center" w:pos="4513"/>
        <w:tab w:val="right" w:pos="9026"/>
      </w:tabs>
      <w:spacing w:after="0"/>
    </w:pPr>
  </w:style>
  <w:style w:type="character" w:customStyle="1" w:styleId="HeaderChar">
    <w:name w:val="Header Char"/>
    <w:basedOn w:val="DefaultParagraphFont"/>
    <w:link w:val="Header"/>
    <w:uiPriority w:val="99"/>
    <w:rsid w:val="00F13AF6"/>
  </w:style>
  <w:style w:type="paragraph" w:styleId="Footer">
    <w:name w:val="footer"/>
    <w:basedOn w:val="Normal"/>
    <w:link w:val="FooterChar"/>
    <w:uiPriority w:val="99"/>
    <w:unhideWhenUsed/>
    <w:rsid w:val="00F13AF6"/>
    <w:pPr>
      <w:tabs>
        <w:tab w:val="center" w:pos="4513"/>
        <w:tab w:val="right" w:pos="9026"/>
      </w:tabs>
      <w:spacing w:after="0"/>
    </w:pPr>
  </w:style>
  <w:style w:type="character" w:customStyle="1" w:styleId="FooterChar">
    <w:name w:val="Footer Char"/>
    <w:basedOn w:val="DefaultParagraphFont"/>
    <w:link w:val="Footer"/>
    <w:uiPriority w:val="99"/>
    <w:rsid w:val="00F13AF6"/>
  </w:style>
  <w:style w:type="character" w:customStyle="1" w:styleId="Heading1Char">
    <w:name w:val="Heading 1 Char"/>
    <w:basedOn w:val="DefaultParagraphFont"/>
    <w:link w:val="Heading1"/>
    <w:rsid w:val="00F13AF6"/>
    <w:rPr>
      <w:rFonts w:ascii="Calibri" w:eastAsia="Times New Roman" w:hAnsi="Calibri" w:cs="Arial"/>
      <w:b/>
      <w:snapToGrid w:val="0"/>
      <w:sz w:val="36"/>
      <w:szCs w:val="36"/>
    </w:rPr>
  </w:style>
  <w:style w:type="character" w:customStyle="1" w:styleId="Heading2Char">
    <w:name w:val="Heading 2 Char"/>
    <w:basedOn w:val="DefaultParagraphFont"/>
    <w:link w:val="Heading2"/>
    <w:rsid w:val="00F13AF6"/>
    <w:rPr>
      <w:rFonts w:ascii="Calibri" w:eastAsia="Times New Roman" w:hAnsi="Calibri" w:cs="Times New Roman"/>
      <w:b/>
      <w:i/>
      <w:sz w:val="28"/>
      <w:szCs w:val="28"/>
      <w:lang w:eastAsia="en-AU"/>
    </w:rPr>
  </w:style>
  <w:style w:type="character" w:customStyle="1" w:styleId="Heading3Char">
    <w:name w:val="Heading 3 Char"/>
    <w:basedOn w:val="DefaultParagraphFont"/>
    <w:link w:val="Heading3"/>
    <w:rsid w:val="00F13AF6"/>
    <w:rPr>
      <w:rFonts w:ascii="Arial (W1)" w:eastAsia="Times New Roman" w:hAnsi="Arial (W1)" w:cs="Times New Roman"/>
      <w:b/>
      <w:szCs w:val="20"/>
      <w:lang w:eastAsia="en-AU"/>
    </w:rPr>
  </w:style>
  <w:style w:type="character" w:customStyle="1" w:styleId="Heading4Char">
    <w:name w:val="Heading 4 Char"/>
    <w:basedOn w:val="DefaultParagraphFont"/>
    <w:link w:val="Heading4"/>
    <w:rsid w:val="00F13AF6"/>
    <w:rPr>
      <w:rFonts w:ascii="Arial (W1)" w:eastAsia="Times New Roman" w:hAnsi="Arial (W1)" w:cs="Times New Roman"/>
      <w:b/>
      <w:i/>
      <w:lang w:eastAsia="en-AU"/>
    </w:rPr>
  </w:style>
  <w:style w:type="character" w:customStyle="1" w:styleId="Heading5Char">
    <w:name w:val="Heading 5 Char"/>
    <w:basedOn w:val="DefaultParagraphFont"/>
    <w:link w:val="Heading5"/>
    <w:rsid w:val="00F13AF6"/>
    <w:rPr>
      <w:rFonts w:ascii="Calibri" w:eastAsia="Times New Roman" w:hAnsi="Calibri" w:cs="Times New Roman"/>
      <w:bCs/>
      <w:iCs/>
      <w:szCs w:val="24"/>
      <w:u w:val="single"/>
      <w:lang w:eastAsia="en-AU"/>
    </w:rPr>
  </w:style>
  <w:style w:type="character" w:customStyle="1" w:styleId="Heading6Char">
    <w:name w:val="Heading 6 Char"/>
    <w:basedOn w:val="DefaultParagraphFont"/>
    <w:link w:val="Heading6"/>
    <w:rsid w:val="00F13AF6"/>
    <w:rPr>
      <w:rFonts w:ascii="Calibri" w:eastAsia="Times New Roman" w:hAnsi="Calibri" w:cs="Times New Roman"/>
      <w:b/>
      <w:bCs/>
      <w:lang w:eastAsia="en-AU"/>
    </w:rPr>
  </w:style>
  <w:style w:type="character" w:customStyle="1" w:styleId="Heading7Char">
    <w:name w:val="Heading 7 Char"/>
    <w:basedOn w:val="DefaultParagraphFont"/>
    <w:link w:val="Heading7"/>
    <w:rsid w:val="00F13AF6"/>
    <w:rPr>
      <w:rFonts w:ascii="Calibri" w:eastAsia="Times New Roman" w:hAnsi="Calibri" w:cs="Times New Roman"/>
      <w:szCs w:val="24"/>
      <w:lang w:eastAsia="en-AU"/>
    </w:rPr>
  </w:style>
  <w:style w:type="character" w:customStyle="1" w:styleId="Heading8Char">
    <w:name w:val="Heading 8 Char"/>
    <w:basedOn w:val="DefaultParagraphFont"/>
    <w:link w:val="Heading8"/>
    <w:rsid w:val="00F13AF6"/>
    <w:rPr>
      <w:rFonts w:ascii="Calibri" w:eastAsia="Times New Roman" w:hAnsi="Calibri" w:cs="Times New Roman"/>
      <w:i/>
      <w:iCs/>
      <w:szCs w:val="24"/>
      <w:lang w:eastAsia="en-AU"/>
    </w:rPr>
  </w:style>
  <w:style w:type="character" w:customStyle="1" w:styleId="Heading9Char">
    <w:name w:val="Heading 9 Char"/>
    <w:basedOn w:val="DefaultParagraphFont"/>
    <w:link w:val="Heading9"/>
    <w:rsid w:val="00F13AF6"/>
    <w:rPr>
      <w:rFonts w:ascii="Arial" w:eastAsia="Times New Roman" w:hAnsi="Arial" w:cs="Arial"/>
      <w:lang w:eastAsia="en-AU"/>
    </w:rPr>
  </w:style>
  <w:style w:type="character" w:styleId="FootnoteReference">
    <w:name w:val="footnote reference"/>
    <w:rsid w:val="00F13AF6"/>
    <w:rPr>
      <w:vertAlign w:val="superscript"/>
    </w:rPr>
  </w:style>
  <w:style w:type="paragraph" w:customStyle="1" w:styleId="RARMPnumberedparagraphs">
    <w:name w:val="RARMP numbered paragraphs"/>
    <w:basedOn w:val="ListParagraph"/>
    <w:link w:val="RARMPnumberedparagraphsChar"/>
    <w:qFormat/>
    <w:rsid w:val="00F13AF6"/>
    <w:pPr>
      <w:numPr>
        <w:numId w:val="1"/>
      </w:numPr>
      <w:tabs>
        <w:tab w:val="num" w:pos="567"/>
      </w:tabs>
      <w:ind w:left="0" w:firstLine="0"/>
    </w:pPr>
    <w:rPr>
      <w:rFonts w:eastAsia="Times New Roman" w:cs="Times New Roman"/>
      <w:lang w:eastAsia="en-AU"/>
    </w:rPr>
  </w:style>
  <w:style w:type="character" w:customStyle="1" w:styleId="ListParagraphChar">
    <w:name w:val="List Paragraph Char"/>
    <w:basedOn w:val="DefaultParagraphFont"/>
    <w:link w:val="ListParagraph"/>
    <w:uiPriority w:val="34"/>
    <w:rsid w:val="00F13AF6"/>
    <w:rPr>
      <w:rFonts w:ascii="Calibri" w:hAnsi="Calibri"/>
      <w:szCs w:val="24"/>
    </w:rPr>
  </w:style>
  <w:style w:type="character" w:customStyle="1" w:styleId="RARMPnumberedparagraphsChar">
    <w:name w:val="RARMP numbered paragraphs Char"/>
    <w:basedOn w:val="ListParagraphChar"/>
    <w:link w:val="RARMPnumberedparagraphs"/>
    <w:rsid w:val="00F13AF6"/>
    <w:rPr>
      <w:rFonts w:ascii="Calibri" w:eastAsia="Times New Roman" w:hAnsi="Calibri" w:cs="Times New Roman"/>
      <w:szCs w:val="24"/>
      <w:lang w:eastAsia="en-AU"/>
    </w:rPr>
  </w:style>
  <w:style w:type="paragraph" w:styleId="ListParagraph">
    <w:name w:val="List Paragraph"/>
    <w:basedOn w:val="Normal"/>
    <w:link w:val="ListParagraphChar"/>
    <w:uiPriority w:val="34"/>
    <w:qFormat/>
    <w:rsid w:val="00F13AF6"/>
    <w:pPr>
      <w:ind w:left="720"/>
    </w:pPr>
    <w:rPr>
      <w:rFonts w:eastAsiaTheme="minorHAnsi" w:cstheme="minorBidi"/>
      <w:lang w:eastAsia="en-US"/>
    </w:rPr>
  </w:style>
  <w:style w:type="paragraph" w:customStyle="1" w:styleId="Para">
    <w:name w:val="Para"/>
    <w:basedOn w:val="Normal"/>
    <w:link w:val="ParaCharChar"/>
    <w:autoRedefine/>
    <w:rsid w:val="00F13AF6"/>
    <w:pPr>
      <w:widowControl w:val="0"/>
      <w:spacing w:before="60" w:after="100"/>
    </w:pPr>
    <w:rPr>
      <w:rFonts w:asciiTheme="minorHAnsi" w:hAnsiTheme="minorHAnsi"/>
      <w:szCs w:val="22"/>
    </w:rPr>
  </w:style>
  <w:style w:type="paragraph" w:styleId="FootnoteText">
    <w:name w:val="footnote text"/>
    <w:basedOn w:val="Normal"/>
    <w:link w:val="FootnoteTextChar"/>
    <w:rsid w:val="00F13AF6"/>
    <w:pPr>
      <w:spacing w:before="0" w:after="0"/>
    </w:pPr>
    <w:rPr>
      <w:sz w:val="20"/>
      <w:szCs w:val="20"/>
    </w:rPr>
  </w:style>
  <w:style w:type="character" w:customStyle="1" w:styleId="FootnoteTextChar">
    <w:name w:val="Footnote Text Char"/>
    <w:basedOn w:val="DefaultParagraphFont"/>
    <w:link w:val="FootnoteText"/>
    <w:rsid w:val="00F13AF6"/>
    <w:rPr>
      <w:rFonts w:ascii="Calibri" w:eastAsia="Times New Roman" w:hAnsi="Calibri" w:cs="Times New Roman"/>
      <w:sz w:val="20"/>
      <w:szCs w:val="20"/>
      <w:lang w:eastAsia="en-AU"/>
    </w:rPr>
  </w:style>
  <w:style w:type="paragraph" w:customStyle="1" w:styleId="RIGHTLIST">
    <w:name w:val="RIGHTLIST"/>
    <w:basedOn w:val="Normal"/>
    <w:link w:val="RIGHTLISTChar"/>
    <w:rsid w:val="00F13AF6"/>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rsid w:val="00F13AF6"/>
    <w:rPr>
      <w:rFonts w:ascii="Times New Roman" w:eastAsia="Times New Roman" w:hAnsi="Times New Roman" w:cs="Times New Roman"/>
      <w:lang w:eastAsia="en-AU"/>
    </w:rPr>
  </w:style>
  <w:style w:type="paragraph" w:customStyle="1" w:styleId="Paranonumbers">
    <w:name w:val="Para no numbers"/>
    <w:basedOn w:val="Normal"/>
    <w:link w:val="ParanonumbersChar"/>
    <w:qFormat/>
    <w:rsid w:val="00F13AF6"/>
    <w:rPr>
      <w:rFonts w:ascii="Times New Roman" w:eastAsiaTheme="minorEastAsia" w:hAnsi="Times New Roman"/>
      <w:sz w:val="24"/>
    </w:rPr>
  </w:style>
  <w:style w:type="character" w:customStyle="1" w:styleId="ParanonumbersChar">
    <w:name w:val="Para no numbers Char"/>
    <w:link w:val="Paranonumbers"/>
    <w:locked/>
    <w:rsid w:val="00F13AF6"/>
    <w:rPr>
      <w:rFonts w:ascii="Times New Roman" w:eastAsiaTheme="minorEastAsia" w:hAnsi="Times New Roman" w:cs="Times New Roman"/>
      <w:sz w:val="24"/>
      <w:szCs w:val="24"/>
      <w:lang w:eastAsia="en-AU"/>
    </w:rPr>
  </w:style>
  <w:style w:type="character" w:customStyle="1" w:styleId="ParaCharChar">
    <w:name w:val="Para Char Char"/>
    <w:basedOn w:val="DefaultParagraphFont"/>
    <w:link w:val="Para"/>
    <w:locked/>
    <w:rsid w:val="00F13AF6"/>
    <w:rPr>
      <w:rFonts w:eastAsia="Times New Roman" w:cs="Times New Roman"/>
      <w:lang w:eastAsia="en-AU"/>
    </w:rPr>
  </w:style>
  <w:style w:type="character" w:styleId="CommentReference">
    <w:name w:val="annotation reference"/>
    <w:basedOn w:val="DefaultParagraphFont"/>
    <w:uiPriority w:val="99"/>
    <w:semiHidden/>
    <w:unhideWhenUsed/>
    <w:rsid w:val="008E526F"/>
    <w:rPr>
      <w:sz w:val="16"/>
      <w:szCs w:val="16"/>
    </w:rPr>
  </w:style>
  <w:style w:type="paragraph" w:styleId="CommentText">
    <w:name w:val="annotation text"/>
    <w:basedOn w:val="Normal"/>
    <w:link w:val="CommentTextChar"/>
    <w:uiPriority w:val="99"/>
    <w:semiHidden/>
    <w:unhideWhenUsed/>
    <w:rsid w:val="008E526F"/>
    <w:rPr>
      <w:sz w:val="20"/>
      <w:szCs w:val="20"/>
    </w:rPr>
  </w:style>
  <w:style w:type="character" w:customStyle="1" w:styleId="CommentTextChar">
    <w:name w:val="Comment Text Char"/>
    <w:basedOn w:val="DefaultParagraphFont"/>
    <w:link w:val="CommentText"/>
    <w:uiPriority w:val="99"/>
    <w:semiHidden/>
    <w:rsid w:val="008E526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526F"/>
    <w:rPr>
      <w:b/>
      <w:bCs/>
    </w:rPr>
  </w:style>
  <w:style w:type="character" w:customStyle="1" w:styleId="CommentSubjectChar">
    <w:name w:val="Comment Subject Char"/>
    <w:basedOn w:val="CommentTextChar"/>
    <w:link w:val="CommentSubject"/>
    <w:uiPriority w:val="99"/>
    <w:semiHidden/>
    <w:rsid w:val="008E526F"/>
    <w:rPr>
      <w:rFonts w:ascii="Calibri" w:eastAsia="Times New Roman" w:hAnsi="Calibri" w:cs="Times New Roman"/>
      <w:b/>
      <w:bCs/>
      <w:sz w:val="20"/>
      <w:szCs w:val="20"/>
      <w:lang w:eastAsia="en-AU"/>
    </w:rPr>
  </w:style>
  <w:style w:type="character" w:styleId="Hyperlink">
    <w:name w:val="Hyperlink"/>
    <w:basedOn w:val="DefaultParagraphFont"/>
    <w:uiPriority w:val="99"/>
    <w:rsid w:val="00747D3E"/>
    <w:rPr>
      <w:u w:val="single"/>
    </w:rPr>
  </w:style>
  <w:style w:type="paragraph" w:customStyle="1" w:styleId="D1stlevelbullets">
    <w:name w:val="D 1st level bullets"/>
    <w:basedOn w:val="Normal"/>
    <w:link w:val="D1stlevelbulletsChar"/>
    <w:autoRedefine/>
    <w:uiPriority w:val="1"/>
    <w:qFormat/>
    <w:rsid w:val="00747D3E"/>
    <w:pPr>
      <w:numPr>
        <w:numId w:val="5"/>
      </w:numPr>
      <w:spacing w:before="0" w:after="0"/>
      <w:ind w:left="425" w:hanging="425"/>
    </w:pPr>
    <w:rPr>
      <w:szCs w:val="22"/>
    </w:rPr>
  </w:style>
  <w:style w:type="character" w:customStyle="1" w:styleId="D1stlevelbulletsChar">
    <w:name w:val="D 1st level bullets Char"/>
    <w:basedOn w:val="DefaultParagraphFont"/>
    <w:link w:val="D1stlevelbullets"/>
    <w:uiPriority w:val="1"/>
    <w:rsid w:val="00747D3E"/>
    <w:rPr>
      <w:rFonts w:ascii="Calibri" w:eastAsia="Times New Roman" w:hAnsi="Calibri" w:cs="Times New Roman"/>
      <w:lang w:eastAsia="en-AU"/>
    </w:rPr>
  </w:style>
  <w:style w:type="paragraph" w:customStyle="1" w:styleId="GMOtablebullet2">
    <w:name w:val="GMO table bullet 2"/>
    <w:basedOn w:val="Normal"/>
    <w:qFormat/>
    <w:rsid w:val="00747D3E"/>
    <w:pPr>
      <w:numPr>
        <w:ilvl w:val="1"/>
        <w:numId w:val="5"/>
      </w:numPr>
      <w:spacing w:before="0" w:after="0" w:line="216" w:lineRule="auto"/>
      <w:ind w:left="323" w:hanging="164"/>
      <w:contextualSpacing/>
    </w:pPr>
    <w:rPr>
      <w:rFonts w:ascii="Arial Narrow" w:hAnsi="Arial Narrow"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DIR-220 – Summary of Risk Assessment and Risk Management Plan</dc:title>
  <dc:subject/>
  <dc:creator>OGTR.Voicemail@health.gov.au</dc:creator>
  <cp:keywords/>
  <dc:description/>
  <cp:lastModifiedBy>BLANTOCAS, Charlene</cp:lastModifiedBy>
  <cp:revision>3</cp:revision>
  <dcterms:created xsi:type="dcterms:W3CDTF">2026-07-08T22:06:00Z</dcterms:created>
  <dcterms:modified xsi:type="dcterms:W3CDTF">2026-07-08T22:37:00Z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2026-02-04T21:57:39Z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cbcdcb64-0ec7-41d9-bb72-fb3e3dca18a1</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