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77669659" w:rsidR="00F56FE9" w:rsidRPr="0000143A" w:rsidRDefault="00A42202" w:rsidP="0001639C">
      <w:pPr>
        <w:pStyle w:val="Titletext"/>
        <w:tabs>
          <w:tab w:val="left" w:pos="3890"/>
        </w:tabs>
        <w:jc w:val="right"/>
      </w:pPr>
      <w:bookmarkStart w:id="0" w:name="_Toc118533845"/>
      <w:bookmarkStart w:id="1" w:name="_Toc121209920"/>
      <w:bookmarkStart w:id="2" w:name="_Toc110915462"/>
      <w:r>
        <w:t>April</w:t>
      </w:r>
      <w:r w:rsidRPr="008E4C60">
        <w:t xml:space="preserve"> </w:t>
      </w:r>
      <w:r w:rsidR="0001639C" w:rsidRPr="008E4C60">
        <w:t>2026</w:t>
      </w:r>
    </w:p>
    <w:p w14:paraId="57FD6CA7" w14:textId="6C2D3FFC" w:rsidR="00F56FE9" w:rsidRPr="0000143A" w:rsidRDefault="00C449D7" w:rsidP="0001639C">
      <w:pPr>
        <w:pStyle w:val="Titletext"/>
        <w:spacing w:before="72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for</w:t>
      </w:r>
    </w:p>
    <w:p w14:paraId="303E1637" w14:textId="55CE6143" w:rsidR="00F56FE9" w:rsidRPr="008E4C60" w:rsidRDefault="00F56FE9" w:rsidP="00931BCD">
      <w:pPr>
        <w:pStyle w:val="Titletext"/>
        <w:spacing w:before="600" w:after="120"/>
        <w:jc w:val="center"/>
        <w:rPr>
          <w:sz w:val="52"/>
          <w:szCs w:val="52"/>
        </w:rPr>
      </w:pPr>
      <w:r w:rsidRPr="00204367">
        <w:rPr>
          <w:b/>
          <w:bCs/>
          <w:sz w:val="52"/>
          <w:szCs w:val="52"/>
        </w:rPr>
        <w:t>DIR</w:t>
      </w:r>
      <w:r w:rsidR="00497D38">
        <w:rPr>
          <w:b/>
          <w:bCs/>
          <w:sz w:val="52"/>
          <w:szCs w:val="52"/>
        </w:rPr>
        <w:t>-</w:t>
      </w:r>
      <w:r w:rsidR="00497D38" w:rsidRPr="008E4C60">
        <w:rPr>
          <w:b/>
          <w:bCs/>
          <w:sz w:val="52"/>
          <w:szCs w:val="52"/>
        </w:rPr>
        <w:t>2</w:t>
      </w:r>
      <w:r w:rsidR="00451B33" w:rsidRPr="008E4C60">
        <w:rPr>
          <w:b/>
          <w:bCs/>
          <w:sz w:val="52"/>
          <w:szCs w:val="52"/>
        </w:rPr>
        <w:t>2</w:t>
      </w:r>
      <w:r w:rsidR="00497D38" w:rsidRPr="008E4C60">
        <w:rPr>
          <w:b/>
          <w:bCs/>
          <w:sz w:val="52"/>
          <w:szCs w:val="52"/>
        </w:rPr>
        <w:t>3</w:t>
      </w:r>
    </w:p>
    <w:p w14:paraId="6EF2F96A" w14:textId="000DA022" w:rsidR="000E3E87" w:rsidRPr="008E4C60" w:rsidRDefault="00451B33" w:rsidP="000E3E87">
      <w:pPr>
        <w:spacing w:before="480"/>
        <w:jc w:val="center"/>
        <w:rPr>
          <w:rFonts w:eastAsia="SimSun"/>
          <w:sz w:val="48"/>
          <w:szCs w:val="48"/>
        </w:rPr>
      </w:pPr>
      <w:r w:rsidRPr="008E4C60">
        <w:rPr>
          <w:rFonts w:eastAsia="SimSun"/>
          <w:sz w:val="48"/>
          <w:szCs w:val="48"/>
        </w:rPr>
        <w:t xml:space="preserve">Clinical trials of a genetically modified </w:t>
      </w:r>
      <w:r w:rsidR="00B870A6">
        <w:rPr>
          <w:rFonts w:eastAsia="SimSun"/>
          <w:sz w:val="48"/>
          <w:szCs w:val="48"/>
        </w:rPr>
        <w:t>adeno</w:t>
      </w:r>
      <w:r w:rsidRPr="008E4C60">
        <w:rPr>
          <w:rFonts w:eastAsia="SimSun"/>
          <w:sz w:val="48"/>
          <w:szCs w:val="48"/>
        </w:rPr>
        <w:t xml:space="preserve">virus for </w:t>
      </w:r>
      <w:r w:rsidR="00AB2957">
        <w:rPr>
          <w:rFonts w:eastAsia="SimSun"/>
          <w:sz w:val="48"/>
          <w:szCs w:val="48"/>
        </w:rPr>
        <w:t xml:space="preserve">the </w:t>
      </w:r>
      <w:r w:rsidRPr="008E4C60">
        <w:rPr>
          <w:rFonts w:eastAsia="SimSun"/>
          <w:sz w:val="48"/>
          <w:szCs w:val="48"/>
        </w:rPr>
        <w:t>treatment of bladder cancer</w:t>
      </w:r>
    </w:p>
    <w:p w14:paraId="4FC5091B" w14:textId="5DEFD169" w:rsidR="00931BCD" w:rsidRPr="008E4C60" w:rsidRDefault="000E3E87" w:rsidP="0001639C">
      <w:pPr>
        <w:spacing w:before="480" w:after="1680"/>
        <w:jc w:val="center"/>
        <w:rPr>
          <w:rFonts w:eastAsia="SimSun"/>
          <w:sz w:val="40"/>
          <w:szCs w:val="40"/>
        </w:rPr>
      </w:pPr>
      <w:r w:rsidRPr="008E4C60">
        <w:rPr>
          <w:rFonts w:eastAsia="SimSun"/>
          <w:bCs/>
          <w:sz w:val="40"/>
          <w:szCs w:val="40"/>
        </w:rPr>
        <w:t>Applicant</w:t>
      </w:r>
      <w:r w:rsidRPr="008E4C60">
        <w:rPr>
          <w:rFonts w:eastAsia="SimSun"/>
          <w:sz w:val="40"/>
          <w:szCs w:val="40"/>
        </w:rPr>
        <w:t xml:space="preserve">: </w:t>
      </w:r>
      <w:r w:rsidR="00451B33" w:rsidRPr="008E4C60">
        <w:rPr>
          <w:rFonts w:eastAsia="SimSun"/>
          <w:sz w:val="40"/>
          <w:szCs w:val="40"/>
        </w:rPr>
        <w:t>Ferring Pharmaceuticals Pty Ltd</w:t>
      </w:r>
    </w:p>
    <w:p w14:paraId="19860D84" w14:textId="77777777" w:rsidR="00931BCD" w:rsidRPr="0000143A" w:rsidRDefault="00931BCD" w:rsidP="00931BCD">
      <w:pPr>
        <w:jc w:val="center"/>
        <w:rPr>
          <w:lang w:eastAsia="en-US"/>
        </w:rPr>
        <w:sectPr w:rsidR="00931BCD" w:rsidRPr="0000143A" w:rsidSect="00931BCD">
          <w:headerReference w:type="even" r:id="rId8"/>
          <w:headerReference w:type="default" r:id="rId9"/>
          <w:footerReference w:type="even" r:id="rId10"/>
          <w:footerReference w:type="default" r:id="rId11"/>
          <w:headerReference w:type="first" r:id="rId12"/>
          <w:pgSz w:w="11906" w:h="16838"/>
          <w:pgMar w:top="1134" w:right="1134" w:bottom="1134" w:left="1134" w:header="709" w:footer="709" w:gutter="0"/>
          <w:pgNumType w:fmt="lowerRoman"/>
          <w:cols w:space="708"/>
          <w:titlePg/>
          <w:docGrid w:linePitch="360"/>
        </w:sectPr>
      </w:pPr>
    </w:p>
    <w:p w14:paraId="7CDCF371" w14:textId="77777777" w:rsidR="00306444" w:rsidRPr="0000143A" w:rsidRDefault="003B4A34" w:rsidP="004D2EFE">
      <w:pPr>
        <w:pStyle w:val="Heading1"/>
      </w:pPr>
      <w:bookmarkStart w:id="3" w:name="_Toc47536733"/>
      <w:bookmarkStart w:id="4" w:name="_Toc226974985"/>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76E7613F"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51195AD0" w:rsidR="003B4A34" w:rsidRPr="008E4C60"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A52640" w:rsidRPr="008E4C60">
        <w:rPr>
          <w:rFonts w:cs="Arial"/>
          <w:b/>
          <w:bCs/>
          <w:kern w:val="32"/>
          <w:sz w:val="36"/>
          <w:szCs w:val="36"/>
          <w:lang w:eastAsia="en-US"/>
        </w:rPr>
        <w:t>-2</w:t>
      </w:r>
      <w:r w:rsidR="00451B33" w:rsidRPr="008E4C60">
        <w:rPr>
          <w:rFonts w:cs="Arial"/>
          <w:b/>
          <w:bCs/>
          <w:kern w:val="32"/>
          <w:sz w:val="36"/>
          <w:szCs w:val="36"/>
          <w:lang w:eastAsia="en-US"/>
        </w:rPr>
        <w:t>2</w:t>
      </w:r>
      <w:r w:rsidR="00A52640" w:rsidRPr="008E4C60">
        <w:rPr>
          <w:rFonts w:cs="Arial"/>
          <w:b/>
          <w:bCs/>
          <w:kern w:val="32"/>
          <w:sz w:val="36"/>
          <w:szCs w:val="36"/>
          <w:lang w:eastAsia="en-US"/>
        </w:rPr>
        <w:t>3</w:t>
      </w:r>
    </w:p>
    <w:p w14:paraId="581F7735" w14:textId="74C40D1B" w:rsidR="00981194" w:rsidRPr="008E4C60" w:rsidRDefault="000D2E01" w:rsidP="00BE23F9">
      <w:pPr>
        <w:pStyle w:val="Heading2"/>
        <w:numPr>
          <w:ilvl w:val="0"/>
          <w:numId w:val="0"/>
        </w:numPr>
        <w:rPr>
          <w:lang w:eastAsia="en-US"/>
        </w:rPr>
      </w:pPr>
      <w:bookmarkStart w:id="13" w:name="_Toc226974986"/>
      <w:r>
        <w:rPr>
          <w:lang w:eastAsia="en-US"/>
        </w:rPr>
        <w:t>Decision</w:t>
      </w:r>
      <w:bookmarkEnd w:id="13"/>
    </w:p>
    <w:p w14:paraId="5A3EACD1" w14:textId="2D9D14F7" w:rsidR="00495868" w:rsidRPr="000D2E01" w:rsidRDefault="00495868" w:rsidP="00495868">
      <w:bookmarkStart w:id="14" w:name="_Toc342042135"/>
      <w:bookmarkStart w:id="15" w:name="_Toc47536735"/>
      <w:bookmarkStart w:id="16" w:name="_Toc291151777"/>
      <w:bookmarkStart w:id="17" w:name="_Toc274904727"/>
      <w:bookmarkStart w:id="18" w:name="_Toc209859548"/>
      <w:bookmarkEnd w:id="5"/>
      <w:bookmarkEnd w:id="6"/>
      <w:bookmarkEnd w:id="7"/>
      <w:bookmarkEnd w:id="8"/>
      <w:bookmarkEnd w:id="9"/>
      <w:bookmarkEnd w:id="10"/>
      <w:bookmarkEnd w:id="11"/>
      <w:bookmarkEnd w:id="12"/>
      <w:r w:rsidRPr="000D2E01">
        <w:t xml:space="preserve">The Gene Technology Regulator (the Regulator) has </w:t>
      </w:r>
      <w:r w:rsidR="000D2E01" w:rsidRPr="000D2E01">
        <w:t>decided to issue a licence for this application for the intentional release of a genetically modified organism (GMO) into the environment. A Risk Assessment and Risk Management Plan (RARMP) has been prepared by the Regulator in accordance with the Gene Technology Act 2000 (the Act) and corresponding state and territory legislation, and finalised following consultation with a wide range of expert, agencies and authorities, and the public. The RARMP concluded that the proposed trial poses negligible risks to human health and safety and the environment and that any risks posed by the dealings can be managed by imposing conditions on the release</w:t>
      </w:r>
      <w:r w:rsidRPr="000D2E01">
        <w:t xml:space="preserve">. </w:t>
      </w:r>
    </w:p>
    <w:p w14:paraId="3178A704" w14:textId="3549F6DE" w:rsidR="00495868" w:rsidRPr="008E4C60" w:rsidRDefault="00495868" w:rsidP="00495868">
      <w:pPr>
        <w:rPr>
          <w:rFonts w:cs="Calibri"/>
          <w:szCs w:val="22"/>
        </w:rPr>
      </w:pPr>
      <w:r w:rsidRPr="008E4C60">
        <w:t xml:space="preserve">The applicant, </w:t>
      </w:r>
      <w:bookmarkStart w:id="19" w:name="_Hlk216886831"/>
      <w:r w:rsidR="00451B33" w:rsidRPr="008E4C60">
        <w:rPr>
          <w:rFonts w:asciiTheme="minorHAnsi" w:hAnsiTheme="minorHAnsi" w:cstheme="minorHAnsi"/>
          <w:szCs w:val="22"/>
        </w:rPr>
        <w:t>Ferring Pharmaceuticals Pty Ltd (Ferring)</w:t>
      </w:r>
      <w:bookmarkEnd w:id="19"/>
      <w:r w:rsidRPr="008E4C60">
        <w:t>, proposes to conduct a clinical trial to evaluate the safety and efficacy of a genetically modified (GM) human adenovirus</w:t>
      </w:r>
      <w:r w:rsidR="0011300D" w:rsidRPr="008E4C60">
        <w:t xml:space="preserve">, </w:t>
      </w:r>
      <w:proofErr w:type="spellStart"/>
      <w:r w:rsidR="0011300D" w:rsidRPr="008E4C60">
        <w:t>nadofaragen</w:t>
      </w:r>
      <w:r w:rsidR="00A520AD" w:rsidRPr="008E4C60">
        <w:t>e</w:t>
      </w:r>
      <w:proofErr w:type="spellEnd"/>
      <w:r w:rsidR="0011300D" w:rsidRPr="008E4C60">
        <w:t xml:space="preserve"> </w:t>
      </w:r>
      <w:proofErr w:type="spellStart"/>
      <w:r w:rsidR="0011300D" w:rsidRPr="008E4C60">
        <w:t>firadenovec</w:t>
      </w:r>
      <w:proofErr w:type="spellEnd"/>
      <w:r w:rsidR="0011300D" w:rsidRPr="008E4C60">
        <w:t>,</w:t>
      </w:r>
      <w:r w:rsidRPr="008E4C60">
        <w:rPr>
          <w:rFonts w:asciiTheme="minorHAnsi" w:hAnsiTheme="minorHAnsi" w:cstheme="minorHAnsi"/>
          <w:szCs w:val="22"/>
        </w:rPr>
        <w:t xml:space="preserve"> for the treatment of Australian patients with </w:t>
      </w:r>
      <w:r w:rsidR="00AD6F17" w:rsidRPr="008E4C60">
        <w:rPr>
          <w:rFonts w:asciiTheme="minorHAnsi" w:hAnsiTheme="minorHAnsi" w:cstheme="minorHAnsi"/>
          <w:szCs w:val="22"/>
        </w:rPr>
        <w:t xml:space="preserve">bladder </w:t>
      </w:r>
      <w:r w:rsidR="00A520AD" w:rsidRPr="008E4C60">
        <w:rPr>
          <w:rFonts w:asciiTheme="minorHAnsi" w:hAnsiTheme="minorHAnsi" w:cstheme="minorHAnsi"/>
          <w:szCs w:val="22"/>
        </w:rPr>
        <w:t>cancer</w:t>
      </w:r>
      <w:r w:rsidRPr="008E4C60">
        <w:rPr>
          <w:rFonts w:cs="Calibri"/>
          <w:szCs w:val="22"/>
        </w:rPr>
        <w:t>.</w:t>
      </w:r>
    </w:p>
    <w:p w14:paraId="71E7D6DB" w14:textId="2671882F" w:rsidR="00495868" w:rsidRPr="008E4C60" w:rsidRDefault="0011300D" w:rsidP="00495868">
      <w:proofErr w:type="spellStart"/>
      <w:r w:rsidRPr="008E4C60">
        <w:t>Nadofaragene</w:t>
      </w:r>
      <w:proofErr w:type="spellEnd"/>
      <w:r w:rsidRPr="008E4C60">
        <w:t xml:space="preserve"> </w:t>
      </w:r>
      <w:proofErr w:type="spellStart"/>
      <w:r w:rsidRPr="008E4C60">
        <w:t>firadenovec</w:t>
      </w:r>
      <w:proofErr w:type="spellEnd"/>
      <w:r w:rsidRPr="008E4C60">
        <w:t xml:space="preserve"> was developed for the treatment of adult patients with high-risk Bacillus Calmette-Guérin (BCG)-unresponsive non-muscle invasive bladder cancer (NMIBC) with carcinoma in situ (CIS) with or without papillary </w:t>
      </w:r>
      <w:r w:rsidR="00453F69" w:rsidRPr="008E4C60">
        <w:t>tumours</w:t>
      </w:r>
      <w:r w:rsidRPr="008E4C60">
        <w:t xml:space="preserve">. </w:t>
      </w:r>
      <w:r w:rsidR="00495868" w:rsidRPr="008E4C60">
        <w:t xml:space="preserve">The GM adenovirus would be manufactured overseas and imported into Australia. It would be administered by </w:t>
      </w:r>
      <w:r w:rsidRPr="008E4C60">
        <w:t xml:space="preserve">bladder instillation </w:t>
      </w:r>
      <w:r w:rsidR="00495868" w:rsidRPr="008E4C60">
        <w:t xml:space="preserve">in up to </w:t>
      </w:r>
      <w:r w:rsidR="003E6D1B">
        <w:t>25</w:t>
      </w:r>
      <w:r w:rsidR="003E6D1B" w:rsidRPr="008E4C60">
        <w:t xml:space="preserve"> </w:t>
      </w:r>
      <w:r w:rsidR="00495868" w:rsidRPr="008E4C60">
        <w:t xml:space="preserve">patients with </w:t>
      </w:r>
      <w:r w:rsidR="00A520AD" w:rsidRPr="008E4C60">
        <w:rPr>
          <w:szCs w:val="22"/>
        </w:rPr>
        <w:t>non-muscle invasive bladder cancer</w:t>
      </w:r>
      <w:r w:rsidR="00A520AD" w:rsidRPr="008E4C60">
        <w:t xml:space="preserve"> </w:t>
      </w:r>
      <w:r w:rsidR="00495868" w:rsidRPr="008E4C60">
        <w:t xml:space="preserve">at clinical facilities and hospitals in Australia.  </w:t>
      </w:r>
    </w:p>
    <w:p w14:paraId="662A8079" w14:textId="4DA083B5" w:rsidR="00495868" w:rsidRPr="008E4C60" w:rsidRDefault="00495868" w:rsidP="00495868">
      <w:r w:rsidRPr="008E4C60">
        <w:t xml:space="preserve">Clinical trials in Australia are conducted in accordance with requirements of the </w:t>
      </w:r>
      <w:r w:rsidRPr="008E4C60">
        <w:rPr>
          <w:i/>
        </w:rPr>
        <w:t>Therapeutic Goods Act 1989</w:t>
      </w:r>
      <w:r w:rsidRPr="008E4C60">
        <w:t xml:space="preserve">, which is administered by the Therapeutic Goods Administration (TGA). Therefore, in addition to approval by the Regulator, </w:t>
      </w:r>
      <w:r w:rsidR="004D2539" w:rsidRPr="008E4C60">
        <w:t>Ferring</w:t>
      </w:r>
      <w:r w:rsidRPr="008E4C60">
        <w:t xml:space="preserve"> would also require authorisation from TGA before the trial commences. Clinical trials conducted in Australia must also be conducted in accordance with the </w:t>
      </w:r>
      <w:hyperlink r:id="rId13" w:history="1">
        <w:r w:rsidRPr="008E4C60">
          <w:rPr>
            <w:rStyle w:val="Hyperlink"/>
            <w:i/>
          </w:rPr>
          <w:t>National Statement on Ethical Conduct in Human Research</w:t>
        </w:r>
      </w:hyperlink>
      <w:r w:rsidRPr="008E4C60">
        <w:rPr>
          <w:i/>
        </w:rPr>
        <w:t xml:space="preserve"> </w:t>
      </w:r>
      <w:r w:rsidRPr="008E4C60">
        <w:t xml:space="preserve">and with the </w:t>
      </w:r>
      <w:hyperlink r:id="rId14" w:history="1">
        <w:r w:rsidRPr="008E4C60">
          <w:rPr>
            <w:rStyle w:val="Hyperlink"/>
            <w:i/>
          </w:rPr>
          <w:t>Guidelines for Good Clinical</w:t>
        </w:r>
        <w:r w:rsidRPr="008E4C60">
          <w:rPr>
            <w:rStyle w:val="Hyperlink"/>
          </w:rPr>
          <w:t xml:space="preserve"> </w:t>
        </w:r>
        <w:r w:rsidRPr="008E4C60">
          <w:rPr>
            <w:rStyle w:val="Hyperlink"/>
            <w:i/>
          </w:rPr>
          <w:t>Practice</w:t>
        </w:r>
      </w:hyperlink>
      <w:r w:rsidRPr="008E4C60">
        <w:t xml:space="preserve"> of the International Council for Harmonisation of Technical Requirements for Registration of Pharmaceuticals for Human Use. </w:t>
      </w:r>
      <w:r w:rsidR="000A3385" w:rsidRPr="008E4C60">
        <w:t>Ferring</w:t>
      </w:r>
      <w:r w:rsidRPr="008E4C60">
        <w:t xml:space="preserve"> would also require approval from the Department of Agriculture, Fisheries and Forestry (DAFF) for import of the GMO into Australia.</w:t>
      </w:r>
    </w:p>
    <w:p w14:paraId="7D248385" w14:textId="33E78356" w:rsidR="00DB5481" w:rsidRPr="00DB5481" w:rsidRDefault="00302CAD" w:rsidP="000D2884">
      <w:pPr>
        <w:pStyle w:val="Heading2"/>
        <w:numPr>
          <w:ilvl w:val="0"/>
          <w:numId w:val="0"/>
        </w:numPr>
      </w:pPr>
      <w:bookmarkStart w:id="20" w:name="_Toc226974987"/>
      <w:r w:rsidRPr="0000143A">
        <w:t>The application</w:t>
      </w:r>
      <w:bookmarkEnd w:id="14"/>
      <w:bookmarkEnd w:id="15"/>
      <w:bookmarkEnd w:id="20"/>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8E4C60" w:rsidRPr="008E4C60" w14:paraId="1E729D1A" w14:textId="77777777" w:rsidTr="00757821">
        <w:trPr>
          <w:jc w:val="center"/>
        </w:trPr>
        <w:tc>
          <w:tcPr>
            <w:tcW w:w="2681" w:type="dxa"/>
          </w:tcPr>
          <w:p w14:paraId="43654853" w14:textId="77777777" w:rsidR="006F3B0D" w:rsidRPr="008E4C60" w:rsidRDefault="006F3B0D" w:rsidP="006F3B0D">
            <w:pPr>
              <w:widowControl w:val="0"/>
              <w:tabs>
                <w:tab w:val="right" w:leader="dot" w:pos="9356"/>
              </w:tabs>
              <w:spacing w:before="60" w:after="60"/>
              <w:rPr>
                <w:rFonts w:cs="Arial Narrow"/>
                <w:b/>
                <w:bCs/>
                <w:i/>
                <w:szCs w:val="22"/>
              </w:rPr>
            </w:pPr>
            <w:bookmarkStart w:id="21" w:name="_Toc342042136"/>
            <w:bookmarkStart w:id="22" w:name="_Toc47536736"/>
            <w:r w:rsidRPr="008E4C60">
              <w:rPr>
                <w:rFonts w:cs="Arial Narrow"/>
                <w:b/>
                <w:bCs/>
                <w:i/>
                <w:szCs w:val="22"/>
              </w:rPr>
              <w:t>Project Title</w:t>
            </w:r>
          </w:p>
        </w:tc>
        <w:tc>
          <w:tcPr>
            <w:tcW w:w="7214" w:type="dxa"/>
          </w:tcPr>
          <w:p w14:paraId="1F947C55" w14:textId="2A603DFA" w:rsidR="006F3B0D" w:rsidRPr="008E4C60" w:rsidRDefault="006F3B0D" w:rsidP="006F3B0D">
            <w:pPr>
              <w:keepNext/>
              <w:widowControl w:val="0"/>
              <w:tabs>
                <w:tab w:val="right" w:leader="dot" w:pos="9356"/>
              </w:tabs>
              <w:spacing w:before="60" w:after="60"/>
              <w:rPr>
                <w:szCs w:val="22"/>
              </w:rPr>
            </w:pPr>
            <w:r w:rsidRPr="008E4C60">
              <w:rPr>
                <w:szCs w:val="22"/>
              </w:rPr>
              <w:t>Clinical trial</w:t>
            </w:r>
            <w:r w:rsidR="00FD6D3D">
              <w:rPr>
                <w:szCs w:val="22"/>
              </w:rPr>
              <w:t>s</w:t>
            </w:r>
            <w:r w:rsidRPr="008E4C60">
              <w:rPr>
                <w:szCs w:val="22"/>
              </w:rPr>
              <w:t xml:space="preserve"> of a genetically modified adenovirus for treatment of bladder cancer</w:t>
            </w:r>
            <w:r w:rsidRPr="008E4C60">
              <w:rPr>
                <w:szCs w:val="22"/>
                <w:vertAlign w:val="superscript"/>
              </w:rPr>
              <w:footnoteReference w:id="1"/>
            </w:r>
          </w:p>
        </w:tc>
      </w:tr>
      <w:tr w:rsidR="008E4C60" w:rsidRPr="008E4C60" w14:paraId="43D6A9FD" w14:textId="77777777" w:rsidTr="00757821">
        <w:trPr>
          <w:trHeight w:val="346"/>
          <w:jc w:val="center"/>
        </w:trPr>
        <w:tc>
          <w:tcPr>
            <w:tcW w:w="2681" w:type="dxa"/>
          </w:tcPr>
          <w:p w14:paraId="2E01A837" w14:textId="77777777" w:rsidR="006F3B0D" w:rsidRPr="008E4C60" w:rsidRDefault="006F3B0D" w:rsidP="006F3B0D">
            <w:pPr>
              <w:widowControl w:val="0"/>
              <w:tabs>
                <w:tab w:val="right" w:leader="dot" w:pos="9356"/>
              </w:tabs>
              <w:spacing w:before="40" w:after="40"/>
              <w:rPr>
                <w:rFonts w:cs="Arial Narrow"/>
                <w:b/>
                <w:bCs/>
                <w:i/>
                <w:szCs w:val="22"/>
              </w:rPr>
            </w:pPr>
            <w:r w:rsidRPr="008E4C60">
              <w:rPr>
                <w:rFonts w:cs="Arial Narrow"/>
                <w:b/>
                <w:bCs/>
                <w:i/>
                <w:szCs w:val="22"/>
              </w:rPr>
              <w:t>Parent organism</w:t>
            </w:r>
          </w:p>
        </w:tc>
        <w:tc>
          <w:tcPr>
            <w:tcW w:w="7214" w:type="dxa"/>
          </w:tcPr>
          <w:p w14:paraId="109F218C" w14:textId="648B5EC7" w:rsidR="006F3B0D" w:rsidRPr="008E4C60" w:rsidRDefault="006F3B0D" w:rsidP="006F3B0D">
            <w:pPr>
              <w:widowControl w:val="0"/>
              <w:tabs>
                <w:tab w:val="right" w:leader="dot" w:pos="9356"/>
              </w:tabs>
              <w:spacing w:before="60" w:after="60"/>
              <w:rPr>
                <w:szCs w:val="22"/>
              </w:rPr>
            </w:pPr>
            <w:r w:rsidRPr="008E4C60">
              <w:rPr>
                <w:szCs w:val="22"/>
              </w:rPr>
              <w:t>Human adenovirus type 5 (HAd</w:t>
            </w:r>
            <w:r w:rsidR="005350F9" w:rsidRPr="005350F9">
              <w:rPr>
                <w:szCs w:val="22"/>
              </w:rPr>
              <w:t>V-C</w:t>
            </w:r>
            <w:r w:rsidRPr="008E4C60">
              <w:rPr>
                <w:szCs w:val="22"/>
              </w:rPr>
              <w:t>5)</w:t>
            </w:r>
          </w:p>
        </w:tc>
      </w:tr>
      <w:tr w:rsidR="008E4C60" w:rsidRPr="008E4C60" w14:paraId="58161F5D" w14:textId="77777777" w:rsidTr="00757821">
        <w:trPr>
          <w:jc w:val="center"/>
        </w:trPr>
        <w:tc>
          <w:tcPr>
            <w:tcW w:w="9895" w:type="dxa"/>
            <w:gridSpan w:val="2"/>
          </w:tcPr>
          <w:p w14:paraId="1D44163F" w14:textId="77777777" w:rsidR="006F3B0D" w:rsidRPr="008E4C60" w:rsidRDefault="006F3B0D" w:rsidP="006F3B0D">
            <w:pPr>
              <w:keepNext/>
              <w:tabs>
                <w:tab w:val="right" w:leader="dot" w:pos="9356"/>
              </w:tabs>
              <w:autoSpaceDE w:val="0"/>
              <w:autoSpaceDN w:val="0"/>
              <w:spacing w:before="0" w:after="40"/>
              <w:rPr>
                <w:b/>
                <w:i/>
                <w:szCs w:val="22"/>
              </w:rPr>
            </w:pPr>
            <w:r w:rsidRPr="008E4C60">
              <w:rPr>
                <w:b/>
                <w:i/>
                <w:szCs w:val="22"/>
              </w:rPr>
              <w:t>Genetic modifications</w:t>
            </w:r>
          </w:p>
        </w:tc>
      </w:tr>
      <w:tr w:rsidR="008E4C60" w:rsidRPr="008E4C60" w14:paraId="53519CD8" w14:textId="77777777" w:rsidTr="00757821">
        <w:trPr>
          <w:trHeight w:val="708"/>
          <w:jc w:val="center"/>
        </w:trPr>
        <w:tc>
          <w:tcPr>
            <w:tcW w:w="2681" w:type="dxa"/>
          </w:tcPr>
          <w:p w14:paraId="63BE20A1" w14:textId="77777777" w:rsidR="006F3B0D" w:rsidRPr="00BB57C0" w:rsidRDefault="006F3B0D" w:rsidP="006F3B0D">
            <w:pPr>
              <w:widowControl w:val="0"/>
              <w:tabs>
                <w:tab w:val="right" w:leader="dot" w:pos="9356"/>
              </w:tabs>
              <w:spacing w:before="40" w:after="40"/>
              <w:rPr>
                <w:rFonts w:cs="Arial Narrow"/>
                <w:b/>
                <w:szCs w:val="22"/>
              </w:rPr>
            </w:pPr>
            <w:r w:rsidRPr="00BB57C0">
              <w:rPr>
                <w:rFonts w:cs="Arial Narrow"/>
                <w:b/>
                <w:szCs w:val="22"/>
              </w:rPr>
              <w:t>Introduced genes</w:t>
            </w:r>
          </w:p>
        </w:tc>
        <w:tc>
          <w:tcPr>
            <w:tcW w:w="7214" w:type="dxa"/>
          </w:tcPr>
          <w:p w14:paraId="0FF6A545" w14:textId="77777777" w:rsidR="006F3B0D" w:rsidRPr="008E4C60" w:rsidRDefault="006F3B0D" w:rsidP="006F3B0D">
            <w:pPr>
              <w:widowControl w:val="0"/>
              <w:tabs>
                <w:tab w:val="right" w:leader="dot" w:pos="9356"/>
              </w:tabs>
              <w:spacing w:before="60" w:after="60"/>
              <w:rPr>
                <w:rFonts w:asciiTheme="minorHAnsi" w:hAnsiTheme="minorHAnsi" w:cstheme="minorHAnsi"/>
                <w:i/>
                <w:szCs w:val="22"/>
              </w:rPr>
            </w:pPr>
            <w:r w:rsidRPr="008E4C60">
              <w:rPr>
                <w:rFonts w:asciiTheme="minorHAnsi" w:hAnsiTheme="minorHAnsi" w:cstheme="minorHAnsi"/>
                <w:szCs w:val="22"/>
              </w:rPr>
              <w:t xml:space="preserve">Modified human adenovirus: </w:t>
            </w:r>
          </w:p>
          <w:p w14:paraId="042F074F" w14:textId="2CC5597E"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szCs w:val="22"/>
              </w:rPr>
            </w:pPr>
            <w:r w:rsidRPr="008E4C60">
              <w:rPr>
                <w:rFonts w:asciiTheme="minorHAnsi" w:hAnsiTheme="minorHAnsi" w:cstheme="minorHAnsi"/>
                <w:szCs w:val="22"/>
              </w:rPr>
              <w:lastRenderedPageBreak/>
              <w:t>deletion of gene sequences</w:t>
            </w:r>
            <w:r w:rsidRPr="008E4C60">
              <w:rPr>
                <w:rFonts w:asciiTheme="minorHAnsi" w:hAnsiTheme="minorHAnsi" w:cstheme="minorHAnsi"/>
                <w:szCs w:val="22"/>
                <w:vertAlign w:val="superscript"/>
              </w:rPr>
              <w:footnoteReference w:id="2"/>
            </w:r>
            <w:r w:rsidRPr="008E4C60">
              <w:rPr>
                <w:rFonts w:asciiTheme="minorHAnsi" w:hAnsiTheme="minorHAnsi" w:cstheme="minorHAnsi"/>
                <w:szCs w:val="22"/>
              </w:rPr>
              <w:t xml:space="preserve"> to improve safety</w:t>
            </w:r>
          </w:p>
          <w:p w14:paraId="1B3820DE" w14:textId="655A62FC" w:rsidR="006F3B0D" w:rsidRPr="008E4C60" w:rsidRDefault="006F3B0D" w:rsidP="006F3B0D">
            <w:pPr>
              <w:widowControl w:val="0"/>
              <w:numPr>
                <w:ilvl w:val="0"/>
                <w:numId w:val="107"/>
              </w:numPr>
              <w:tabs>
                <w:tab w:val="right" w:leader="dot" w:pos="9356"/>
              </w:tabs>
              <w:autoSpaceDE w:val="0"/>
              <w:autoSpaceDN w:val="0"/>
              <w:spacing w:before="0" w:after="40"/>
              <w:ind w:left="319" w:hanging="319"/>
              <w:rPr>
                <w:szCs w:val="22"/>
              </w:rPr>
            </w:pPr>
            <w:r w:rsidRPr="008E4C60">
              <w:rPr>
                <w:rFonts w:asciiTheme="minorHAnsi" w:hAnsiTheme="minorHAnsi" w:cstheme="minorHAnsi"/>
                <w:szCs w:val="22"/>
              </w:rPr>
              <w:t>insertion of</w:t>
            </w:r>
            <w:r w:rsidRPr="008E4C60">
              <w:rPr>
                <w:rFonts w:asciiTheme="minorHAnsi" w:hAnsiTheme="minorHAnsi" w:cstheme="minorHAnsi"/>
                <w:iCs/>
                <w:szCs w:val="22"/>
              </w:rPr>
              <w:t xml:space="preserve"> the </w:t>
            </w:r>
            <w:r w:rsidRPr="008E4C60">
              <w:rPr>
                <w:rFonts w:asciiTheme="minorHAnsi" w:hAnsiTheme="minorHAnsi" w:cstheme="minorHAnsi"/>
                <w:szCs w:val="22"/>
              </w:rPr>
              <w:t>human interferon alpha-2b (</w:t>
            </w:r>
            <w:proofErr w:type="spellStart"/>
            <w:r w:rsidR="007B1825" w:rsidRPr="007B1825">
              <w:rPr>
                <w:rFonts w:asciiTheme="minorHAnsi" w:hAnsiTheme="minorHAnsi" w:cstheme="minorHAnsi"/>
                <w:i/>
                <w:iCs/>
                <w:szCs w:val="22"/>
              </w:rPr>
              <w:t>h</w:t>
            </w:r>
            <w:r w:rsidRPr="007B1825">
              <w:rPr>
                <w:rFonts w:cs="Calibri"/>
                <w:i/>
                <w:iCs/>
                <w:szCs w:val="22"/>
              </w:rPr>
              <w:t>I</w:t>
            </w:r>
            <w:r w:rsidR="007B1825" w:rsidRPr="007B1825">
              <w:rPr>
                <w:rFonts w:cs="Calibri"/>
                <w:i/>
                <w:iCs/>
                <w:szCs w:val="22"/>
              </w:rPr>
              <w:t>FN</w:t>
            </w:r>
            <w:proofErr w:type="spellEnd"/>
            <w:r w:rsidRPr="007B1825">
              <w:rPr>
                <w:rFonts w:cs="Calibri"/>
                <w:i/>
                <w:iCs/>
                <w:szCs w:val="22"/>
              </w:rPr>
              <w:t>-α2b</w:t>
            </w:r>
            <w:r w:rsidRPr="008E4C60">
              <w:rPr>
                <w:rFonts w:asciiTheme="minorHAnsi" w:hAnsiTheme="minorHAnsi" w:cstheme="minorHAnsi"/>
                <w:szCs w:val="22"/>
              </w:rPr>
              <w:t>) gene to produce the protein with anticancer activities</w:t>
            </w:r>
          </w:p>
        </w:tc>
      </w:tr>
      <w:tr w:rsidR="008E4C60" w:rsidRPr="008E4C60" w14:paraId="67C5F0FF" w14:textId="77777777" w:rsidTr="00757821">
        <w:trPr>
          <w:jc w:val="center"/>
        </w:trPr>
        <w:tc>
          <w:tcPr>
            <w:tcW w:w="2681" w:type="dxa"/>
          </w:tcPr>
          <w:p w14:paraId="7CFAED25" w14:textId="77777777" w:rsidR="006F3B0D" w:rsidRPr="008E4C60" w:rsidRDefault="006F3B0D" w:rsidP="006F3B0D">
            <w:pPr>
              <w:widowControl w:val="0"/>
              <w:tabs>
                <w:tab w:val="right" w:leader="dot" w:pos="9356"/>
              </w:tabs>
              <w:spacing w:before="40" w:after="40"/>
              <w:rPr>
                <w:rFonts w:cs="Arial Narrow"/>
                <w:b/>
                <w:bCs/>
                <w:i/>
                <w:szCs w:val="22"/>
              </w:rPr>
            </w:pPr>
            <w:r w:rsidRPr="008E4C60">
              <w:rPr>
                <w:rFonts w:cs="Calibri"/>
                <w:b/>
                <w:bCs/>
                <w:i/>
                <w:szCs w:val="22"/>
              </w:rPr>
              <w:lastRenderedPageBreak/>
              <w:t>Principal purpose</w:t>
            </w:r>
          </w:p>
        </w:tc>
        <w:tc>
          <w:tcPr>
            <w:tcW w:w="7214" w:type="dxa"/>
          </w:tcPr>
          <w:p w14:paraId="4168AD1C" w14:textId="40435210" w:rsidR="006F3B0D" w:rsidRPr="008E4C60" w:rsidRDefault="006F3B0D" w:rsidP="006F3B0D">
            <w:pPr>
              <w:keepNext/>
              <w:widowControl w:val="0"/>
              <w:tabs>
                <w:tab w:val="right" w:leader="dot" w:pos="9356"/>
              </w:tabs>
              <w:spacing w:before="60" w:after="60"/>
              <w:rPr>
                <w:rFonts w:cs="Calibri"/>
                <w:szCs w:val="22"/>
              </w:rPr>
            </w:pPr>
            <w:r w:rsidRPr="008E4C60">
              <w:rPr>
                <w:rFonts w:asciiTheme="minorHAnsi" w:hAnsiTheme="minorHAnsi" w:cstheme="minorHAnsi"/>
                <w:szCs w:val="22"/>
              </w:rPr>
              <w:t xml:space="preserve">The proposed trials are Phase 3 and 3b studies designed to evaluate the safety and efficacy of </w:t>
            </w:r>
            <w:r w:rsidRPr="008E4C60">
              <w:rPr>
                <w:rFonts w:cs="Calibri"/>
                <w:szCs w:val="22"/>
              </w:rPr>
              <w:t xml:space="preserve">a </w:t>
            </w:r>
            <w:r w:rsidR="009B4296" w:rsidRPr="008E4C60">
              <w:rPr>
                <w:rFonts w:asciiTheme="minorHAnsi" w:hAnsiTheme="minorHAnsi" w:cstheme="minorHAnsi"/>
                <w:szCs w:val="22"/>
              </w:rPr>
              <w:t xml:space="preserve">genetically modified </w:t>
            </w:r>
            <w:r w:rsidRPr="008E4C60">
              <w:rPr>
                <w:rFonts w:cs="Calibri"/>
                <w:szCs w:val="22"/>
              </w:rPr>
              <w:t xml:space="preserve">(GM) adenovirus for the treatment of Australian patients with bladder </w:t>
            </w:r>
            <w:r w:rsidR="00A520AD" w:rsidRPr="008E4C60">
              <w:rPr>
                <w:rFonts w:cs="Calibri"/>
                <w:szCs w:val="22"/>
              </w:rPr>
              <w:t>cancer</w:t>
            </w:r>
          </w:p>
        </w:tc>
      </w:tr>
      <w:tr w:rsidR="008E4C60" w:rsidRPr="008E4C60" w14:paraId="6EB2FDE3" w14:textId="77777777" w:rsidTr="00757821">
        <w:trPr>
          <w:jc w:val="center"/>
        </w:trPr>
        <w:tc>
          <w:tcPr>
            <w:tcW w:w="2681" w:type="dxa"/>
          </w:tcPr>
          <w:p w14:paraId="2FBB6112" w14:textId="77777777" w:rsidR="006F3B0D" w:rsidRPr="008E4C60" w:rsidRDefault="006F3B0D" w:rsidP="006F3B0D">
            <w:pPr>
              <w:widowControl w:val="0"/>
              <w:tabs>
                <w:tab w:val="right" w:leader="dot" w:pos="9356"/>
              </w:tabs>
              <w:spacing w:before="40" w:after="40"/>
              <w:rPr>
                <w:rFonts w:cs="Calibri"/>
                <w:b/>
                <w:bCs/>
                <w:i/>
                <w:szCs w:val="22"/>
              </w:rPr>
            </w:pPr>
            <w:r w:rsidRPr="008E4C60">
              <w:rPr>
                <w:rFonts w:cs="Calibri"/>
                <w:b/>
                <w:bCs/>
                <w:i/>
                <w:szCs w:val="22"/>
              </w:rPr>
              <w:t>Previous approvals</w:t>
            </w:r>
          </w:p>
        </w:tc>
        <w:tc>
          <w:tcPr>
            <w:tcW w:w="7214" w:type="dxa"/>
          </w:tcPr>
          <w:p w14:paraId="4287C1BC" w14:textId="7782C9EA"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Licence DIR 217 was issued on 17 October 2025 for dealings associated with the commercial supply of the GMO</w:t>
            </w:r>
            <w:r w:rsidR="00966861" w:rsidRPr="008E4C60">
              <w:rPr>
                <w:rFonts w:asciiTheme="minorHAnsi" w:hAnsiTheme="minorHAnsi" w:cstheme="minorHAnsi"/>
                <w:szCs w:val="22"/>
              </w:rPr>
              <w:t xml:space="preserve"> in Australia</w:t>
            </w:r>
            <w:r w:rsidRPr="008E4C60">
              <w:rPr>
                <w:rFonts w:asciiTheme="minorHAnsi" w:hAnsiTheme="minorHAnsi" w:cstheme="minorHAnsi"/>
                <w:szCs w:val="22"/>
              </w:rPr>
              <w:t xml:space="preserve">. </w:t>
            </w:r>
          </w:p>
          <w:p w14:paraId="6D202D19" w14:textId="77777777"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Clinical trials (Phases 1-3) were undertaken in the United States (US).</w:t>
            </w:r>
          </w:p>
          <w:p w14:paraId="066F1631" w14:textId="2FCB30DD" w:rsidR="006F3B0D" w:rsidRPr="008E4C60" w:rsidRDefault="006F3B0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 xml:space="preserve">In December 2022, </w:t>
            </w:r>
            <w:bookmarkStart w:id="23" w:name="_Hlk218252795"/>
            <w:r w:rsidRPr="008E4C60">
              <w:rPr>
                <w:rFonts w:asciiTheme="minorHAnsi" w:hAnsiTheme="minorHAnsi" w:cstheme="minorHAnsi"/>
                <w:szCs w:val="22"/>
              </w:rPr>
              <w:t xml:space="preserve">the US </w:t>
            </w:r>
            <w:r w:rsidR="00966861" w:rsidRPr="008E4C60">
              <w:rPr>
                <w:rFonts w:asciiTheme="minorHAnsi" w:hAnsiTheme="minorHAnsi" w:cstheme="minorHAnsi"/>
                <w:szCs w:val="22"/>
              </w:rPr>
              <w:t>Food and</w:t>
            </w:r>
            <w:r w:rsidRPr="008E4C60">
              <w:rPr>
                <w:rFonts w:asciiTheme="minorHAnsi" w:hAnsiTheme="minorHAnsi" w:cstheme="minorHAnsi"/>
                <w:szCs w:val="22"/>
              </w:rPr>
              <w:t xml:space="preserve"> Drug Administration approved this GMO for the treatment of high</w:t>
            </w:r>
            <w:r w:rsidR="008D6280" w:rsidRPr="008E4C60">
              <w:rPr>
                <w:rFonts w:asciiTheme="minorHAnsi" w:hAnsiTheme="minorHAnsi" w:cstheme="minorHAnsi"/>
                <w:szCs w:val="22"/>
              </w:rPr>
              <w:t>-</w:t>
            </w:r>
            <w:r w:rsidRPr="008E4C60">
              <w:rPr>
                <w:rFonts w:asciiTheme="minorHAnsi" w:hAnsiTheme="minorHAnsi" w:cstheme="minorHAnsi"/>
                <w:szCs w:val="22"/>
              </w:rPr>
              <w:t>grade bladder cancers</w:t>
            </w:r>
            <w:bookmarkEnd w:id="23"/>
            <w:r w:rsidRPr="008E4C60">
              <w:rPr>
                <w:rFonts w:asciiTheme="minorHAnsi" w:hAnsiTheme="minorHAnsi" w:cstheme="minorHAnsi"/>
                <w:szCs w:val="22"/>
              </w:rPr>
              <w:t>.</w:t>
            </w:r>
          </w:p>
        </w:tc>
      </w:tr>
      <w:tr w:rsidR="008E4C60" w:rsidRPr="008E4C60" w14:paraId="436A6164" w14:textId="77777777" w:rsidTr="00757821">
        <w:trPr>
          <w:jc w:val="center"/>
        </w:trPr>
        <w:tc>
          <w:tcPr>
            <w:tcW w:w="9895" w:type="dxa"/>
            <w:gridSpan w:val="2"/>
          </w:tcPr>
          <w:p w14:paraId="63C2CE1F" w14:textId="77777777" w:rsidR="006F3B0D" w:rsidRPr="008E4C60" w:rsidRDefault="006F3B0D" w:rsidP="006F3B0D">
            <w:pPr>
              <w:widowControl w:val="0"/>
              <w:tabs>
                <w:tab w:val="right" w:leader="dot" w:pos="9356"/>
              </w:tabs>
              <w:spacing w:before="60" w:after="60"/>
              <w:rPr>
                <w:b/>
                <w:i/>
                <w:szCs w:val="22"/>
              </w:rPr>
            </w:pPr>
            <w:r w:rsidRPr="008E4C60">
              <w:rPr>
                <w:rFonts w:cs="Calibri"/>
                <w:b/>
                <w:i/>
                <w:szCs w:val="22"/>
              </w:rPr>
              <w:t>Proposed limits and controls</w:t>
            </w:r>
          </w:p>
        </w:tc>
      </w:tr>
      <w:tr w:rsidR="008E4C60" w:rsidRPr="008E4C60" w14:paraId="330E965D" w14:textId="77777777" w:rsidTr="00757821">
        <w:trPr>
          <w:jc w:val="center"/>
        </w:trPr>
        <w:tc>
          <w:tcPr>
            <w:tcW w:w="2681" w:type="dxa"/>
          </w:tcPr>
          <w:p w14:paraId="632702E8" w14:textId="53E30A55"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L</w:t>
            </w:r>
            <w:r w:rsidR="006F3B0D" w:rsidRPr="008E4C60">
              <w:rPr>
                <w:rFonts w:cs="Calibri"/>
                <w:bCs/>
                <w:szCs w:val="22"/>
              </w:rPr>
              <w:t>ocations</w:t>
            </w:r>
          </w:p>
        </w:tc>
        <w:tc>
          <w:tcPr>
            <w:tcW w:w="7214" w:type="dxa"/>
          </w:tcPr>
          <w:p w14:paraId="6AA7665B" w14:textId="43E969BD" w:rsidR="006F3B0D" w:rsidRPr="008E4C60" w:rsidRDefault="00315347" w:rsidP="006F3B0D">
            <w:pPr>
              <w:widowControl w:val="0"/>
              <w:tabs>
                <w:tab w:val="right" w:leader="dot" w:pos="9356"/>
              </w:tabs>
              <w:spacing w:before="60" w:after="60"/>
              <w:rPr>
                <w:szCs w:val="22"/>
              </w:rPr>
            </w:pPr>
            <w:r>
              <w:rPr>
                <w:rFonts w:cs="Calibri"/>
                <w:szCs w:val="22"/>
              </w:rPr>
              <w:t>C</w:t>
            </w:r>
            <w:r w:rsidRPr="008E4C60">
              <w:rPr>
                <w:rFonts w:cs="Calibri"/>
                <w:szCs w:val="22"/>
              </w:rPr>
              <w:t>linical trial sites (medical facilities)</w:t>
            </w:r>
            <w:r>
              <w:rPr>
                <w:rFonts w:cs="Calibri"/>
                <w:szCs w:val="22"/>
              </w:rPr>
              <w:t xml:space="preserve"> in Australia, initially u</w:t>
            </w:r>
            <w:r w:rsidR="006F3B0D" w:rsidRPr="008E4C60">
              <w:rPr>
                <w:rFonts w:cs="Calibri"/>
                <w:szCs w:val="22"/>
              </w:rPr>
              <w:t xml:space="preserve">p to </w:t>
            </w:r>
            <w:r w:rsidR="00807788">
              <w:rPr>
                <w:rFonts w:cs="Calibri"/>
                <w:szCs w:val="22"/>
              </w:rPr>
              <w:t>9</w:t>
            </w:r>
            <w:r w:rsidR="00807788" w:rsidRPr="008E4C60">
              <w:rPr>
                <w:rFonts w:cs="Calibri"/>
                <w:szCs w:val="22"/>
              </w:rPr>
              <w:t xml:space="preserve"> </w:t>
            </w:r>
            <w:r w:rsidR="006F3B0D" w:rsidRPr="008E4C60">
              <w:rPr>
                <w:rFonts w:cs="Calibri"/>
                <w:szCs w:val="22"/>
              </w:rPr>
              <w:t>in New South Wales and Victoria</w:t>
            </w:r>
            <w:r w:rsidR="006F3B0D" w:rsidRPr="008E4C60">
              <w:rPr>
                <w:szCs w:val="22"/>
              </w:rPr>
              <w:t xml:space="preserve"> </w:t>
            </w:r>
          </w:p>
        </w:tc>
      </w:tr>
      <w:tr w:rsidR="008E4C60" w:rsidRPr="008E4C60" w14:paraId="6E27911D" w14:textId="77777777" w:rsidTr="00757821">
        <w:trPr>
          <w:jc w:val="center"/>
        </w:trPr>
        <w:tc>
          <w:tcPr>
            <w:tcW w:w="2681" w:type="dxa"/>
          </w:tcPr>
          <w:p w14:paraId="51AB3770" w14:textId="437722BA"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Trial</w:t>
            </w:r>
            <w:r w:rsidR="006F3B0D" w:rsidRPr="008E4C60">
              <w:rPr>
                <w:rFonts w:cs="Calibri"/>
                <w:bCs/>
                <w:szCs w:val="22"/>
              </w:rPr>
              <w:t xml:space="preserve"> size</w:t>
            </w:r>
          </w:p>
        </w:tc>
        <w:tc>
          <w:tcPr>
            <w:tcW w:w="7214" w:type="dxa"/>
          </w:tcPr>
          <w:p w14:paraId="307AB2BC" w14:textId="5D5ED6F9" w:rsidR="006F3B0D" w:rsidRPr="008E4C60" w:rsidRDefault="006F3B0D" w:rsidP="006F3B0D">
            <w:pPr>
              <w:widowControl w:val="0"/>
              <w:tabs>
                <w:tab w:val="right" w:leader="dot" w:pos="9356"/>
              </w:tabs>
              <w:spacing w:before="60" w:after="60"/>
              <w:rPr>
                <w:szCs w:val="22"/>
              </w:rPr>
            </w:pPr>
            <w:r w:rsidRPr="008E4C60">
              <w:rPr>
                <w:rFonts w:asciiTheme="minorHAnsi" w:hAnsiTheme="minorHAnsi" w:cstheme="minorHAnsi"/>
                <w:iCs/>
                <w:szCs w:val="22"/>
              </w:rPr>
              <w:t xml:space="preserve">Up to </w:t>
            </w:r>
            <w:r w:rsidR="003E6D1B">
              <w:rPr>
                <w:rFonts w:asciiTheme="minorHAnsi" w:hAnsiTheme="minorHAnsi" w:cstheme="minorHAnsi"/>
                <w:iCs/>
                <w:szCs w:val="22"/>
              </w:rPr>
              <w:t xml:space="preserve">25 </w:t>
            </w:r>
            <w:r w:rsidRPr="008E4C60">
              <w:rPr>
                <w:rFonts w:asciiTheme="minorHAnsi" w:hAnsiTheme="minorHAnsi" w:cstheme="minorHAnsi"/>
                <w:iCs/>
                <w:szCs w:val="22"/>
              </w:rPr>
              <w:t>clinical trial participants in Australia</w:t>
            </w:r>
            <w:r w:rsidRPr="008E4C60">
              <w:rPr>
                <w:rFonts w:cs="Calibri"/>
                <w:iCs/>
                <w:szCs w:val="22"/>
              </w:rPr>
              <w:t xml:space="preserve"> across the two phases</w:t>
            </w:r>
          </w:p>
        </w:tc>
      </w:tr>
      <w:tr w:rsidR="008E4C60" w:rsidRPr="008E4C60" w14:paraId="79FE5069" w14:textId="77777777" w:rsidTr="00757821">
        <w:trPr>
          <w:jc w:val="center"/>
        </w:trPr>
        <w:tc>
          <w:tcPr>
            <w:tcW w:w="2681" w:type="dxa"/>
          </w:tcPr>
          <w:p w14:paraId="7EF6F5ED" w14:textId="2802C1F6" w:rsidR="006F3B0D" w:rsidRPr="008E4C60" w:rsidRDefault="008E5187" w:rsidP="006F3B0D">
            <w:pPr>
              <w:widowControl w:val="0"/>
              <w:tabs>
                <w:tab w:val="right" w:leader="dot" w:pos="9356"/>
              </w:tabs>
              <w:spacing w:before="40" w:after="40"/>
              <w:rPr>
                <w:rFonts w:cs="Arial Narrow"/>
                <w:bCs/>
                <w:szCs w:val="22"/>
              </w:rPr>
            </w:pPr>
            <w:r w:rsidRPr="008E4C60">
              <w:rPr>
                <w:rFonts w:cs="Calibri"/>
                <w:bCs/>
                <w:szCs w:val="22"/>
              </w:rPr>
              <w:t>Duration</w:t>
            </w:r>
          </w:p>
        </w:tc>
        <w:tc>
          <w:tcPr>
            <w:tcW w:w="7214" w:type="dxa"/>
          </w:tcPr>
          <w:p w14:paraId="6345709E" w14:textId="53BCAA5A" w:rsidR="006F3B0D" w:rsidRPr="008E4C60" w:rsidRDefault="00966861" w:rsidP="006F3B0D">
            <w:pPr>
              <w:widowControl w:val="0"/>
              <w:tabs>
                <w:tab w:val="right" w:leader="dot" w:pos="9356"/>
              </w:tabs>
              <w:spacing w:before="60" w:after="60"/>
              <w:rPr>
                <w:szCs w:val="22"/>
              </w:rPr>
            </w:pPr>
            <w:r w:rsidRPr="008E4C60">
              <w:rPr>
                <w:rFonts w:cs="Calibri"/>
                <w:szCs w:val="22"/>
              </w:rPr>
              <w:t>5</w:t>
            </w:r>
            <w:r w:rsidR="006F3B0D" w:rsidRPr="008E4C60">
              <w:rPr>
                <w:rFonts w:cs="Calibri"/>
                <w:szCs w:val="22"/>
              </w:rPr>
              <w:t xml:space="preserve"> years</w:t>
            </w:r>
          </w:p>
        </w:tc>
      </w:tr>
      <w:tr w:rsidR="008E4C60" w:rsidRPr="008E4C60" w14:paraId="4E4EA4CA" w14:textId="77777777" w:rsidTr="00757821">
        <w:trPr>
          <w:jc w:val="center"/>
        </w:trPr>
        <w:tc>
          <w:tcPr>
            <w:tcW w:w="2681" w:type="dxa"/>
          </w:tcPr>
          <w:p w14:paraId="2C5FC561" w14:textId="49B94331" w:rsidR="006F3B0D" w:rsidRPr="008E4C60" w:rsidRDefault="008E5187" w:rsidP="006F3B0D">
            <w:pPr>
              <w:widowControl w:val="0"/>
              <w:tabs>
                <w:tab w:val="right" w:leader="dot" w:pos="9356"/>
              </w:tabs>
              <w:spacing w:before="40" w:after="40"/>
              <w:rPr>
                <w:rFonts w:cs="Calibri"/>
                <w:bCs/>
                <w:szCs w:val="22"/>
              </w:rPr>
            </w:pPr>
            <w:r w:rsidRPr="008E4C60">
              <w:rPr>
                <w:rFonts w:cs="Calibri"/>
                <w:bCs/>
                <w:szCs w:val="22"/>
              </w:rPr>
              <w:t>C</w:t>
            </w:r>
            <w:r w:rsidR="006F3B0D" w:rsidRPr="008E4C60">
              <w:rPr>
                <w:rFonts w:cs="Calibri"/>
                <w:bCs/>
                <w:szCs w:val="22"/>
              </w:rPr>
              <w:t>ontrols</w:t>
            </w:r>
          </w:p>
        </w:tc>
        <w:tc>
          <w:tcPr>
            <w:tcW w:w="7214" w:type="dxa"/>
          </w:tcPr>
          <w:p w14:paraId="7123F02E" w14:textId="3F4BC339"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T</w:t>
            </w:r>
            <w:r w:rsidR="006F3B0D" w:rsidRPr="008E4C60">
              <w:rPr>
                <w:rFonts w:asciiTheme="minorHAnsi" w:hAnsiTheme="minorHAnsi" w:cstheme="minorHAnsi"/>
                <w:szCs w:val="22"/>
              </w:rPr>
              <w:t>he GMO would be administered to trial participants within clinical trial sites</w:t>
            </w:r>
          </w:p>
          <w:p w14:paraId="0AC1FBAA" w14:textId="3A411D6A"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S</w:t>
            </w:r>
            <w:r w:rsidR="006F3B0D" w:rsidRPr="008E4C60">
              <w:rPr>
                <w:rFonts w:asciiTheme="minorHAnsi" w:hAnsiTheme="minorHAnsi" w:cstheme="minorHAnsi"/>
                <w:szCs w:val="22"/>
              </w:rPr>
              <w:t>taff handling the GMO would be trained and use personal protective equipment</w:t>
            </w:r>
          </w:p>
          <w:p w14:paraId="4EE07269" w14:textId="2BBEB036"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H</w:t>
            </w:r>
            <w:r w:rsidR="006F3B0D" w:rsidRPr="008E4C60">
              <w:rPr>
                <w:rFonts w:asciiTheme="minorHAnsi" w:hAnsiTheme="minorHAnsi" w:cstheme="minorHAnsi"/>
                <w:szCs w:val="22"/>
              </w:rPr>
              <w:t xml:space="preserve">igher risk staff would be excluded from handling the GMO  </w:t>
            </w:r>
          </w:p>
          <w:p w14:paraId="13921531" w14:textId="15021284"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iCs/>
                <w:szCs w:val="22"/>
              </w:rPr>
              <w:t>T</w:t>
            </w:r>
            <w:r w:rsidR="006F3B0D" w:rsidRPr="008E4C60">
              <w:rPr>
                <w:iCs/>
                <w:szCs w:val="22"/>
              </w:rPr>
              <w:t xml:space="preserve">he GMO would be transported and stored according to </w:t>
            </w:r>
            <w:r w:rsidR="00ED5D15" w:rsidRPr="008E4C60">
              <w:rPr>
                <w:iCs/>
                <w:szCs w:val="22"/>
              </w:rPr>
              <w:t xml:space="preserve">the Regulator’s </w:t>
            </w:r>
            <w:r w:rsidR="00FD6D3D" w:rsidRPr="004D3FE2">
              <w:rPr>
                <w:i/>
                <w:szCs w:val="22"/>
              </w:rPr>
              <w:t>Guidelines for the</w:t>
            </w:r>
            <w:r w:rsidR="00FD6D3D">
              <w:rPr>
                <w:iCs/>
                <w:szCs w:val="22"/>
              </w:rPr>
              <w:t xml:space="preserve"> </w:t>
            </w:r>
            <w:r w:rsidR="006F3B0D" w:rsidRPr="008E4C60">
              <w:rPr>
                <w:i/>
                <w:szCs w:val="22"/>
              </w:rPr>
              <w:t xml:space="preserve">Transport, Storage and Disposal </w:t>
            </w:r>
            <w:r w:rsidR="00FD6D3D">
              <w:rPr>
                <w:i/>
                <w:szCs w:val="22"/>
              </w:rPr>
              <w:t>of GMOs</w:t>
            </w:r>
            <w:r w:rsidR="006F3B0D" w:rsidRPr="008E4C60">
              <w:rPr>
                <w:iCs/>
                <w:szCs w:val="22"/>
              </w:rPr>
              <w:t>.</w:t>
            </w:r>
          </w:p>
          <w:p w14:paraId="6643B39E" w14:textId="650A3F51" w:rsidR="006F3B0D" w:rsidRPr="008E4C60" w:rsidRDefault="003F027D" w:rsidP="006F3B0D">
            <w:pPr>
              <w:widowControl w:val="0"/>
              <w:numPr>
                <w:ilvl w:val="0"/>
                <w:numId w:val="107"/>
              </w:numPr>
              <w:tabs>
                <w:tab w:val="right" w:leader="dot" w:pos="9356"/>
              </w:tabs>
              <w:autoSpaceDE w:val="0"/>
              <w:autoSpaceDN w:val="0"/>
              <w:spacing w:before="0" w:after="40"/>
              <w:ind w:left="318" w:hanging="318"/>
              <w:rPr>
                <w:rFonts w:asciiTheme="minorHAnsi" w:hAnsiTheme="minorHAnsi" w:cstheme="minorHAnsi"/>
                <w:szCs w:val="22"/>
              </w:rPr>
            </w:pPr>
            <w:r w:rsidRPr="008E4C60">
              <w:rPr>
                <w:rFonts w:asciiTheme="minorHAnsi" w:hAnsiTheme="minorHAnsi" w:cstheme="minorHAnsi"/>
                <w:szCs w:val="22"/>
              </w:rPr>
              <w:t>W</w:t>
            </w:r>
            <w:r w:rsidR="006F3B0D" w:rsidRPr="008E4C60">
              <w:rPr>
                <w:rFonts w:asciiTheme="minorHAnsi" w:hAnsiTheme="minorHAnsi" w:cstheme="minorHAnsi"/>
                <w:szCs w:val="22"/>
              </w:rPr>
              <w:t>aste that may contain GMO would be destroyed according to clinical trial site procedures appropriate</w:t>
            </w:r>
            <w:r w:rsidR="006F3B0D" w:rsidRPr="008E4C60">
              <w:rPr>
                <w:szCs w:val="22"/>
              </w:rPr>
              <w:t xml:space="preserve"> for </w:t>
            </w:r>
            <w:r w:rsidR="00FD6D3D">
              <w:rPr>
                <w:szCs w:val="22"/>
              </w:rPr>
              <w:t>physical containment level 2 (</w:t>
            </w:r>
            <w:r w:rsidR="006F3B0D" w:rsidRPr="008E4C60">
              <w:rPr>
                <w:szCs w:val="22"/>
              </w:rPr>
              <w:t>PC2</w:t>
            </w:r>
            <w:r w:rsidR="00FD6D3D">
              <w:rPr>
                <w:szCs w:val="22"/>
              </w:rPr>
              <w:t>)</w:t>
            </w:r>
            <w:r w:rsidR="006F3B0D" w:rsidRPr="008E4C60">
              <w:rPr>
                <w:szCs w:val="22"/>
              </w:rPr>
              <w:t xml:space="preserve"> GMOs.</w:t>
            </w:r>
          </w:p>
        </w:tc>
      </w:tr>
    </w:tbl>
    <w:p w14:paraId="12BE047F" w14:textId="61224E19" w:rsidR="00302CAD" w:rsidRPr="0000143A" w:rsidRDefault="00302CAD" w:rsidP="00BE23F9">
      <w:pPr>
        <w:pStyle w:val="Heading2"/>
        <w:numPr>
          <w:ilvl w:val="0"/>
          <w:numId w:val="0"/>
        </w:numPr>
      </w:pPr>
      <w:bookmarkStart w:id="24" w:name="_Toc226974988"/>
      <w:r w:rsidRPr="0000143A">
        <w:t>Risk assessment</w:t>
      </w:r>
      <w:bookmarkEnd w:id="16"/>
      <w:bookmarkEnd w:id="17"/>
      <w:bookmarkEnd w:id="18"/>
      <w:bookmarkEnd w:id="21"/>
      <w:bookmarkEnd w:id="22"/>
      <w:bookmarkEnd w:id="24"/>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49767B32"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and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viruses and the potential for the GMO to integrate into the host genome</w:t>
      </w:r>
      <w:r w:rsidRPr="000A29BE">
        <w:rPr>
          <w:rFonts w:ascii="Calibri" w:hAnsi="Calibri" w:cs="Calibri"/>
          <w:sz w:val="22"/>
          <w:szCs w:val="22"/>
        </w:rPr>
        <w:t>.</w:t>
      </w:r>
    </w:p>
    <w:p w14:paraId="028A9420" w14:textId="77777777" w:rsidR="006B682E" w:rsidRDefault="006B682E" w:rsidP="006B682E">
      <w:pPr>
        <w:pStyle w:val="RARMPnumberedparagraphs"/>
        <w:numPr>
          <w:ilvl w:val="0"/>
          <w:numId w:val="0"/>
        </w:numPr>
        <w:rPr>
          <w:rFonts w:cs="Calibri"/>
        </w:rPr>
      </w:pPr>
      <w:r w:rsidRPr="000A29BE">
        <w:rPr>
          <w:rFonts w:cs="Calibri"/>
        </w:rPr>
        <w:t xml:space="preserve">The risk assessment </w:t>
      </w:r>
      <w:r>
        <w:rPr>
          <w:rFonts w:cs="Calibri"/>
        </w:rPr>
        <w:t xml:space="preserve">concludes that the trial poses negligible risks to human health and safety and to the environment. No specific risk treatment measures are required to manage these negligible risks. </w:t>
      </w:r>
    </w:p>
    <w:p w14:paraId="29A228A1" w14:textId="1703C5C3" w:rsidR="00351FD6" w:rsidRPr="000A29BE" w:rsidRDefault="00351FD6" w:rsidP="00351FD6">
      <w:pPr>
        <w:pStyle w:val="Paranonumbers"/>
        <w:rPr>
          <w:rFonts w:ascii="Calibri" w:hAnsi="Calibri" w:cs="Calibri"/>
          <w:sz w:val="22"/>
          <w:szCs w:val="22"/>
        </w:rPr>
      </w:pPr>
      <w:r>
        <w:rPr>
          <w:rFonts w:ascii="Calibri" w:hAnsi="Calibri" w:cs="Calibri"/>
          <w:sz w:val="22"/>
          <w:szCs w:val="22"/>
        </w:rPr>
        <w:t xml:space="preserve">Important factors in reaching the conclusions of the risk assessment included that the GMO </w:t>
      </w:r>
      <w:r w:rsidR="00534844" w:rsidRPr="00534844">
        <w:rPr>
          <w:rFonts w:ascii="Calibri" w:hAnsi="Calibri" w:cs="Calibri"/>
          <w:sz w:val="22"/>
          <w:szCs w:val="22"/>
        </w:rPr>
        <w:t>is replication incompetent</w:t>
      </w:r>
      <w:r>
        <w:rPr>
          <w:rFonts w:ascii="Calibri" w:hAnsi="Calibri" w:cs="Calibri"/>
          <w:sz w:val="22"/>
          <w:szCs w:val="22"/>
        </w:rPr>
        <w:t>, unintended exposure to the GMO would be minimised by the limits and controls</w:t>
      </w:r>
      <w:r w:rsidR="007E2F9E">
        <w:rPr>
          <w:rFonts w:ascii="Calibri" w:hAnsi="Calibri" w:cs="Calibri"/>
          <w:sz w:val="22"/>
          <w:szCs w:val="22"/>
        </w:rPr>
        <w:t xml:space="preserve"> outlined in </w:t>
      </w:r>
      <w:r w:rsidR="007E2F9E">
        <w:rPr>
          <w:rFonts w:ascii="Calibri" w:hAnsi="Calibri" w:cs="Calibri"/>
          <w:sz w:val="22"/>
          <w:szCs w:val="22"/>
        </w:rPr>
        <w:lastRenderedPageBreak/>
        <w:t>the risk management plan</w:t>
      </w:r>
      <w:r>
        <w:rPr>
          <w:rFonts w:ascii="Calibri" w:hAnsi="Calibri" w:cs="Calibri"/>
          <w:sz w:val="22"/>
          <w:szCs w:val="22"/>
        </w:rPr>
        <w:t xml:space="preserve"> and</w:t>
      </w:r>
      <w:r w:rsidR="00D43C3D">
        <w:rPr>
          <w:rFonts w:ascii="Calibri" w:hAnsi="Calibri" w:cs="Calibri"/>
          <w:sz w:val="22"/>
          <w:szCs w:val="22"/>
        </w:rPr>
        <w:t xml:space="preserve"> that</w:t>
      </w:r>
      <w:r>
        <w:rPr>
          <w:rFonts w:ascii="Calibri" w:hAnsi="Calibri" w:cs="Calibri"/>
          <w:sz w:val="22"/>
          <w:szCs w:val="22"/>
        </w:rPr>
        <w:t xml:space="preserve"> the likelihood of complementation and recombination of the GMO with other adenoviruses is low. </w:t>
      </w:r>
    </w:p>
    <w:p w14:paraId="4E82D840" w14:textId="0CB4157C" w:rsidR="00302CAD" w:rsidRPr="0000143A" w:rsidRDefault="00302CAD" w:rsidP="00DB5481">
      <w:pPr>
        <w:pStyle w:val="Heading2"/>
        <w:numPr>
          <w:ilvl w:val="0"/>
          <w:numId w:val="0"/>
        </w:numPr>
      </w:pPr>
      <w:bookmarkStart w:id="25" w:name="_Toc47536737"/>
      <w:bookmarkStart w:id="26" w:name="_Toc226974989"/>
      <w:r w:rsidRPr="009842DD">
        <w:t>Risk ma</w:t>
      </w:r>
      <w:bookmarkStart w:id="27" w:name="_Toc209859549"/>
      <w:bookmarkStart w:id="28" w:name="_Toc342042137"/>
      <w:bookmarkStart w:id="29" w:name="_Toc291151778"/>
      <w:bookmarkStart w:id="30" w:name="_Toc274904728"/>
      <w:r w:rsidRPr="009842DD">
        <w:t>nagement</w:t>
      </w:r>
      <w:bookmarkEnd w:id="25"/>
      <w:bookmarkEnd w:id="26"/>
      <w:bookmarkEnd w:id="27"/>
      <w:bookmarkEnd w:id="28"/>
      <w:bookmarkEnd w:id="29"/>
      <w:bookmarkEnd w:id="30"/>
    </w:p>
    <w:p w14:paraId="539F7711" w14:textId="2FC67371" w:rsidR="00A35744" w:rsidRPr="00961290" w:rsidRDefault="00A35744" w:rsidP="00A35744">
      <w:pPr>
        <w:rPr>
          <w:rFonts w:eastAsia="SimSun"/>
          <w:szCs w:val="22"/>
        </w:rPr>
      </w:pPr>
      <w:r w:rsidRPr="00961290">
        <w:rPr>
          <w:rFonts w:eastAsia="SimSun"/>
          <w:szCs w:val="22"/>
        </w:rPr>
        <w:t>The risk management plan describes measures to protect the health and safety of people and to protect the environment by controlling or mitigating risk. The risk management plan is given effect through licence conditions.</w:t>
      </w:r>
    </w:p>
    <w:p w14:paraId="078DDCC6" w14:textId="5CCCF51E" w:rsidR="00815DA9" w:rsidRDefault="00A35744" w:rsidP="00A35744">
      <w:pPr>
        <w:rPr>
          <w:rFonts w:eastAsia="SimSun"/>
          <w:szCs w:val="22"/>
        </w:rPr>
      </w:pPr>
      <w:r w:rsidRPr="00961290">
        <w:rPr>
          <w:rFonts w:eastAsia="SimSun"/>
          <w:szCs w:val="22"/>
        </w:rPr>
        <w:t>As the level of risk is considered negligible,</w:t>
      </w:r>
      <w:r w:rsidRPr="00961290" w:rsidDel="00DB4CC6">
        <w:rPr>
          <w:rFonts w:eastAsia="SimSun"/>
          <w:szCs w:val="22"/>
        </w:rPr>
        <w:t xml:space="preserve"> </w:t>
      </w:r>
      <w:r w:rsidRPr="00961290">
        <w:rPr>
          <w:rFonts w:eastAsia="SimSun"/>
          <w:szCs w:val="22"/>
        </w:rPr>
        <w:t xml:space="preserve">specific risk treatment is not required. However, since this is a </w:t>
      </w:r>
      <w:r>
        <w:rPr>
          <w:rFonts w:eastAsia="SimSun"/>
          <w:szCs w:val="22"/>
        </w:rPr>
        <w:t>clinical trial</w:t>
      </w:r>
      <w:r w:rsidRPr="00961290">
        <w:rPr>
          <w:rFonts w:eastAsia="SimSun"/>
          <w:szCs w:val="22"/>
        </w:rPr>
        <w:t xml:space="preserve">, the licence includes limits on the </w:t>
      </w:r>
      <w:r>
        <w:rPr>
          <w:rFonts w:eastAsia="SimSun"/>
          <w:szCs w:val="22"/>
        </w:rPr>
        <w:t>number of trial participan</w:t>
      </w:r>
      <w:r w:rsidRPr="00970547">
        <w:rPr>
          <w:rFonts w:eastAsia="SimSun"/>
          <w:szCs w:val="22"/>
        </w:rPr>
        <w:t>ts, 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5"/>
          <w:footerReference w:type="default" r:id="rId16"/>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1" w:name="_Toc47536738"/>
      <w:bookmarkStart w:id="32" w:name="_Toc226974990"/>
      <w:r w:rsidRPr="0000143A">
        <w:lastRenderedPageBreak/>
        <w:t>Table of contents</w:t>
      </w:r>
      <w:bookmarkEnd w:id="31"/>
      <w:bookmarkEnd w:id="32"/>
    </w:p>
    <w:p w14:paraId="657CD3E4" w14:textId="7650DD55" w:rsidR="00391B25"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226974985" w:history="1">
        <w:r w:rsidR="00391B25" w:rsidRPr="00DC0FE0">
          <w:rPr>
            <w:rStyle w:val="Hyperlink"/>
          </w:rPr>
          <w:t>Summary of the Risk Assessment and Risk Management Plan</w:t>
        </w:r>
        <w:r w:rsidR="00391B25">
          <w:rPr>
            <w:webHidden/>
          </w:rPr>
          <w:tab/>
        </w:r>
        <w:r w:rsidR="00391B25">
          <w:rPr>
            <w:webHidden/>
          </w:rPr>
          <w:fldChar w:fldCharType="begin"/>
        </w:r>
        <w:r w:rsidR="00391B25">
          <w:rPr>
            <w:webHidden/>
          </w:rPr>
          <w:instrText xml:space="preserve"> PAGEREF _Toc226974985 \h </w:instrText>
        </w:r>
        <w:r w:rsidR="00391B25">
          <w:rPr>
            <w:webHidden/>
          </w:rPr>
        </w:r>
        <w:r w:rsidR="00391B25">
          <w:rPr>
            <w:webHidden/>
          </w:rPr>
          <w:fldChar w:fldCharType="separate"/>
        </w:r>
        <w:r w:rsidR="00391B25">
          <w:rPr>
            <w:webHidden/>
          </w:rPr>
          <w:t>I</w:t>
        </w:r>
        <w:r w:rsidR="00391B25">
          <w:rPr>
            <w:webHidden/>
          </w:rPr>
          <w:fldChar w:fldCharType="end"/>
        </w:r>
      </w:hyperlink>
    </w:p>
    <w:p w14:paraId="00D9C91E" w14:textId="00D423D1"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86" w:history="1">
        <w:r w:rsidRPr="00DC0FE0">
          <w:rPr>
            <w:rStyle w:val="Hyperlink"/>
          </w:rPr>
          <w:t>Decision</w:t>
        </w:r>
        <w:r>
          <w:rPr>
            <w:webHidden/>
          </w:rPr>
          <w:tab/>
        </w:r>
        <w:r w:rsidR="00754099">
          <w:rPr>
            <w:webHidden/>
          </w:rPr>
          <w:tab/>
        </w:r>
        <w:r w:rsidR="00754099">
          <w:rPr>
            <w:webHidden/>
          </w:rPr>
          <w:tab/>
        </w:r>
        <w:r>
          <w:rPr>
            <w:webHidden/>
          </w:rPr>
          <w:fldChar w:fldCharType="begin"/>
        </w:r>
        <w:r>
          <w:rPr>
            <w:webHidden/>
          </w:rPr>
          <w:instrText xml:space="preserve"> PAGEREF _Toc226974986 \h </w:instrText>
        </w:r>
        <w:r>
          <w:rPr>
            <w:webHidden/>
          </w:rPr>
        </w:r>
        <w:r>
          <w:rPr>
            <w:webHidden/>
          </w:rPr>
          <w:fldChar w:fldCharType="separate"/>
        </w:r>
        <w:r>
          <w:rPr>
            <w:webHidden/>
          </w:rPr>
          <w:t>I</w:t>
        </w:r>
        <w:r>
          <w:rPr>
            <w:webHidden/>
          </w:rPr>
          <w:fldChar w:fldCharType="end"/>
        </w:r>
      </w:hyperlink>
    </w:p>
    <w:p w14:paraId="3E053DF8" w14:textId="24D55FAA"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87" w:history="1">
        <w:r w:rsidRPr="00DC0FE0">
          <w:rPr>
            <w:rStyle w:val="Hyperlink"/>
          </w:rPr>
          <w:t>The application</w:t>
        </w:r>
        <w:r>
          <w:rPr>
            <w:webHidden/>
          </w:rPr>
          <w:tab/>
        </w:r>
        <w:r>
          <w:rPr>
            <w:webHidden/>
          </w:rPr>
          <w:fldChar w:fldCharType="begin"/>
        </w:r>
        <w:r>
          <w:rPr>
            <w:webHidden/>
          </w:rPr>
          <w:instrText xml:space="preserve"> PAGEREF _Toc226974987 \h </w:instrText>
        </w:r>
        <w:r>
          <w:rPr>
            <w:webHidden/>
          </w:rPr>
        </w:r>
        <w:r>
          <w:rPr>
            <w:webHidden/>
          </w:rPr>
          <w:fldChar w:fldCharType="separate"/>
        </w:r>
        <w:r>
          <w:rPr>
            <w:webHidden/>
          </w:rPr>
          <w:t>I</w:t>
        </w:r>
        <w:r>
          <w:rPr>
            <w:webHidden/>
          </w:rPr>
          <w:fldChar w:fldCharType="end"/>
        </w:r>
      </w:hyperlink>
    </w:p>
    <w:p w14:paraId="6A27242A" w14:textId="773594FE"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88" w:history="1">
        <w:r w:rsidRPr="00DC0FE0">
          <w:rPr>
            <w:rStyle w:val="Hyperlink"/>
          </w:rPr>
          <w:t>Risk assessment</w:t>
        </w:r>
        <w:r>
          <w:rPr>
            <w:webHidden/>
          </w:rPr>
          <w:tab/>
        </w:r>
        <w:r>
          <w:rPr>
            <w:webHidden/>
          </w:rPr>
          <w:fldChar w:fldCharType="begin"/>
        </w:r>
        <w:r>
          <w:rPr>
            <w:webHidden/>
          </w:rPr>
          <w:instrText xml:space="preserve"> PAGEREF _Toc226974988 \h </w:instrText>
        </w:r>
        <w:r>
          <w:rPr>
            <w:webHidden/>
          </w:rPr>
        </w:r>
        <w:r>
          <w:rPr>
            <w:webHidden/>
          </w:rPr>
          <w:fldChar w:fldCharType="separate"/>
        </w:r>
        <w:r>
          <w:rPr>
            <w:webHidden/>
          </w:rPr>
          <w:t>II</w:t>
        </w:r>
        <w:r>
          <w:rPr>
            <w:webHidden/>
          </w:rPr>
          <w:fldChar w:fldCharType="end"/>
        </w:r>
      </w:hyperlink>
    </w:p>
    <w:p w14:paraId="7AA35917" w14:textId="2047ED59"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89" w:history="1">
        <w:r w:rsidRPr="00DC0FE0">
          <w:rPr>
            <w:rStyle w:val="Hyperlink"/>
          </w:rPr>
          <w:t>Risk management</w:t>
        </w:r>
        <w:r>
          <w:rPr>
            <w:webHidden/>
          </w:rPr>
          <w:tab/>
        </w:r>
        <w:r>
          <w:rPr>
            <w:webHidden/>
          </w:rPr>
          <w:fldChar w:fldCharType="begin"/>
        </w:r>
        <w:r>
          <w:rPr>
            <w:webHidden/>
          </w:rPr>
          <w:instrText xml:space="preserve"> PAGEREF _Toc226974989 \h </w:instrText>
        </w:r>
        <w:r>
          <w:rPr>
            <w:webHidden/>
          </w:rPr>
        </w:r>
        <w:r>
          <w:rPr>
            <w:webHidden/>
          </w:rPr>
          <w:fldChar w:fldCharType="separate"/>
        </w:r>
        <w:r>
          <w:rPr>
            <w:webHidden/>
          </w:rPr>
          <w:t>III</w:t>
        </w:r>
        <w:r>
          <w:rPr>
            <w:webHidden/>
          </w:rPr>
          <w:fldChar w:fldCharType="end"/>
        </w:r>
      </w:hyperlink>
    </w:p>
    <w:p w14:paraId="679DAE88" w14:textId="19A22BC2"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4990" w:history="1">
        <w:r w:rsidRPr="00DC0FE0">
          <w:rPr>
            <w:rStyle w:val="Hyperlink"/>
          </w:rPr>
          <w:t>Table of contents</w:t>
        </w:r>
        <w:r>
          <w:rPr>
            <w:webHidden/>
          </w:rPr>
          <w:tab/>
        </w:r>
        <w:r>
          <w:rPr>
            <w:webHidden/>
          </w:rPr>
          <w:fldChar w:fldCharType="begin"/>
        </w:r>
        <w:r>
          <w:rPr>
            <w:webHidden/>
          </w:rPr>
          <w:instrText xml:space="preserve"> PAGEREF _Toc226974990 \h </w:instrText>
        </w:r>
        <w:r>
          <w:rPr>
            <w:webHidden/>
          </w:rPr>
        </w:r>
        <w:r>
          <w:rPr>
            <w:webHidden/>
          </w:rPr>
          <w:fldChar w:fldCharType="separate"/>
        </w:r>
        <w:r>
          <w:rPr>
            <w:webHidden/>
          </w:rPr>
          <w:t>IV</w:t>
        </w:r>
        <w:r>
          <w:rPr>
            <w:webHidden/>
          </w:rPr>
          <w:fldChar w:fldCharType="end"/>
        </w:r>
      </w:hyperlink>
    </w:p>
    <w:p w14:paraId="273D75E5" w14:textId="1C97A2D8"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4991" w:history="1">
        <w:r w:rsidRPr="00DC0FE0">
          <w:rPr>
            <w:rStyle w:val="Hyperlink"/>
          </w:rPr>
          <w:t>Abbreviations</w:t>
        </w:r>
        <w:r>
          <w:rPr>
            <w:webHidden/>
          </w:rPr>
          <w:tab/>
        </w:r>
        <w:r>
          <w:rPr>
            <w:webHidden/>
          </w:rPr>
          <w:fldChar w:fldCharType="begin"/>
        </w:r>
        <w:r>
          <w:rPr>
            <w:webHidden/>
          </w:rPr>
          <w:instrText xml:space="preserve"> PAGEREF _Toc226974991 \h </w:instrText>
        </w:r>
        <w:r>
          <w:rPr>
            <w:webHidden/>
          </w:rPr>
        </w:r>
        <w:r>
          <w:rPr>
            <w:webHidden/>
          </w:rPr>
          <w:fldChar w:fldCharType="separate"/>
        </w:r>
        <w:r>
          <w:rPr>
            <w:webHidden/>
          </w:rPr>
          <w:t>VI</w:t>
        </w:r>
        <w:r>
          <w:rPr>
            <w:webHidden/>
          </w:rPr>
          <w:fldChar w:fldCharType="end"/>
        </w:r>
      </w:hyperlink>
    </w:p>
    <w:p w14:paraId="7BE08789" w14:textId="6F0EF0F6"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4992" w:history="1">
        <w:r w:rsidRPr="00DC0FE0">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DC0FE0">
          <w:rPr>
            <w:rStyle w:val="Hyperlink"/>
          </w:rPr>
          <w:t>Risk assessment context</w:t>
        </w:r>
        <w:r>
          <w:rPr>
            <w:webHidden/>
          </w:rPr>
          <w:tab/>
        </w:r>
        <w:r>
          <w:rPr>
            <w:webHidden/>
          </w:rPr>
          <w:fldChar w:fldCharType="begin"/>
        </w:r>
        <w:r>
          <w:rPr>
            <w:webHidden/>
          </w:rPr>
          <w:instrText xml:space="preserve"> PAGEREF _Toc226974992 \h </w:instrText>
        </w:r>
        <w:r>
          <w:rPr>
            <w:webHidden/>
          </w:rPr>
        </w:r>
        <w:r>
          <w:rPr>
            <w:webHidden/>
          </w:rPr>
          <w:fldChar w:fldCharType="separate"/>
        </w:r>
        <w:r>
          <w:rPr>
            <w:webHidden/>
          </w:rPr>
          <w:t>7</w:t>
        </w:r>
        <w:r>
          <w:rPr>
            <w:webHidden/>
          </w:rPr>
          <w:fldChar w:fldCharType="end"/>
        </w:r>
      </w:hyperlink>
    </w:p>
    <w:p w14:paraId="6FBC9F8F" w14:textId="2CDBBB78"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93" w:history="1">
        <w:r w:rsidRPr="00DC0FE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Background</w:t>
        </w:r>
        <w:r>
          <w:rPr>
            <w:webHidden/>
          </w:rPr>
          <w:tab/>
        </w:r>
        <w:r>
          <w:rPr>
            <w:webHidden/>
          </w:rPr>
          <w:fldChar w:fldCharType="begin"/>
        </w:r>
        <w:r>
          <w:rPr>
            <w:webHidden/>
          </w:rPr>
          <w:instrText xml:space="preserve"> PAGEREF _Toc226974993 \h </w:instrText>
        </w:r>
        <w:r>
          <w:rPr>
            <w:webHidden/>
          </w:rPr>
        </w:r>
        <w:r>
          <w:rPr>
            <w:webHidden/>
          </w:rPr>
          <w:fldChar w:fldCharType="separate"/>
        </w:r>
        <w:r>
          <w:rPr>
            <w:webHidden/>
          </w:rPr>
          <w:t>7</w:t>
        </w:r>
        <w:r>
          <w:rPr>
            <w:webHidden/>
          </w:rPr>
          <w:fldChar w:fldCharType="end"/>
        </w:r>
      </w:hyperlink>
    </w:p>
    <w:p w14:paraId="3242167A" w14:textId="7A734252"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4994" w:history="1">
        <w:r w:rsidRPr="00DC0FE0">
          <w:rPr>
            <w:rStyle w:val="Hyperlink"/>
          </w:rPr>
          <w:t>1.1</w:t>
        </w:r>
        <w:r>
          <w:rPr>
            <w:rFonts w:asciiTheme="minorHAnsi" w:eastAsiaTheme="minorEastAsia" w:hAnsiTheme="minorHAnsi" w:cstheme="minorBidi"/>
            <w:iCs w:val="0"/>
            <w:kern w:val="2"/>
            <w:sz w:val="24"/>
            <w:szCs w:val="24"/>
            <w14:ligatures w14:val="standardContextual"/>
          </w:rPr>
          <w:tab/>
        </w:r>
        <w:r w:rsidRPr="00DC0FE0">
          <w:rPr>
            <w:rStyle w:val="Hyperlink"/>
          </w:rPr>
          <w:t>Interface with other regulatory schemes</w:t>
        </w:r>
        <w:r>
          <w:rPr>
            <w:webHidden/>
          </w:rPr>
          <w:tab/>
        </w:r>
        <w:r>
          <w:rPr>
            <w:webHidden/>
          </w:rPr>
          <w:fldChar w:fldCharType="begin"/>
        </w:r>
        <w:r>
          <w:rPr>
            <w:webHidden/>
          </w:rPr>
          <w:instrText xml:space="preserve"> PAGEREF _Toc226974994 \h </w:instrText>
        </w:r>
        <w:r>
          <w:rPr>
            <w:webHidden/>
          </w:rPr>
        </w:r>
        <w:r>
          <w:rPr>
            <w:webHidden/>
          </w:rPr>
          <w:fldChar w:fldCharType="separate"/>
        </w:r>
        <w:r>
          <w:rPr>
            <w:webHidden/>
          </w:rPr>
          <w:t>8</w:t>
        </w:r>
        <w:r>
          <w:rPr>
            <w:webHidden/>
          </w:rPr>
          <w:fldChar w:fldCharType="end"/>
        </w:r>
      </w:hyperlink>
    </w:p>
    <w:p w14:paraId="2C6524F5" w14:textId="2B327E79"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95" w:history="1">
        <w:r w:rsidRPr="00DC0FE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The proposed dealings</w:t>
        </w:r>
        <w:r>
          <w:rPr>
            <w:webHidden/>
          </w:rPr>
          <w:tab/>
        </w:r>
        <w:r>
          <w:rPr>
            <w:webHidden/>
          </w:rPr>
          <w:fldChar w:fldCharType="begin"/>
        </w:r>
        <w:r>
          <w:rPr>
            <w:webHidden/>
          </w:rPr>
          <w:instrText xml:space="preserve"> PAGEREF _Toc226974995 \h </w:instrText>
        </w:r>
        <w:r>
          <w:rPr>
            <w:webHidden/>
          </w:rPr>
        </w:r>
        <w:r>
          <w:rPr>
            <w:webHidden/>
          </w:rPr>
          <w:fldChar w:fldCharType="separate"/>
        </w:r>
        <w:r>
          <w:rPr>
            <w:webHidden/>
          </w:rPr>
          <w:t>9</w:t>
        </w:r>
        <w:r>
          <w:rPr>
            <w:webHidden/>
          </w:rPr>
          <w:fldChar w:fldCharType="end"/>
        </w:r>
      </w:hyperlink>
    </w:p>
    <w:p w14:paraId="3F478E4A" w14:textId="3EE148BE"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4996" w:history="1">
        <w:r w:rsidRPr="00DC0FE0">
          <w:rPr>
            <w:rStyle w:val="Hyperlink"/>
            <w:bCs/>
          </w:rPr>
          <w:t>2.1</w:t>
        </w:r>
        <w:r>
          <w:rPr>
            <w:rFonts w:asciiTheme="minorHAnsi" w:eastAsiaTheme="minorEastAsia" w:hAnsiTheme="minorHAnsi" w:cstheme="minorBidi"/>
            <w:iCs w:val="0"/>
            <w:kern w:val="2"/>
            <w:sz w:val="24"/>
            <w:szCs w:val="24"/>
            <w14:ligatures w14:val="standardContextual"/>
          </w:rPr>
          <w:tab/>
        </w:r>
        <w:r w:rsidRPr="00DC0FE0">
          <w:rPr>
            <w:rStyle w:val="Hyperlink"/>
          </w:rPr>
          <w:t>The proposed limits of the trial (duration, scale, location, people)</w:t>
        </w:r>
        <w:r>
          <w:rPr>
            <w:webHidden/>
          </w:rPr>
          <w:tab/>
        </w:r>
        <w:r>
          <w:rPr>
            <w:webHidden/>
          </w:rPr>
          <w:fldChar w:fldCharType="begin"/>
        </w:r>
        <w:r>
          <w:rPr>
            <w:webHidden/>
          </w:rPr>
          <w:instrText xml:space="preserve"> PAGEREF _Toc226974996 \h </w:instrText>
        </w:r>
        <w:r>
          <w:rPr>
            <w:webHidden/>
          </w:rPr>
        </w:r>
        <w:r>
          <w:rPr>
            <w:webHidden/>
          </w:rPr>
          <w:fldChar w:fldCharType="separate"/>
        </w:r>
        <w:r>
          <w:rPr>
            <w:webHidden/>
          </w:rPr>
          <w:t>10</w:t>
        </w:r>
        <w:r>
          <w:rPr>
            <w:webHidden/>
          </w:rPr>
          <w:fldChar w:fldCharType="end"/>
        </w:r>
      </w:hyperlink>
    </w:p>
    <w:p w14:paraId="372A8B12" w14:textId="057195EF"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4997" w:history="1">
        <w:r w:rsidRPr="00DC0FE0">
          <w:rPr>
            <w:rStyle w:val="Hyperlink"/>
            <w:bCs/>
          </w:rPr>
          <w:t>2.2</w:t>
        </w:r>
        <w:r>
          <w:rPr>
            <w:rFonts w:asciiTheme="minorHAnsi" w:eastAsiaTheme="minorEastAsia" w:hAnsiTheme="minorHAnsi" w:cstheme="minorBidi"/>
            <w:iCs w:val="0"/>
            <w:kern w:val="2"/>
            <w:sz w:val="24"/>
            <w:szCs w:val="24"/>
            <w14:ligatures w14:val="standardContextual"/>
          </w:rPr>
          <w:tab/>
        </w:r>
        <w:r w:rsidRPr="00DC0FE0">
          <w:rPr>
            <w:rStyle w:val="Hyperlink"/>
          </w:rPr>
          <w:t>The proposed controls to restrict the spread and persistence of the GMO in the environment</w:t>
        </w:r>
        <w:r>
          <w:rPr>
            <w:webHidden/>
          </w:rPr>
          <w:tab/>
        </w:r>
        <w:r>
          <w:rPr>
            <w:webHidden/>
          </w:rPr>
          <w:fldChar w:fldCharType="begin"/>
        </w:r>
        <w:r>
          <w:rPr>
            <w:webHidden/>
          </w:rPr>
          <w:instrText xml:space="preserve"> PAGEREF _Toc226974997 \h </w:instrText>
        </w:r>
        <w:r>
          <w:rPr>
            <w:webHidden/>
          </w:rPr>
        </w:r>
        <w:r>
          <w:rPr>
            <w:webHidden/>
          </w:rPr>
          <w:fldChar w:fldCharType="separate"/>
        </w:r>
        <w:r>
          <w:rPr>
            <w:webHidden/>
          </w:rPr>
          <w:t>10</w:t>
        </w:r>
        <w:r>
          <w:rPr>
            <w:webHidden/>
          </w:rPr>
          <w:fldChar w:fldCharType="end"/>
        </w:r>
      </w:hyperlink>
    </w:p>
    <w:p w14:paraId="7625F160" w14:textId="7B7C6CC5"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4998" w:history="1">
        <w:r w:rsidRPr="00DC0FE0">
          <w:rPr>
            <w:rStyle w:val="Hyperlink"/>
          </w:rPr>
          <w:t>2.3</w:t>
        </w:r>
        <w:r>
          <w:rPr>
            <w:rFonts w:asciiTheme="minorHAnsi" w:eastAsiaTheme="minorEastAsia" w:hAnsiTheme="minorHAnsi" w:cstheme="minorBidi"/>
            <w:iCs w:val="0"/>
            <w:kern w:val="2"/>
            <w:sz w:val="24"/>
            <w:szCs w:val="24"/>
            <w14:ligatures w14:val="standardContextual"/>
          </w:rPr>
          <w:tab/>
        </w:r>
        <w:r w:rsidRPr="00DC0FE0">
          <w:rPr>
            <w:rStyle w:val="Hyperlink"/>
          </w:rPr>
          <w:t>Details of the proposed dealings</w:t>
        </w:r>
        <w:r>
          <w:rPr>
            <w:webHidden/>
          </w:rPr>
          <w:tab/>
        </w:r>
        <w:r>
          <w:rPr>
            <w:webHidden/>
          </w:rPr>
          <w:fldChar w:fldCharType="begin"/>
        </w:r>
        <w:r>
          <w:rPr>
            <w:webHidden/>
          </w:rPr>
          <w:instrText xml:space="preserve"> PAGEREF _Toc226974998 \h </w:instrText>
        </w:r>
        <w:r>
          <w:rPr>
            <w:webHidden/>
          </w:rPr>
        </w:r>
        <w:r>
          <w:rPr>
            <w:webHidden/>
          </w:rPr>
          <w:fldChar w:fldCharType="separate"/>
        </w:r>
        <w:r>
          <w:rPr>
            <w:webHidden/>
          </w:rPr>
          <w:t>11</w:t>
        </w:r>
        <w:r>
          <w:rPr>
            <w:webHidden/>
          </w:rPr>
          <w:fldChar w:fldCharType="end"/>
        </w:r>
      </w:hyperlink>
    </w:p>
    <w:p w14:paraId="28A9E6CA" w14:textId="2E572DD9"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4999" w:history="1">
        <w:r w:rsidRPr="00DC0FE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Parent organism</w:t>
        </w:r>
        <w:r>
          <w:rPr>
            <w:webHidden/>
          </w:rPr>
          <w:tab/>
        </w:r>
        <w:r>
          <w:rPr>
            <w:webHidden/>
          </w:rPr>
          <w:fldChar w:fldCharType="begin"/>
        </w:r>
        <w:r>
          <w:rPr>
            <w:webHidden/>
          </w:rPr>
          <w:instrText xml:space="preserve"> PAGEREF _Toc226974999 \h </w:instrText>
        </w:r>
        <w:r>
          <w:rPr>
            <w:webHidden/>
          </w:rPr>
        </w:r>
        <w:r>
          <w:rPr>
            <w:webHidden/>
          </w:rPr>
          <w:fldChar w:fldCharType="separate"/>
        </w:r>
        <w:r>
          <w:rPr>
            <w:webHidden/>
          </w:rPr>
          <w:t>15</w:t>
        </w:r>
        <w:r>
          <w:rPr>
            <w:webHidden/>
          </w:rPr>
          <w:fldChar w:fldCharType="end"/>
        </w:r>
      </w:hyperlink>
    </w:p>
    <w:p w14:paraId="1907910D" w14:textId="071BE05A"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0" w:history="1">
        <w:r w:rsidRPr="00DC0FE0">
          <w:rPr>
            <w:rStyle w:val="Hyperlink"/>
          </w:rPr>
          <w:t>3.1</w:t>
        </w:r>
        <w:r>
          <w:rPr>
            <w:rFonts w:asciiTheme="minorHAnsi" w:eastAsiaTheme="minorEastAsia" w:hAnsiTheme="minorHAnsi" w:cstheme="minorBidi"/>
            <w:iCs w:val="0"/>
            <w:kern w:val="2"/>
            <w:sz w:val="24"/>
            <w:szCs w:val="24"/>
            <w14:ligatures w14:val="standardContextual"/>
          </w:rPr>
          <w:tab/>
        </w:r>
        <w:r w:rsidRPr="00DC0FE0">
          <w:rPr>
            <w:rStyle w:val="Hyperlink"/>
          </w:rPr>
          <w:t>Pathology</w:t>
        </w:r>
        <w:r>
          <w:rPr>
            <w:webHidden/>
          </w:rPr>
          <w:tab/>
        </w:r>
        <w:r>
          <w:rPr>
            <w:webHidden/>
          </w:rPr>
          <w:fldChar w:fldCharType="begin"/>
        </w:r>
        <w:r>
          <w:rPr>
            <w:webHidden/>
          </w:rPr>
          <w:instrText xml:space="preserve"> PAGEREF _Toc226975000 \h </w:instrText>
        </w:r>
        <w:r>
          <w:rPr>
            <w:webHidden/>
          </w:rPr>
        </w:r>
        <w:r>
          <w:rPr>
            <w:webHidden/>
          </w:rPr>
          <w:fldChar w:fldCharType="separate"/>
        </w:r>
        <w:r>
          <w:rPr>
            <w:webHidden/>
          </w:rPr>
          <w:t>15</w:t>
        </w:r>
        <w:r>
          <w:rPr>
            <w:webHidden/>
          </w:rPr>
          <w:fldChar w:fldCharType="end"/>
        </w:r>
      </w:hyperlink>
    </w:p>
    <w:p w14:paraId="52546601" w14:textId="1FA93D48"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1" w:history="1">
        <w:r w:rsidRPr="00DC0FE0">
          <w:rPr>
            <w:rStyle w:val="Hyperlink"/>
          </w:rPr>
          <w:t>3.2</w:t>
        </w:r>
        <w:r>
          <w:rPr>
            <w:rFonts w:asciiTheme="minorHAnsi" w:eastAsiaTheme="minorEastAsia" w:hAnsiTheme="minorHAnsi" w:cstheme="minorBidi"/>
            <w:iCs w:val="0"/>
            <w:kern w:val="2"/>
            <w:sz w:val="24"/>
            <w:szCs w:val="24"/>
            <w14:ligatures w14:val="standardContextual"/>
          </w:rPr>
          <w:tab/>
        </w:r>
        <w:r w:rsidRPr="00DC0FE0">
          <w:rPr>
            <w:rStyle w:val="Hyperlink"/>
          </w:rPr>
          <w:t>Structure and genomic organisation</w:t>
        </w:r>
        <w:r>
          <w:rPr>
            <w:webHidden/>
          </w:rPr>
          <w:tab/>
        </w:r>
        <w:r>
          <w:rPr>
            <w:webHidden/>
          </w:rPr>
          <w:fldChar w:fldCharType="begin"/>
        </w:r>
        <w:r>
          <w:rPr>
            <w:webHidden/>
          </w:rPr>
          <w:instrText xml:space="preserve"> PAGEREF _Toc226975001 \h </w:instrText>
        </w:r>
        <w:r>
          <w:rPr>
            <w:webHidden/>
          </w:rPr>
        </w:r>
        <w:r>
          <w:rPr>
            <w:webHidden/>
          </w:rPr>
          <w:fldChar w:fldCharType="separate"/>
        </w:r>
        <w:r>
          <w:rPr>
            <w:webHidden/>
          </w:rPr>
          <w:t>16</w:t>
        </w:r>
        <w:r>
          <w:rPr>
            <w:webHidden/>
          </w:rPr>
          <w:fldChar w:fldCharType="end"/>
        </w:r>
      </w:hyperlink>
    </w:p>
    <w:p w14:paraId="0ADA1CBE" w14:textId="401FA6C8"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2" w:history="1">
        <w:r w:rsidRPr="00DC0FE0">
          <w:rPr>
            <w:rStyle w:val="Hyperlink"/>
          </w:rPr>
          <w:t>3.3</w:t>
        </w:r>
        <w:r>
          <w:rPr>
            <w:rFonts w:asciiTheme="minorHAnsi" w:eastAsiaTheme="minorEastAsia" w:hAnsiTheme="minorHAnsi" w:cstheme="minorBidi"/>
            <w:iCs w:val="0"/>
            <w:kern w:val="2"/>
            <w:sz w:val="24"/>
            <w:szCs w:val="24"/>
            <w14:ligatures w14:val="standardContextual"/>
          </w:rPr>
          <w:tab/>
        </w:r>
        <w:r w:rsidRPr="00DC0FE0">
          <w:rPr>
            <w:rStyle w:val="Hyperlink"/>
          </w:rPr>
          <w:t>Viral infection and replication</w:t>
        </w:r>
        <w:r>
          <w:rPr>
            <w:webHidden/>
          </w:rPr>
          <w:tab/>
        </w:r>
        <w:r>
          <w:rPr>
            <w:webHidden/>
          </w:rPr>
          <w:fldChar w:fldCharType="begin"/>
        </w:r>
        <w:r>
          <w:rPr>
            <w:webHidden/>
          </w:rPr>
          <w:instrText xml:space="preserve"> PAGEREF _Toc226975002 \h </w:instrText>
        </w:r>
        <w:r>
          <w:rPr>
            <w:webHidden/>
          </w:rPr>
        </w:r>
        <w:r>
          <w:rPr>
            <w:webHidden/>
          </w:rPr>
          <w:fldChar w:fldCharType="separate"/>
        </w:r>
        <w:r>
          <w:rPr>
            <w:webHidden/>
          </w:rPr>
          <w:t>17</w:t>
        </w:r>
        <w:r>
          <w:rPr>
            <w:webHidden/>
          </w:rPr>
          <w:fldChar w:fldCharType="end"/>
        </w:r>
      </w:hyperlink>
    </w:p>
    <w:p w14:paraId="6C8D5979" w14:textId="666C6C5B"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3" w:history="1">
        <w:r w:rsidRPr="00DC0FE0">
          <w:rPr>
            <w:rStyle w:val="Hyperlink"/>
          </w:rPr>
          <w:t>3.4</w:t>
        </w:r>
        <w:r>
          <w:rPr>
            <w:rFonts w:asciiTheme="minorHAnsi" w:eastAsiaTheme="minorEastAsia" w:hAnsiTheme="minorHAnsi" w:cstheme="minorBidi"/>
            <w:iCs w:val="0"/>
            <w:kern w:val="2"/>
            <w:sz w:val="24"/>
            <w:szCs w:val="24"/>
            <w14:ligatures w14:val="standardContextual"/>
          </w:rPr>
          <w:tab/>
        </w:r>
        <w:r w:rsidRPr="00DC0FE0">
          <w:rPr>
            <w:rStyle w:val="Hyperlink"/>
          </w:rPr>
          <w:t>Mutation and recombination</w:t>
        </w:r>
        <w:r>
          <w:rPr>
            <w:webHidden/>
          </w:rPr>
          <w:tab/>
        </w:r>
        <w:r>
          <w:rPr>
            <w:webHidden/>
          </w:rPr>
          <w:fldChar w:fldCharType="begin"/>
        </w:r>
        <w:r>
          <w:rPr>
            <w:webHidden/>
          </w:rPr>
          <w:instrText xml:space="preserve"> PAGEREF _Toc226975003 \h </w:instrText>
        </w:r>
        <w:r>
          <w:rPr>
            <w:webHidden/>
          </w:rPr>
        </w:r>
        <w:r>
          <w:rPr>
            <w:webHidden/>
          </w:rPr>
          <w:fldChar w:fldCharType="separate"/>
        </w:r>
        <w:r>
          <w:rPr>
            <w:webHidden/>
          </w:rPr>
          <w:t>18</w:t>
        </w:r>
        <w:r>
          <w:rPr>
            <w:webHidden/>
          </w:rPr>
          <w:fldChar w:fldCharType="end"/>
        </w:r>
      </w:hyperlink>
    </w:p>
    <w:p w14:paraId="05AE567F" w14:textId="71C4AB2A"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4" w:history="1">
        <w:r w:rsidRPr="00DC0FE0">
          <w:rPr>
            <w:rStyle w:val="Hyperlink"/>
          </w:rPr>
          <w:t>3.5</w:t>
        </w:r>
        <w:r>
          <w:rPr>
            <w:rFonts w:asciiTheme="minorHAnsi" w:eastAsiaTheme="minorEastAsia" w:hAnsiTheme="minorHAnsi" w:cstheme="minorBidi"/>
            <w:iCs w:val="0"/>
            <w:kern w:val="2"/>
            <w:sz w:val="24"/>
            <w:szCs w:val="24"/>
            <w14:ligatures w14:val="standardContextual"/>
          </w:rPr>
          <w:tab/>
        </w:r>
        <w:r w:rsidRPr="00DC0FE0">
          <w:rPr>
            <w:rStyle w:val="Hyperlink"/>
          </w:rPr>
          <w:t>Epidemiology</w:t>
        </w:r>
        <w:r>
          <w:rPr>
            <w:webHidden/>
          </w:rPr>
          <w:tab/>
        </w:r>
        <w:r>
          <w:rPr>
            <w:webHidden/>
          </w:rPr>
          <w:fldChar w:fldCharType="begin"/>
        </w:r>
        <w:r>
          <w:rPr>
            <w:webHidden/>
          </w:rPr>
          <w:instrText xml:space="preserve"> PAGEREF _Toc226975004 \h </w:instrText>
        </w:r>
        <w:r>
          <w:rPr>
            <w:webHidden/>
          </w:rPr>
        </w:r>
        <w:r>
          <w:rPr>
            <w:webHidden/>
          </w:rPr>
          <w:fldChar w:fldCharType="separate"/>
        </w:r>
        <w:r>
          <w:rPr>
            <w:webHidden/>
          </w:rPr>
          <w:t>19</w:t>
        </w:r>
        <w:r>
          <w:rPr>
            <w:webHidden/>
          </w:rPr>
          <w:fldChar w:fldCharType="end"/>
        </w:r>
      </w:hyperlink>
    </w:p>
    <w:p w14:paraId="0C38EA08" w14:textId="696A7CEC"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05" w:history="1">
        <w:r w:rsidRPr="00DC0FE0">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The GMO - nature and effect of the genetic modification</w:t>
        </w:r>
        <w:r>
          <w:rPr>
            <w:webHidden/>
          </w:rPr>
          <w:tab/>
        </w:r>
        <w:r>
          <w:rPr>
            <w:webHidden/>
          </w:rPr>
          <w:fldChar w:fldCharType="begin"/>
        </w:r>
        <w:r>
          <w:rPr>
            <w:webHidden/>
          </w:rPr>
          <w:instrText xml:space="preserve"> PAGEREF _Toc226975005 \h </w:instrText>
        </w:r>
        <w:r>
          <w:rPr>
            <w:webHidden/>
          </w:rPr>
        </w:r>
        <w:r>
          <w:rPr>
            <w:webHidden/>
          </w:rPr>
          <w:fldChar w:fldCharType="separate"/>
        </w:r>
        <w:r>
          <w:rPr>
            <w:webHidden/>
          </w:rPr>
          <w:t>21</w:t>
        </w:r>
        <w:r>
          <w:rPr>
            <w:webHidden/>
          </w:rPr>
          <w:fldChar w:fldCharType="end"/>
        </w:r>
      </w:hyperlink>
    </w:p>
    <w:p w14:paraId="7E76E89A" w14:textId="0C84B2B8"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6" w:history="1">
        <w:r w:rsidRPr="00DC0FE0">
          <w:rPr>
            <w:rStyle w:val="Hyperlink"/>
          </w:rPr>
          <w:t>4.1</w:t>
        </w:r>
        <w:r>
          <w:rPr>
            <w:rFonts w:asciiTheme="minorHAnsi" w:eastAsiaTheme="minorEastAsia" w:hAnsiTheme="minorHAnsi" w:cstheme="minorBidi"/>
            <w:iCs w:val="0"/>
            <w:kern w:val="2"/>
            <w:sz w:val="24"/>
            <w:szCs w:val="24"/>
            <w14:ligatures w14:val="standardContextual"/>
          </w:rPr>
          <w:tab/>
        </w:r>
        <w:r w:rsidRPr="00DC0FE0">
          <w:rPr>
            <w:rStyle w:val="Hyperlink"/>
          </w:rPr>
          <w:t>The genetic modifications</w:t>
        </w:r>
        <w:r>
          <w:rPr>
            <w:webHidden/>
          </w:rPr>
          <w:tab/>
        </w:r>
        <w:r>
          <w:rPr>
            <w:webHidden/>
          </w:rPr>
          <w:fldChar w:fldCharType="begin"/>
        </w:r>
        <w:r>
          <w:rPr>
            <w:webHidden/>
          </w:rPr>
          <w:instrText xml:space="preserve"> PAGEREF _Toc226975006 \h </w:instrText>
        </w:r>
        <w:r>
          <w:rPr>
            <w:webHidden/>
          </w:rPr>
        </w:r>
        <w:r>
          <w:rPr>
            <w:webHidden/>
          </w:rPr>
          <w:fldChar w:fldCharType="separate"/>
        </w:r>
        <w:r>
          <w:rPr>
            <w:webHidden/>
          </w:rPr>
          <w:t>21</w:t>
        </w:r>
        <w:r>
          <w:rPr>
            <w:webHidden/>
          </w:rPr>
          <w:fldChar w:fldCharType="end"/>
        </w:r>
      </w:hyperlink>
    </w:p>
    <w:p w14:paraId="32C668E3" w14:textId="10308381"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7" w:history="1">
        <w:r w:rsidRPr="00DC0FE0">
          <w:rPr>
            <w:rStyle w:val="Hyperlink"/>
          </w:rPr>
          <w:t>4.2</w:t>
        </w:r>
        <w:r>
          <w:rPr>
            <w:rFonts w:asciiTheme="minorHAnsi" w:eastAsiaTheme="minorEastAsia" w:hAnsiTheme="minorHAnsi" w:cstheme="minorBidi"/>
            <w:iCs w:val="0"/>
            <w:kern w:val="2"/>
            <w:sz w:val="24"/>
            <w:szCs w:val="24"/>
            <w14:ligatures w14:val="standardContextual"/>
          </w:rPr>
          <w:tab/>
        </w:r>
        <w:r w:rsidRPr="00DC0FE0">
          <w:rPr>
            <w:rStyle w:val="Hyperlink"/>
            <w:rFonts w:cs="Calibri"/>
          </w:rPr>
          <w:t>Effects of the genetic modifications</w:t>
        </w:r>
        <w:r>
          <w:rPr>
            <w:webHidden/>
          </w:rPr>
          <w:tab/>
        </w:r>
        <w:r>
          <w:rPr>
            <w:webHidden/>
          </w:rPr>
          <w:fldChar w:fldCharType="begin"/>
        </w:r>
        <w:r>
          <w:rPr>
            <w:webHidden/>
          </w:rPr>
          <w:instrText xml:space="preserve"> PAGEREF _Toc226975007 \h </w:instrText>
        </w:r>
        <w:r>
          <w:rPr>
            <w:webHidden/>
          </w:rPr>
        </w:r>
        <w:r>
          <w:rPr>
            <w:webHidden/>
          </w:rPr>
          <w:fldChar w:fldCharType="separate"/>
        </w:r>
        <w:r>
          <w:rPr>
            <w:webHidden/>
          </w:rPr>
          <w:t>21</w:t>
        </w:r>
        <w:r>
          <w:rPr>
            <w:webHidden/>
          </w:rPr>
          <w:fldChar w:fldCharType="end"/>
        </w:r>
      </w:hyperlink>
    </w:p>
    <w:p w14:paraId="00B29992" w14:textId="798CCBDA"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08" w:history="1">
        <w:r w:rsidRPr="00DC0FE0">
          <w:rPr>
            <w:rStyle w:val="Hyperlink"/>
          </w:rPr>
          <w:t>4.3</w:t>
        </w:r>
        <w:r>
          <w:rPr>
            <w:rFonts w:asciiTheme="minorHAnsi" w:eastAsiaTheme="minorEastAsia" w:hAnsiTheme="minorHAnsi" w:cstheme="minorBidi"/>
            <w:iCs w:val="0"/>
            <w:kern w:val="2"/>
            <w:sz w:val="24"/>
            <w:szCs w:val="24"/>
            <w14:ligatures w14:val="standardContextual"/>
          </w:rPr>
          <w:tab/>
        </w:r>
        <w:r w:rsidRPr="00DC0FE0">
          <w:rPr>
            <w:rStyle w:val="Hyperlink"/>
          </w:rPr>
          <w:t>Characterisation of the GMO</w:t>
        </w:r>
        <w:r>
          <w:rPr>
            <w:webHidden/>
          </w:rPr>
          <w:tab/>
        </w:r>
        <w:r>
          <w:rPr>
            <w:webHidden/>
          </w:rPr>
          <w:fldChar w:fldCharType="begin"/>
        </w:r>
        <w:r>
          <w:rPr>
            <w:webHidden/>
          </w:rPr>
          <w:instrText xml:space="preserve"> PAGEREF _Toc226975008 \h </w:instrText>
        </w:r>
        <w:r>
          <w:rPr>
            <w:webHidden/>
          </w:rPr>
        </w:r>
        <w:r>
          <w:rPr>
            <w:webHidden/>
          </w:rPr>
          <w:fldChar w:fldCharType="separate"/>
        </w:r>
        <w:r>
          <w:rPr>
            <w:webHidden/>
          </w:rPr>
          <w:t>22</w:t>
        </w:r>
        <w:r>
          <w:rPr>
            <w:webHidden/>
          </w:rPr>
          <w:fldChar w:fldCharType="end"/>
        </w:r>
      </w:hyperlink>
    </w:p>
    <w:p w14:paraId="5EBA25FE" w14:textId="1A096B03"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09" w:history="1">
        <w:r w:rsidRPr="00DC0FE0">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The receiving environment</w:t>
        </w:r>
        <w:r>
          <w:rPr>
            <w:webHidden/>
          </w:rPr>
          <w:tab/>
        </w:r>
        <w:r>
          <w:rPr>
            <w:webHidden/>
          </w:rPr>
          <w:fldChar w:fldCharType="begin"/>
        </w:r>
        <w:r>
          <w:rPr>
            <w:webHidden/>
          </w:rPr>
          <w:instrText xml:space="preserve"> PAGEREF _Toc226975009 \h </w:instrText>
        </w:r>
        <w:r>
          <w:rPr>
            <w:webHidden/>
          </w:rPr>
        </w:r>
        <w:r>
          <w:rPr>
            <w:webHidden/>
          </w:rPr>
          <w:fldChar w:fldCharType="separate"/>
        </w:r>
        <w:r>
          <w:rPr>
            <w:webHidden/>
          </w:rPr>
          <w:t>26</w:t>
        </w:r>
        <w:r>
          <w:rPr>
            <w:webHidden/>
          </w:rPr>
          <w:fldChar w:fldCharType="end"/>
        </w:r>
      </w:hyperlink>
    </w:p>
    <w:p w14:paraId="265064B5" w14:textId="1E80EB60"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0" w:history="1">
        <w:r w:rsidRPr="00DC0FE0">
          <w:rPr>
            <w:rStyle w:val="Hyperlink"/>
          </w:rPr>
          <w:t>5.1</w:t>
        </w:r>
        <w:r>
          <w:rPr>
            <w:rFonts w:asciiTheme="minorHAnsi" w:eastAsiaTheme="minorEastAsia" w:hAnsiTheme="minorHAnsi" w:cstheme="minorBidi"/>
            <w:iCs w:val="0"/>
            <w:kern w:val="2"/>
            <w:sz w:val="24"/>
            <w:szCs w:val="24"/>
            <w14:ligatures w14:val="standardContextual"/>
          </w:rPr>
          <w:tab/>
        </w:r>
        <w:r w:rsidRPr="00DC0FE0">
          <w:rPr>
            <w:rStyle w:val="Hyperlink"/>
          </w:rPr>
          <w:t>Site of administration</w:t>
        </w:r>
        <w:r>
          <w:rPr>
            <w:webHidden/>
          </w:rPr>
          <w:tab/>
        </w:r>
        <w:r>
          <w:rPr>
            <w:webHidden/>
          </w:rPr>
          <w:fldChar w:fldCharType="begin"/>
        </w:r>
        <w:r>
          <w:rPr>
            <w:webHidden/>
          </w:rPr>
          <w:instrText xml:space="preserve"> PAGEREF _Toc226975010 \h </w:instrText>
        </w:r>
        <w:r>
          <w:rPr>
            <w:webHidden/>
          </w:rPr>
        </w:r>
        <w:r>
          <w:rPr>
            <w:webHidden/>
          </w:rPr>
          <w:fldChar w:fldCharType="separate"/>
        </w:r>
        <w:r>
          <w:rPr>
            <w:webHidden/>
          </w:rPr>
          <w:t>26</w:t>
        </w:r>
        <w:r>
          <w:rPr>
            <w:webHidden/>
          </w:rPr>
          <w:fldChar w:fldCharType="end"/>
        </w:r>
      </w:hyperlink>
    </w:p>
    <w:p w14:paraId="7534341D" w14:textId="6F430B7C"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1" w:history="1">
        <w:r w:rsidRPr="00DC0FE0">
          <w:rPr>
            <w:rStyle w:val="Hyperlink"/>
          </w:rPr>
          <w:t>5.2</w:t>
        </w:r>
        <w:r>
          <w:rPr>
            <w:rFonts w:asciiTheme="minorHAnsi" w:eastAsiaTheme="minorEastAsia" w:hAnsiTheme="minorHAnsi" w:cstheme="minorBidi"/>
            <w:iCs w:val="0"/>
            <w:kern w:val="2"/>
            <w:sz w:val="24"/>
            <w:szCs w:val="24"/>
            <w14:ligatures w14:val="standardContextual"/>
          </w:rPr>
          <w:tab/>
        </w:r>
        <w:r w:rsidRPr="00DC0FE0">
          <w:rPr>
            <w:rStyle w:val="Hyperlink"/>
          </w:rPr>
          <w:t>Presence of related viral species in the receiving environment</w:t>
        </w:r>
        <w:r>
          <w:rPr>
            <w:webHidden/>
          </w:rPr>
          <w:tab/>
        </w:r>
        <w:r>
          <w:rPr>
            <w:webHidden/>
          </w:rPr>
          <w:fldChar w:fldCharType="begin"/>
        </w:r>
        <w:r>
          <w:rPr>
            <w:webHidden/>
          </w:rPr>
          <w:instrText xml:space="preserve"> PAGEREF _Toc226975011 \h </w:instrText>
        </w:r>
        <w:r>
          <w:rPr>
            <w:webHidden/>
          </w:rPr>
        </w:r>
        <w:r>
          <w:rPr>
            <w:webHidden/>
          </w:rPr>
          <w:fldChar w:fldCharType="separate"/>
        </w:r>
        <w:r>
          <w:rPr>
            <w:webHidden/>
          </w:rPr>
          <w:t>26</w:t>
        </w:r>
        <w:r>
          <w:rPr>
            <w:webHidden/>
          </w:rPr>
          <w:fldChar w:fldCharType="end"/>
        </w:r>
      </w:hyperlink>
    </w:p>
    <w:p w14:paraId="6EC03DDC" w14:textId="34173C84"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2" w:history="1">
        <w:r w:rsidRPr="00DC0FE0">
          <w:rPr>
            <w:rStyle w:val="Hyperlink"/>
          </w:rPr>
          <w:t>5.3</w:t>
        </w:r>
        <w:r>
          <w:rPr>
            <w:rFonts w:asciiTheme="minorHAnsi" w:eastAsiaTheme="minorEastAsia" w:hAnsiTheme="minorHAnsi" w:cstheme="minorBidi"/>
            <w:iCs w:val="0"/>
            <w:kern w:val="2"/>
            <w:sz w:val="24"/>
            <w:szCs w:val="24"/>
            <w14:ligatures w14:val="standardContextual"/>
          </w:rPr>
          <w:tab/>
        </w:r>
        <w:r w:rsidRPr="00DC0FE0">
          <w:rPr>
            <w:rStyle w:val="Hyperlink"/>
          </w:rPr>
          <w:t>Presence of similar genetic material in the environment</w:t>
        </w:r>
        <w:r>
          <w:rPr>
            <w:webHidden/>
          </w:rPr>
          <w:tab/>
        </w:r>
        <w:r>
          <w:rPr>
            <w:webHidden/>
          </w:rPr>
          <w:fldChar w:fldCharType="begin"/>
        </w:r>
        <w:r>
          <w:rPr>
            <w:webHidden/>
          </w:rPr>
          <w:instrText xml:space="preserve"> PAGEREF _Toc226975012 \h </w:instrText>
        </w:r>
        <w:r>
          <w:rPr>
            <w:webHidden/>
          </w:rPr>
        </w:r>
        <w:r>
          <w:rPr>
            <w:webHidden/>
          </w:rPr>
          <w:fldChar w:fldCharType="separate"/>
        </w:r>
        <w:r>
          <w:rPr>
            <w:webHidden/>
          </w:rPr>
          <w:t>27</w:t>
        </w:r>
        <w:r>
          <w:rPr>
            <w:webHidden/>
          </w:rPr>
          <w:fldChar w:fldCharType="end"/>
        </w:r>
      </w:hyperlink>
    </w:p>
    <w:p w14:paraId="60120E8A" w14:textId="1FD1D248"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13" w:history="1">
        <w:r w:rsidRPr="00DC0FE0">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Previous authorisations</w:t>
        </w:r>
        <w:r>
          <w:rPr>
            <w:webHidden/>
          </w:rPr>
          <w:tab/>
        </w:r>
        <w:r>
          <w:rPr>
            <w:webHidden/>
          </w:rPr>
          <w:fldChar w:fldCharType="begin"/>
        </w:r>
        <w:r>
          <w:rPr>
            <w:webHidden/>
          </w:rPr>
          <w:instrText xml:space="preserve"> PAGEREF _Toc226975013 \h </w:instrText>
        </w:r>
        <w:r>
          <w:rPr>
            <w:webHidden/>
          </w:rPr>
        </w:r>
        <w:r>
          <w:rPr>
            <w:webHidden/>
          </w:rPr>
          <w:fldChar w:fldCharType="separate"/>
        </w:r>
        <w:r>
          <w:rPr>
            <w:webHidden/>
          </w:rPr>
          <w:t>27</w:t>
        </w:r>
        <w:r>
          <w:rPr>
            <w:webHidden/>
          </w:rPr>
          <w:fldChar w:fldCharType="end"/>
        </w:r>
      </w:hyperlink>
    </w:p>
    <w:p w14:paraId="2FC4BA72" w14:textId="0433BECD"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4" w:history="1">
        <w:r w:rsidRPr="00DC0FE0">
          <w:rPr>
            <w:rStyle w:val="Hyperlink"/>
          </w:rPr>
          <w:t>6.1</w:t>
        </w:r>
        <w:r>
          <w:rPr>
            <w:rFonts w:asciiTheme="minorHAnsi" w:eastAsiaTheme="minorEastAsia" w:hAnsiTheme="minorHAnsi" w:cstheme="minorBidi"/>
            <w:iCs w:val="0"/>
            <w:kern w:val="2"/>
            <w:sz w:val="24"/>
            <w:szCs w:val="24"/>
            <w14:ligatures w14:val="standardContextual"/>
          </w:rPr>
          <w:tab/>
        </w:r>
        <w:r w:rsidRPr="00DC0FE0">
          <w:rPr>
            <w:rStyle w:val="Hyperlink"/>
          </w:rPr>
          <w:t>Australian approvals</w:t>
        </w:r>
        <w:r>
          <w:rPr>
            <w:webHidden/>
          </w:rPr>
          <w:tab/>
        </w:r>
        <w:r>
          <w:rPr>
            <w:webHidden/>
          </w:rPr>
          <w:fldChar w:fldCharType="begin"/>
        </w:r>
        <w:r>
          <w:rPr>
            <w:webHidden/>
          </w:rPr>
          <w:instrText xml:space="preserve"> PAGEREF _Toc226975014 \h </w:instrText>
        </w:r>
        <w:r>
          <w:rPr>
            <w:webHidden/>
          </w:rPr>
        </w:r>
        <w:r>
          <w:rPr>
            <w:webHidden/>
          </w:rPr>
          <w:fldChar w:fldCharType="separate"/>
        </w:r>
        <w:r>
          <w:rPr>
            <w:webHidden/>
          </w:rPr>
          <w:t>27</w:t>
        </w:r>
        <w:r>
          <w:rPr>
            <w:webHidden/>
          </w:rPr>
          <w:fldChar w:fldCharType="end"/>
        </w:r>
      </w:hyperlink>
    </w:p>
    <w:p w14:paraId="293179FD" w14:textId="2AC2AB5A"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5" w:history="1">
        <w:r w:rsidRPr="00DC0FE0">
          <w:rPr>
            <w:rStyle w:val="Hyperlink"/>
          </w:rPr>
          <w:t>6.2</w:t>
        </w:r>
        <w:r>
          <w:rPr>
            <w:rFonts w:asciiTheme="minorHAnsi" w:eastAsiaTheme="minorEastAsia" w:hAnsiTheme="minorHAnsi" w:cstheme="minorBidi"/>
            <w:iCs w:val="0"/>
            <w:kern w:val="2"/>
            <w:sz w:val="24"/>
            <w:szCs w:val="24"/>
            <w14:ligatures w14:val="standardContextual"/>
          </w:rPr>
          <w:tab/>
        </w:r>
        <w:r w:rsidRPr="00DC0FE0">
          <w:rPr>
            <w:rStyle w:val="Hyperlink"/>
          </w:rPr>
          <w:t>International approvals</w:t>
        </w:r>
        <w:r>
          <w:rPr>
            <w:webHidden/>
          </w:rPr>
          <w:tab/>
        </w:r>
        <w:r>
          <w:rPr>
            <w:webHidden/>
          </w:rPr>
          <w:fldChar w:fldCharType="begin"/>
        </w:r>
        <w:r>
          <w:rPr>
            <w:webHidden/>
          </w:rPr>
          <w:instrText xml:space="preserve"> PAGEREF _Toc226975015 \h </w:instrText>
        </w:r>
        <w:r>
          <w:rPr>
            <w:webHidden/>
          </w:rPr>
        </w:r>
        <w:r>
          <w:rPr>
            <w:webHidden/>
          </w:rPr>
          <w:fldChar w:fldCharType="separate"/>
        </w:r>
        <w:r>
          <w:rPr>
            <w:webHidden/>
          </w:rPr>
          <w:t>27</w:t>
        </w:r>
        <w:r>
          <w:rPr>
            <w:webHidden/>
          </w:rPr>
          <w:fldChar w:fldCharType="end"/>
        </w:r>
      </w:hyperlink>
    </w:p>
    <w:p w14:paraId="6A2198D4" w14:textId="3A09F769"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5016" w:history="1">
        <w:r w:rsidRPr="00DC0FE0">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DC0FE0">
          <w:rPr>
            <w:rStyle w:val="Hyperlink"/>
          </w:rPr>
          <w:t>Risk assessment</w:t>
        </w:r>
        <w:r>
          <w:rPr>
            <w:webHidden/>
          </w:rPr>
          <w:tab/>
        </w:r>
        <w:r>
          <w:rPr>
            <w:webHidden/>
          </w:rPr>
          <w:fldChar w:fldCharType="begin"/>
        </w:r>
        <w:r>
          <w:rPr>
            <w:webHidden/>
          </w:rPr>
          <w:instrText xml:space="preserve"> PAGEREF _Toc226975016 \h </w:instrText>
        </w:r>
        <w:r>
          <w:rPr>
            <w:webHidden/>
          </w:rPr>
        </w:r>
        <w:r>
          <w:rPr>
            <w:webHidden/>
          </w:rPr>
          <w:fldChar w:fldCharType="separate"/>
        </w:r>
        <w:r>
          <w:rPr>
            <w:webHidden/>
          </w:rPr>
          <w:t>28</w:t>
        </w:r>
        <w:r>
          <w:rPr>
            <w:webHidden/>
          </w:rPr>
          <w:fldChar w:fldCharType="end"/>
        </w:r>
      </w:hyperlink>
    </w:p>
    <w:p w14:paraId="25F0E684" w14:textId="692B61DB"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17" w:history="1">
        <w:r w:rsidRPr="00DC0FE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Introduction</w:t>
        </w:r>
        <w:r>
          <w:rPr>
            <w:webHidden/>
          </w:rPr>
          <w:tab/>
        </w:r>
        <w:r>
          <w:rPr>
            <w:webHidden/>
          </w:rPr>
          <w:fldChar w:fldCharType="begin"/>
        </w:r>
        <w:r>
          <w:rPr>
            <w:webHidden/>
          </w:rPr>
          <w:instrText xml:space="preserve"> PAGEREF _Toc226975017 \h </w:instrText>
        </w:r>
        <w:r>
          <w:rPr>
            <w:webHidden/>
          </w:rPr>
        </w:r>
        <w:r>
          <w:rPr>
            <w:webHidden/>
          </w:rPr>
          <w:fldChar w:fldCharType="separate"/>
        </w:r>
        <w:r>
          <w:rPr>
            <w:webHidden/>
          </w:rPr>
          <w:t>28</w:t>
        </w:r>
        <w:r>
          <w:rPr>
            <w:webHidden/>
          </w:rPr>
          <w:fldChar w:fldCharType="end"/>
        </w:r>
      </w:hyperlink>
    </w:p>
    <w:p w14:paraId="25C82634" w14:textId="3BE0D5CB"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18" w:history="1">
        <w:r w:rsidRPr="00DC0FE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Risk identification</w:t>
        </w:r>
        <w:r>
          <w:rPr>
            <w:webHidden/>
          </w:rPr>
          <w:tab/>
        </w:r>
        <w:r>
          <w:rPr>
            <w:webHidden/>
          </w:rPr>
          <w:fldChar w:fldCharType="begin"/>
        </w:r>
        <w:r>
          <w:rPr>
            <w:webHidden/>
          </w:rPr>
          <w:instrText xml:space="preserve"> PAGEREF _Toc226975018 \h </w:instrText>
        </w:r>
        <w:r>
          <w:rPr>
            <w:webHidden/>
          </w:rPr>
        </w:r>
        <w:r>
          <w:rPr>
            <w:webHidden/>
          </w:rPr>
          <w:fldChar w:fldCharType="separate"/>
        </w:r>
        <w:r>
          <w:rPr>
            <w:webHidden/>
          </w:rPr>
          <w:t>29</w:t>
        </w:r>
        <w:r>
          <w:rPr>
            <w:webHidden/>
          </w:rPr>
          <w:fldChar w:fldCharType="end"/>
        </w:r>
      </w:hyperlink>
    </w:p>
    <w:p w14:paraId="0A6E60FA" w14:textId="534BC9DE"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19" w:history="1">
        <w:r w:rsidRPr="00DC0FE0">
          <w:rPr>
            <w:rStyle w:val="Hyperlink"/>
          </w:rPr>
          <w:t>2.1</w:t>
        </w:r>
        <w:r>
          <w:rPr>
            <w:rFonts w:asciiTheme="minorHAnsi" w:eastAsiaTheme="minorEastAsia" w:hAnsiTheme="minorHAnsi" w:cstheme="minorBidi"/>
            <w:iCs w:val="0"/>
            <w:kern w:val="2"/>
            <w:sz w:val="24"/>
            <w:szCs w:val="24"/>
            <w14:ligatures w14:val="standardContextual"/>
          </w:rPr>
          <w:tab/>
        </w:r>
        <w:r w:rsidRPr="00DC0FE0">
          <w:rPr>
            <w:rStyle w:val="Hyperlink"/>
          </w:rPr>
          <w:t>Risk source</w:t>
        </w:r>
        <w:r>
          <w:rPr>
            <w:webHidden/>
          </w:rPr>
          <w:tab/>
        </w:r>
        <w:r>
          <w:rPr>
            <w:webHidden/>
          </w:rPr>
          <w:fldChar w:fldCharType="begin"/>
        </w:r>
        <w:r>
          <w:rPr>
            <w:webHidden/>
          </w:rPr>
          <w:instrText xml:space="preserve"> PAGEREF _Toc226975019 \h </w:instrText>
        </w:r>
        <w:r>
          <w:rPr>
            <w:webHidden/>
          </w:rPr>
        </w:r>
        <w:r>
          <w:rPr>
            <w:webHidden/>
          </w:rPr>
          <w:fldChar w:fldCharType="separate"/>
        </w:r>
        <w:r>
          <w:rPr>
            <w:webHidden/>
          </w:rPr>
          <w:t>29</w:t>
        </w:r>
        <w:r>
          <w:rPr>
            <w:webHidden/>
          </w:rPr>
          <w:fldChar w:fldCharType="end"/>
        </w:r>
      </w:hyperlink>
    </w:p>
    <w:p w14:paraId="478B0041" w14:textId="26D52615"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20" w:history="1">
        <w:r w:rsidRPr="00DC0FE0">
          <w:rPr>
            <w:rStyle w:val="Hyperlink"/>
          </w:rPr>
          <w:t>2.2</w:t>
        </w:r>
        <w:r>
          <w:rPr>
            <w:rFonts w:asciiTheme="minorHAnsi" w:eastAsiaTheme="minorEastAsia" w:hAnsiTheme="minorHAnsi" w:cstheme="minorBidi"/>
            <w:iCs w:val="0"/>
            <w:kern w:val="2"/>
            <w:sz w:val="24"/>
            <w:szCs w:val="24"/>
            <w14:ligatures w14:val="standardContextual"/>
          </w:rPr>
          <w:tab/>
        </w:r>
        <w:r w:rsidRPr="00DC0FE0">
          <w:rPr>
            <w:rStyle w:val="Hyperlink"/>
          </w:rPr>
          <w:t>Causal pathway</w:t>
        </w:r>
        <w:r>
          <w:rPr>
            <w:webHidden/>
          </w:rPr>
          <w:tab/>
        </w:r>
        <w:r>
          <w:rPr>
            <w:webHidden/>
          </w:rPr>
          <w:fldChar w:fldCharType="begin"/>
        </w:r>
        <w:r>
          <w:rPr>
            <w:webHidden/>
          </w:rPr>
          <w:instrText xml:space="preserve"> PAGEREF _Toc226975020 \h </w:instrText>
        </w:r>
        <w:r>
          <w:rPr>
            <w:webHidden/>
          </w:rPr>
        </w:r>
        <w:r>
          <w:rPr>
            <w:webHidden/>
          </w:rPr>
          <w:fldChar w:fldCharType="separate"/>
        </w:r>
        <w:r>
          <w:rPr>
            <w:webHidden/>
          </w:rPr>
          <w:t>29</w:t>
        </w:r>
        <w:r>
          <w:rPr>
            <w:webHidden/>
          </w:rPr>
          <w:fldChar w:fldCharType="end"/>
        </w:r>
      </w:hyperlink>
    </w:p>
    <w:p w14:paraId="3A95A89D" w14:textId="7ED34414"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21" w:history="1">
        <w:r w:rsidRPr="00DC0FE0">
          <w:rPr>
            <w:rStyle w:val="Hyperlink"/>
          </w:rPr>
          <w:t>2.3</w:t>
        </w:r>
        <w:r>
          <w:rPr>
            <w:rFonts w:asciiTheme="minorHAnsi" w:eastAsiaTheme="minorEastAsia" w:hAnsiTheme="minorHAnsi" w:cstheme="minorBidi"/>
            <w:iCs w:val="0"/>
            <w:kern w:val="2"/>
            <w:sz w:val="24"/>
            <w:szCs w:val="24"/>
            <w14:ligatures w14:val="standardContextual"/>
          </w:rPr>
          <w:tab/>
        </w:r>
        <w:r w:rsidRPr="00DC0FE0">
          <w:rPr>
            <w:rStyle w:val="Hyperlink"/>
          </w:rPr>
          <w:t>Potential harms</w:t>
        </w:r>
        <w:r>
          <w:rPr>
            <w:webHidden/>
          </w:rPr>
          <w:tab/>
        </w:r>
        <w:r>
          <w:rPr>
            <w:webHidden/>
          </w:rPr>
          <w:fldChar w:fldCharType="begin"/>
        </w:r>
        <w:r>
          <w:rPr>
            <w:webHidden/>
          </w:rPr>
          <w:instrText xml:space="preserve"> PAGEREF _Toc226975021 \h </w:instrText>
        </w:r>
        <w:r>
          <w:rPr>
            <w:webHidden/>
          </w:rPr>
        </w:r>
        <w:r>
          <w:rPr>
            <w:webHidden/>
          </w:rPr>
          <w:fldChar w:fldCharType="separate"/>
        </w:r>
        <w:r>
          <w:rPr>
            <w:webHidden/>
          </w:rPr>
          <w:t>31</w:t>
        </w:r>
        <w:r>
          <w:rPr>
            <w:webHidden/>
          </w:rPr>
          <w:fldChar w:fldCharType="end"/>
        </w:r>
      </w:hyperlink>
    </w:p>
    <w:p w14:paraId="1A725133" w14:textId="1ACB3E19"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22" w:history="1">
        <w:r w:rsidRPr="00DC0FE0">
          <w:rPr>
            <w:rStyle w:val="Hyperlink"/>
          </w:rPr>
          <w:t>2.4</w:t>
        </w:r>
        <w:r>
          <w:rPr>
            <w:rFonts w:asciiTheme="minorHAnsi" w:eastAsiaTheme="minorEastAsia" w:hAnsiTheme="minorHAnsi" w:cstheme="minorBidi"/>
            <w:iCs w:val="0"/>
            <w:kern w:val="2"/>
            <w:sz w:val="24"/>
            <w:szCs w:val="24"/>
            <w14:ligatures w14:val="standardContextual"/>
          </w:rPr>
          <w:tab/>
        </w:r>
        <w:r w:rsidRPr="00DC0FE0">
          <w:rPr>
            <w:rStyle w:val="Hyperlink"/>
          </w:rPr>
          <w:t>Postulated risk scenarios</w:t>
        </w:r>
        <w:r>
          <w:rPr>
            <w:webHidden/>
          </w:rPr>
          <w:tab/>
        </w:r>
        <w:r>
          <w:rPr>
            <w:webHidden/>
          </w:rPr>
          <w:fldChar w:fldCharType="begin"/>
        </w:r>
        <w:r>
          <w:rPr>
            <w:webHidden/>
          </w:rPr>
          <w:instrText xml:space="preserve"> PAGEREF _Toc226975022 \h </w:instrText>
        </w:r>
        <w:r>
          <w:rPr>
            <w:webHidden/>
          </w:rPr>
        </w:r>
        <w:r>
          <w:rPr>
            <w:webHidden/>
          </w:rPr>
          <w:fldChar w:fldCharType="separate"/>
        </w:r>
        <w:r>
          <w:rPr>
            <w:webHidden/>
          </w:rPr>
          <w:t>31</w:t>
        </w:r>
        <w:r>
          <w:rPr>
            <w:webHidden/>
          </w:rPr>
          <w:fldChar w:fldCharType="end"/>
        </w:r>
      </w:hyperlink>
    </w:p>
    <w:p w14:paraId="2EA1D3EA" w14:textId="3D5DC9B6"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23" w:history="1">
        <w:r w:rsidRPr="00DC0FE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Uncertainty</w:t>
        </w:r>
        <w:r>
          <w:rPr>
            <w:webHidden/>
          </w:rPr>
          <w:tab/>
        </w:r>
        <w:r>
          <w:rPr>
            <w:webHidden/>
          </w:rPr>
          <w:fldChar w:fldCharType="begin"/>
        </w:r>
        <w:r>
          <w:rPr>
            <w:webHidden/>
          </w:rPr>
          <w:instrText xml:space="preserve"> PAGEREF _Toc226975023 \h </w:instrText>
        </w:r>
        <w:r>
          <w:rPr>
            <w:webHidden/>
          </w:rPr>
        </w:r>
        <w:r>
          <w:rPr>
            <w:webHidden/>
          </w:rPr>
          <w:fldChar w:fldCharType="separate"/>
        </w:r>
        <w:r>
          <w:rPr>
            <w:webHidden/>
          </w:rPr>
          <w:t>42</w:t>
        </w:r>
        <w:r>
          <w:rPr>
            <w:webHidden/>
          </w:rPr>
          <w:fldChar w:fldCharType="end"/>
        </w:r>
      </w:hyperlink>
    </w:p>
    <w:p w14:paraId="114B8F4D" w14:textId="4F8F1D61"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24" w:history="1">
        <w:r w:rsidRPr="00DC0FE0">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Risk evaluation</w:t>
        </w:r>
        <w:r>
          <w:rPr>
            <w:webHidden/>
          </w:rPr>
          <w:tab/>
        </w:r>
        <w:r>
          <w:rPr>
            <w:webHidden/>
          </w:rPr>
          <w:fldChar w:fldCharType="begin"/>
        </w:r>
        <w:r>
          <w:rPr>
            <w:webHidden/>
          </w:rPr>
          <w:instrText xml:space="preserve"> PAGEREF _Toc226975024 \h </w:instrText>
        </w:r>
        <w:r>
          <w:rPr>
            <w:webHidden/>
          </w:rPr>
        </w:r>
        <w:r>
          <w:rPr>
            <w:webHidden/>
          </w:rPr>
          <w:fldChar w:fldCharType="separate"/>
        </w:r>
        <w:r>
          <w:rPr>
            <w:webHidden/>
          </w:rPr>
          <w:t>43</w:t>
        </w:r>
        <w:r>
          <w:rPr>
            <w:webHidden/>
          </w:rPr>
          <w:fldChar w:fldCharType="end"/>
        </w:r>
      </w:hyperlink>
    </w:p>
    <w:p w14:paraId="1AC547E7" w14:textId="4661D99D"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5025" w:history="1">
        <w:r w:rsidRPr="00DC0FE0">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DC0FE0">
          <w:rPr>
            <w:rStyle w:val="Hyperlink"/>
          </w:rPr>
          <w:t>Risk management plan</w:t>
        </w:r>
        <w:r>
          <w:rPr>
            <w:webHidden/>
          </w:rPr>
          <w:tab/>
        </w:r>
        <w:r>
          <w:rPr>
            <w:webHidden/>
          </w:rPr>
          <w:fldChar w:fldCharType="begin"/>
        </w:r>
        <w:r>
          <w:rPr>
            <w:webHidden/>
          </w:rPr>
          <w:instrText xml:space="preserve"> PAGEREF _Toc226975025 \h </w:instrText>
        </w:r>
        <w:r>
          <w:rPr>
            <w:webHidden/>
          </w:rPr>
        </w:r>
        <w:r>
          <w:rPr>
            <w:webHidden/>
          </w:rPr>
          <w:fldChar w:fldCharType="separate"/>
        </w:r>
        <w:r>
          <w:rPr>
            <w:webHidden/>
          </w:rPr>
          <w:t>44</w:t>
        </w:r>
        <w:r>
          <w:rPr>
            <w:webHidden/>
          </w:rPr>
          <w:fldChar w:fldCharType="end"/>
        </w:r>
      </w:hyperlink>
    </w:p>
    <w:p w14:paraId="1D6434F9" w14:textId="41E4C41F"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26" w:history="1">
        <w:r w:rsidRPr="00DC0FE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Background</w:t>
        </w:r>
        <w:r>
          <w:rPr>
            <w:webHidden/>
          </w:rPr>
          <w:tab/>
        </w:r>
        <w:r>
          <w:rPr>
            <w:webHidden/>
          </w:rPr>
          <w:fldChar w:fldCharType="begin"/>
        </w:r>
        <w:r>
          <w:rPr>
            <w:webHidden/>
          </w:rPr>
          <w:instrText xml:space="preserve"> PAGEREF _Toc226975026 \h </w:instrText>
        </w:r>
        <w:r>
          <w:rPr>
            <w:webHidden/>
          </w:rPr>
        </w:r>
        <w:r>
          <w:rPr>
            <w:webHidden/>
          </w:rPr>
          <w:fldChar w:fldCharType="separate"/>
        </w:r>
        <w:r>
          <w:rPr>
            <w:webHidden/>
          </w:rPr>
          <w:t>44</w:t>
        </w:r>
        <w:r>
          <w:rPr>
            <w:webHidden/>
          </w:rPr>
          <w:fldChar w:fldCharType="end"/>
        </w:r>
      </w:hyperlink>
    </w:p>
    <w:p w14:paraId="2850F5F2" w14:textId="647596B0"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27" w:history="1">
        <w:r w:rsidRPr="00DC0FE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Risk treatment measures for substantive risks</w:t>
        </w:r>
        <w:r>
          <w:rPr>
            <w:webHidden/>
          </w:rPr>
          <w:tab/>
        </w:r>
        <w:r>
          <w:rPr>
            <w:webHidden/>
          </w:rPr>
          <w:fldChar w:fldCharType="begin"/>
        </w:r>
        <w:r>
          <w:rPr>
            <w:webHidden/>
          </w:rPr>
          <w:instrText xml:space="preserve"> PAGEREF _Toc226975027 \h </w:instrText>
        </w:r>
        <w:r>
          <w:rPr>
            <w:webHidden/>
          </w:rPr>
        </w:r>
        <w:r>
          <w:rPr>
            <w:webHidden/>
          </w:rPr>
          <w:fldChar w:fldCharType="separate"/>
        </w:r>
        <w:r>
          <w:rPr>
            <w:webHidden/>
          </w:rPr>
          <w:t>44</w:t>
        </w:r>
        <w:r>
          <w:rPr>
            <w:webHidden/>
          </w:rPr>
          <w:fldChar w:fldCharType="end"/>
        </w:r>
      </w:hyperlink>
    </w:p>
    <w:p w14:paraId="44F81550" w14:textId="673B92F7"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28" w:history="1">
        <w:r w:rsidRPr="00DC0FE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General risk management</w:t>
        </w:r>
        <w:r>
          <w:rPr>
            <w:webHidden/>
          </w:rPr>
          <w:tab/>
        </w:r>
        <w:r>
          <w:rPr>
            <w:webHidden/>
          </w:rPr>
          <w:fldChar w:fldCharType="begin"/>
        </w:r>
        <w:r>
          <w:rPr>
            <w:webHidden/>
          </w:rPr>
          <w:instrText xml:space="preserve"> PAGEREF _Toc226975028 \h </w:instrText>
        </w:r>
        <w:r>
          <w:rPr>
            <w:webHidden/>
          </w:rPr>
        </w:r>
        <w:r>
          <w:rPr>
            <w:webHidden/>
          </w:rPr>
          <w:fldChar w:fldCharType="separate"/>
        </w:r>
        <w:r>
          <w:rPr>
            <w:webHidden/>
          </w:rPr>
          <w:t>44</w:t>
        </w:r>
        <w:r>
          <w:rPr>
            <w:webHidden/>
          </w:rPr>
          <w:fldChar w:fldCharType="end"/>
        </w:r>
      </w:hyperlink>
    </w:p>
    <w:p w14:paraId="7C567414" w14:textId="5F129EDB"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29" w:history="1">
        <w:r w:rsidRPr="00DC0FE0">
          <w:rPr>
            <w:rStyle w:val="Hyperlink"/>
            <w:bCs/>
          </w:rPr>
          <w:t>3.1</w:t>
        </w:r>
        <w:r>
          <w:rPr>
            <w:rFonts w:asciiTheme="minorHAnsi" w:eastAsiaTheme="minorEastAsia" w:hAnsiTheme="minorHAnsi" w:cstheme="minorBidi"/>
            <w:iCs w:val="0"/>
            <w:kern w:val="2"/>
            <w:sz w:val="24"/>
            <w:szCs w:val="24"/>
            <w14:ligatures w14:val="standardContextual"/>
          </w:rPr>
          <w:tab/>
        </w:r>
        <w:r w:rsidRPr="00DC0FE0">
          <w:rPr>
            <w:rStyle w:val="Hyperlink"/>
          </w:rPr>
          <w:t>Limits and controls on the clinical trial</w:t>
        </w:r>
        <w:r>
          <w:rPr>
            <w:webHidden/>
          </w:rPr>
          <w:tab/>
        </w:r>
        <w:r>
          <w:rPr>
            <w:webHidden/>
          </w:rPr>
          <w:fldChar w:fldCharType="begin"/>
        </w:r>
        <w:r>
          <w:rPr>
            <w:webHidden/>
          </w:rPr>
          <w:instrText xml:space="preserve"> PAGEREF _Toc226975029 \h </w:instrText>
        </w:r>
        <w:r>
          <w:rPr>
            <w:webHidden/>
          </w:rPr>
        </w:r>
        <w:r>
          <w:rPr>
            <w:webHidden/>
          </w:rPr>
          <w:fldChar w:fldCharType="separate"/>
        </w:r>
        <w:r>
          <w:rPr>
            <w:webHidden/>
          </w:rPr>
          <w:t>44</w:t>
        </w:r>
        <w:r>
          <w:rPr>
            <w:webHidden/>
          </w:rPr>
          <w:fldChar w:fldCharType="end"/>
        </w:r>
      </w:hyperlink>
    </w:p>
    <w:p w14:paraId="1BB01130" w14:textId="0CD71400" w:rsidR="00391B25" w:rsidRDefault="00391B25">
      <w:pPr>
        <w:pStyle w:val="TOC3"/>
        <w:rPr>
          <w:rFonts w:asciiTheme="minorHAnsi" w:eastAsiaTheme="minorEastAsia" w:hAnsiTheme="minorHAnsi" w:cstheme="minorBidi"/>
          <w:iCs w:val="0"/>
          <w:kern w:val="2"/>
          <w:sz w:val="24"/>
          <w:szCs w:val="24"/>
          <w14:ligatures w14:val="standardContextual"/>
        </w:rPr>
      </w:pPr>
      <w:hyperlink w:anchor="_Toc226975030" w:history="1">
        <w:r w:rsidRPr="00DC0FE0">
          <w:rPr>
            <w:rStyle w:val="Hyperlink"/>
            <w:bCs/>
          </w:rPr>
          <w:t>3.2</w:t>
        </w:r>
        <w:r>
          <w:rPr>
            <w:rFonts w:asciiTheme="minorHAnsi" w:eastAsiaTheme="minorEastAsia" w:hAnsiTheme="minorHAnsi" w:cstheme="minorBidi"/>
            <w:iCs w:val="0"/>
            <w:kern w:val="2"/>
            <w:sz w:val="24"/>
            <w:szCs w:val="24"/>
            <w14:ligatures w14:val="standardContextual"/>
          </w:rPr>
          <w:tab/>
        </w:r>
        <w:r w:rsidRPr="00DC0FE0">
          <w:rPr>
            <w:rStyle w:val="Hyperlink"/>
          </w:rPr>
          <w:t>Other risk management considerations</w:t>
        </w:r>
        <w:r>
          <w:rPr>
            <w:webHidden/>
          </w:rPr>
          <w:tab/>
        </w:r>
        <w:r>
          <w:rPr>
            <w:webHidden/>
          </w:rPr>
          <w:fldChar w:fldCharType="begin"/>
        </w:r>
        <w:r>
          <w:rPr>
            <w:webHidden/>
          </w:rPr>
          <w:instrText xml:space="preserve"> PAGEREF _Toc226975030 \h </w:instrText>
        </w:r>
        <w:r>
          <w:rPr>
            <w:webHidden/>
          </w:rPr>
        </w:r>
        <w:r>
          <w:rPr>
            <w:webHidden/>
          </w:rPr>
          <w:fldChar w:fldCharType="separate"/>
        </w:r>
        <w:r>
          <w:rPr>
            <w:webHidden/>
          </w:rPr>
          <w:t>47</w:t>
        </w:r>
        <w:r>
          <w:rPr>
            <w:webHidden/>
          </w:rPr>
          <w:fldChar w:fldCharType="end"/>
        </w:r>
      </w:hyperlink>
    </w:p>
    <w:p w14:paraId="4C9023E5" w14:textId="1C0D93B4"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31" w:history="1">
        <w:r w:rsidRPr="00DC0FE0">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Issues to be addressed for future releases</w:t>
        </w:r>
        <w:r>
          <w:rPr>
            <w:webHidden/>
          </w:rPr>
          <w:tab/>
        </w:r>
        <w:r>
          <w:rPr>
            <w:webHidden/>
          </w:rPr>
          <w:fldChar w:fldCharType="begin"/>
        </w:r>
        <w:r>
          <w:rPr>
            <w:webHidden/>
          </w:rPr>
          <w:instrText xml:space="preserve"> PAGEREF _Toc226975031 \h </w:instrText>
        </w:r>
        <w:r>
          <w:rPr>
            <w:webHidden/>
          </w:rPr>
        </w:r>
        <w:r>
          <w:rPr>
            <w:webHidden/>
          </w:rPr>
          <w:fldChar w:fldCharType="separate"/>
        </w:r>
        <w:r>
          <w:rPr>
            <w:webHidden/>
          </w:rPr>
          <w:t>49</w:t>
        </w:r>
        <w:r>
          <w:rPr>
            <w:webHidden/>
          </w:rPr>
          <w:fldChar w:fldCharType="end"/>
        </w:r>
      </w:hyperlink>
    </w:p>
    <w:p w14:paraId="50BDF0A4" w14:textId="14D08303" w:rsidR="00391B25" w:rsidRDefault="00391B25">
      <w:pPr>
        <w:pStyle w:val="TOC2"/>
        <w:rPr>
          <w:rFonts w:asciiTheme="minorHAnsi" w:eastAsiaTheme="minorEastAsia" w:hAnsiTheme="minorHAnsi" w:cstheme="minorBidi"/>
          <w:smallCaps w:val="0"/>
          <w:kern w:val="2"/>
          <w:sz w:val="24"/>
          <w:szCs w:val="24"/>
          <w:lang w:eastAsia="en-AU"/>
          <w14:ligatures w14:val="standardContextual"/>
        </w:rPr>
      </w:pPr>
      <w:hyperlink w:anchor="_Toc226975032" w:history="1">
        <w:r w:rsidRPr="00DC0FE0">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DC0FE0">
          <w:rPr>
            <w:rStyle w:val="Hyperlink"/>
          </w:rPr>
          <w:t>Conclusions of the consultation RARMP</w:t>
        </w:r>
        <w:r>
          <w:rPr>
            <w:webHidden/>
          </w:rPr>
          <w:tab/>
        </w:r>
        <w:r>
          <w:rPr>
            <w:webHidden/>
          </w:rPr>
          <w:fldChar w:fldCharType="begin"/>
        </w:r>
        <w:r>
          <w:rPr>
            <w:webHidden/>
          </w:rPr>
          <w:instrText xml:space="preserve"> PAGEREF _Toc226975032 \h </w:instrText>
        </w:r>
        <w:r>
          <w:rPr>
            <w:webHidden/>
          </w:rPr>
        </w:r>
        <w:r>
          <w:rPr>
            <w:webHidden/>
          </w:rPr>
          <w:fldChar w:fldCharType="separate"/>
        </w:r>
        <w:r>
          <w:rPr>
            <w:webHidden/>
          </w:rPr>
          <w:t>49</w:t>
        </w:r>
        <w:r>
          <w:rPr>
            <w:webHidden/>
          </w:rPr>
          <w:fldChar w:fldCharType="end"/>
        </w:r>
      </w:hyperlink>
    </w:p>
    <w:p w14:paraId="21C5A55D" w14:textId="2D876958"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5033" w:history="1">
        <w:r w:rsidRPr="00DC0FE0">
          <w:rPr>
            <w:rStyle w:val="Hyperlink"/>
          </w:rPr>
          <w:t>References</w:t>
        </w:r>
        <w:r>
          <w:rPr>
            <w:webHidden/>
          </w:rPr>
          <w:tab/>
        </w:r>
        <w:r>
          <w:rPr>
            <w:webHidden/>
          </w:rPr>
          <w:tab/>
        </w:r>
        <w:r>
          <w:rPr>
            <w:webHidden/>
          </w:rPr>
          <w:fldChar w:fldCharType="begin"/>
        </w:r>
        <w:r>
          <w:rPr>
            <w:webHidden/>
          </w:rPr>
          <w:instrText xml:space="preserve"> PAGEREF _Toc226975033 \h </w:instrText>
        </w:r>
        <w:r>
          <w:rPr>
            <w:webHidden/>
          </w:rPr>
        </w:r>
        <w:r>
          <w:rPr>
            <w:webHidden/>
          </w:rPr>
          <w:fldChar w:fldCharType="separate"/>
        </w:r>
        <w:r>
          <w:rPr>
            <w:webHidden/>
          </w:rPr>
          <w:t>50</w:t>
        </w:r>
        <w:r>
          <w:rPr>
            <w:webHidden/>
          </w:rPr>
          <w:fldChar w:fldCharType="end"/>
        </w:r>
      </w:hyperlink>
    </w:p>
    <w:p w14:paraId="366595D6" w14:textId="331DE1B9" w:rsidR="00391B25" w:rsidRDefault="00391B25">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6975034" w:history="1">
        <w:r w:rsidRPr="00DC0FE0">
          <w:rPr>
            <w:rStyle w:val="Hyperlink"/>
            <w:rFonts w:cs="Arial"/>
          </w:rPr>
          <w:t>Appendix A: Summary of submissions from prescribed experts, agencies and authorities on the consultation RARMP</w:t>
        </w:r>
        <w:r>
          <w:rPr>
            <w:webHidden/>
          </w:rPr>
          <w:tab/>
        </w:r>
        <w:r>
          <w:rPr>
            <w:webHidden/>
          </w:rPr>
          <w:fldChar w:fldCharType="begin"/>
        </w:r>
        <w:r>
          <w:rPr>
            <w:webHidden/>
          </w:rPr>
          <w:instrText xml:space="preserve"> PAGEREF _Toc226975034 \h </w:instrText>
        </w:r>
        <w:r>
          <w:rPr>
            <w:webHidden/>
          </w:rPr>
        </w:r>
        <w:r>
          <w:rPr>
            <w:webHidden/>
          </w:rPr>
          <w:fldChar w:fldCharType="separate"/>
        </w:r>
        <w:r>
          <w:rPr>
            <w:webHidden/>
          </w:rPr>
          <w:t>57</w:t>
        </w:r>
        <w:r>
          <w:rPr>
            <w:webHidden/>
          </w:rPr>
          <w:fldChar w:fldCharType="end"/>
        </w:r>
      </w:hyperlink>
    </w:p>
    <w:p w14:paraId="21D474A3" w14:textId="7231FD4B"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7"/>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3" w:name="_Toc127695704"/>
      <w:bookmarkStart w:id="34" w:name="_Toc142471133"/>
      <w:bookmarkStart w:id="35" w:name="_Toc142987500"/>
      <w:bookmarkStart w:id="36" w:name="_Toc143058789"/>
      <w:bookmarkStart w:id="37" w:name="_Toc47536739"/>
      <w:bookmarkStart w:id="38" w:name="_Toc226974991"/>
      <w:r w:rsidRPr="0000143A">
        <w:lastRenderedPageBreak/>
        <w:t>Abbreviations</w:t>
      </w:r>
      <w:bookmarkEnd w:id="33"/>
      <w:bookmarkEnd w:id="34"/>
      <w:bookmarkEnd w:id="35"/>
      <w:bookmarkEnd w:id="36"/>
      <w:bookmarkEnd w:id="37"/>
      <w:bookmarkEnd w:id="38"/>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9C63C9" w:rsidRPr="00707A27" w14:paraId="2CCB16F4"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42BD6321" w14:textId="77777777" w:rsidR="009C63C9" w:rsidRPr="00B55EDD" w:rsidRDefault="009C63C9" w:rsidP="00387093">
            <w:pPr>
              <w:spacing w:before="0"/>
              <w:contextualSpacing/>
              <w:rPr>
                <w:rFonts w:asciiTheme="minorHAnsi" w:hAnsiTheme="minorHAnsi" w:cstheme="minorHAnsi"/>
                <w:szCs w:val="22"/>
              </w:rPr>
            </w:pPr>
            <w:proofErr w:type="spellStart"/>
            <w:r>
              <w:rPr>
                <w:rFonts w:asciiTheme="minorHAnsi" w:hAnsiTheme="minorHAnsi" w:cstheme="minorHAnsi"/>
                <w:szCs w:val="22"/>
              </w:rPr>
              <w:t>AdV</w:t>
            </w:r>
            <w:proofErr w:type="spellEnd"/>
          </w:p>
        </w:tc>
        <w:tc>
          <w:tcPr>
            <w:tcW w:w="7243" w:type="dxa"/>
            <w:tcBorders>
              <w:top w:val="single" w:sz="4" w:space="0" w:color="auto"/>
              <w:left w:val="single" w:sz="4" w:space="0" w:color="auto"/>
              <w:bottom w:val="single" w:sz="4" w:space="0" w:color="auto"/>
              <w:right w:val="single" w:sz="4" w:space="0" w:color="auto"/>
            </w:tcBorders>
          </w:tcPr>
          <w:p w14:paraId="7690D1BC" w14:textId="77777777" w:rsidR="009C63C9" w:rsidRPr="00707A27" w:rsidRDefault="009C63C9"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9C63C9" w:rsidRPr="00707A27" w14:paraId="64B47E1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63C59A6" w14:textId="77777777" w:rsidR="009C63C9" w:rsidRPr="00B55EDD" w:rsidRDefault="009C63C9" w:rsidP="00387093">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5447E1F6" w14:textId="77777777" w:rsidR="009C63C9" w:rsidRPr="00707A27" w:rsidRDefault="009C63C9" w:rsidP="00387093">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B159CB" w:rsidRPr="00707A27" w14:paraId="15F2E1D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5230355C" w14:textId="57A41818" w:rsidR="00B159CB" w:rsidRPr="00B55EDD" w:rsidRDefault="00B159CB" w:rsidP="00387093">
            <w:pPr>
              <w:spacing w:before="0"/>
              <w:contextualSpacing/>
              <w:rPr>
                <w:rFonts w:asciiTheme="minorHAnsi" w:hAnsiTheme="minorHAnsi" w:cstheme="minorHAnsi"/>
                <w:szCs w:val="22"/>
              </w:rPr>
            </w:pPr>
            <w:r>
              <w:rPr>
                <w:rFonts w:asciiTheme="minorHAnsi" w:hAnsiTheme="minorHAnsi" w:cstheme="minorHAnsi"/>
                <w:szCs w:val="22"/>
              </w:rPr>
              <w:t>ARTG</w:t>
            </w:r>
          </w:p>
        </w:tc>
        <w:tc>
          <w:tcPr>
            <w:tcW w:w="7243" w:type="dxa"/>
            <w:tcBorders>
              <w:top w:val="single" w:sz="4" w:space="0" w:color="auto"/>
              <w:left w:val="single" w:sz="4" w:space="0" w:color="auto"/>
              <w:bottom w:val="single" w:sz="4" w:space="0" w:color="auto"/>
              <w:right w:val="single" w:sz="4" w:space="0" w:color="auto"/>
            </w:tcBorders>
          </w:tcPr>
          <w:p w14:paraId="1E7BFF03" w14:textId="66A79F10" w:rsidR="00B159CB" w:rsidRPr="00707A27" w:rsidRDefault="00B159CB" w:rsidP="00387093">
            <w:pPr>
              <w:spacing w:before="0"/>
              <w:contextualSpacing/>
              <w:rPr>
                <w:rFonts w:asciiTheme="minorHAnsi" w:hAnsiTheme="minorHAnsi" w:cstheme="minorHAnsi"/>
                <w:szCs w:val="22"/>
              </w:rPr>
            </w:pPr>
            <w:r w:rsidRPr="00B159CB">
              <w:rPr>
                <w:rFonts w:asciiTheme="minorHAnsi" w:hAnsiTheme="minorHAnsi" w:cstheme="minorHAnsi"/>
                <w:szCs w:val="22"/>
              </w:rPr>
              <w:t>Australian Register of Therapeutic Goods</w:t>
            </w:r>
          </w:p>
        </w:tc>
      </w:tr>
      <w:tr w:rsidR="00C20A13" w:rsidRPr="00707A27" w14:paraId="6A40296F"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C521907" w14:textId="68FC99DB" w:rsidR="00C20A13" w:rsidRPr="00B55EDD" w:rsidRDefault="00C20A13" w:rsidP="00387093">
            <w:pPr>
              <w:spacing w:before="0"/>
              <w:contextualSpacing/>
              <w:rPr>
                <w:rFonts w:asciiTheme="minorHAnsi" w:hAnsiTheme="minorHAnsi" w:cstheme="minorHAnsi"/>
                <w:szCs w:val="22"/>
              </w:rPr>
            </w:pPr>
            <w:r>
              <w:rPr>
                <w:rFonts w:asciiTheme="minorHAnsi" w:hAnsiTheme="minorHAnsi" w:cstheme="minorHAnsi"/>
                <w:szCs w:val="22"/>
              </w:rPr>
              <w:t>BCG</w:t>
            </w:r>
          </w:p>
        </w:tc>
        <w:tc>
          <w:tcPr>
            <w:tcW w:w="7243" w:type="dxa"/>
            <w:tcBorders>
              <w:top w:val="single" w:sz="4" w:space="0" w:color="auto"/>
              <w:left w:val="single" w:sz="4" w:space="0" w:color="auto"/>
              <w:bottom w:val="single" w:sz="4" w:space="0" w:color="auto"/>
              <w:right w:val="single" w:sz="4" w:space="0" w:color="auto"/>
            </w:tcBorders>
          </w:tcPr>
          <w:p w14:paraId="4496DA44" w14:textId="345411C8" w:rsidR="00C20A13" w:rsidRPr="00707A27" w:rsidRDefault="00C20A13" w:rsidP="00387093">
            <w:pPr>
              <w:spacing w:before="0"/>
              <w:contextualSpacing/>
              <w:rPr>
                <w:rFonts w:asciiTheme="minorHAnsi" w:hAnsiTheme="minorHAnsi" w:cstheme="minorHAnsi"/>
                <w:szCs w:val="22"/>
              </w:rPr>
            </w:pPr>
            <w:r w:rsidRPr="00C20A13">
              <w:rPr>
                <w:rFonts w:asciiTheme="minorHAnsi" w:hAnsiTheme="minorHAnsi" w:cstheme="minorHAnsi"/>
                <w:szCs w:val="22"/>
              </w:rPr>
              <w:t>Bacillus Calmette-Guérin</w:t>
            </w:r>
          </w:p>
        </w:tc>
      </w:tr>
      <w:tr w:rsidR="009C63C9" w:rsidRPr="00707A27" w14:paraId="3F85437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5655DA" w14:textId="77777777" w:rsidR="009C63C9" w:rsidRPr="00B55EDD" w:rsidRDefault="009C63C9" w:rsidP="00387093">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A28850E" w14:textId="77777777" w:rsidR="009C63C9" w:rsidRPr="00707A27" w:rsidRDefault="009C63C9" w:rsidP="00387093">
            <w:pPr>
              <w:spacing w:before="20" w:after="20"/>
              <w:ind w:right="-30"/>
              <w:rPr>
                <w:rFonts w:asciiTheme="minorHAnsi" w:hAnsiTheme="minorHAnsi" w:cstheme="minorHAnsi"/>
                <w:szCs w:val="22"/>
              </w:rPr>
            </w:pPr>
            <w:proofErr w:type="spellStart"/>
            <w:r w:rsidRPr="00707A27">
              <w:rPr>
                <w:rFonts w:asciiTheme="minorHAnsi" w:hAnsiTheme="minorHAnsi" w:cstheme="minorHAnsi"/>
                <w:szCs w:val="22"/>
              </w:rPr>
              <w:t>Centers</w:t>
            </w:r>
            <w:proofErr w:type="spellEnd"/>
            <w:r w:rsidRPr="00707A27">
              <w:rPr>
                <w:rFonts w:asciiTheme="minorHAnsi" w:hAnsiTheme="minorHAnsi" w:cstheme="minorHAnsi"/>
                <w:szCs w:val="22"/>
              </w:rPr>
              <w:t xml:space="preserve"> for Disease Control and Prevention</w:t>
            </w:r>
          </w:p>
        </w:tc>
      </w:tr>
      <w:tr w:rsidR="009C63C9" w:rsidRPr="00707A27" w14:paraId="3565D61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7A6D8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51C95F9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9C63C9" w:rsidRPr="00707A27" w14:paraId="6DF809A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D2F1D8"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1D94BBD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9C63C9" w:rsidRPr="00707A27" w14:paraId="18650C9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7ACAD" w14:textId="77777777" w:rsidR="009C63C9" w:rsidRPr="00FE0ADF" w:rsidRDefault="009C63C9" w:rsidP="00387093">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58C854A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9C63C9" w:rsidRPr="00707A27" w14:paraId="137178F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7A01ED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54CB39B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9C63C9" w:rsidRPr="00707A27" w14:paraId="55A413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39AB7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5674B08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9C63C9" w:rsidRPr="00707A27" w14:paraId="452822E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288BB9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22918F0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9C63C9" w14:paraId="7EB52CC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D0F12F"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DC1610D"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9C63C9" w14:paraId="5D43747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83AE48"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61C1A77E"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9C63C9" w:rsidRPr="00707A27" w14:paraId="2235DA5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FD82EC7"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23878CEB"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9C63C9" w:rsidRPr="00707A27" w14:paraId="6EF01A8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05A2E2" w14:textId="77777777" w:rsidR="009C63C9" w:rsidRPr="00B55EDD" w:rsidRDefault="009C63C9"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E466DD2"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9C63C9" w:rsidRPr="00707A27" w14:paraId="7076CB7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37B0C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4F865BA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9C63C9" w:rsidRPr="00707A27" w14:paraId="4163A77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8687E1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7BBA9E9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9C63C9" w:rsidRPr="00707A27" w14:paraId="1537D90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71CE73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1ADFC29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C20A13" w:rsidRPr="00707A27" w14:paraId="6B168AA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14DFFCA" w14:textId="39694A9B" w:rsidR="00C20A13" w:rsidRPr="00707A27" w:rsidRDefault="00C20A13" w:rsidP="00387093">
            <w:pPr>
              <w:contextualSpacing/>
              <w:rPr>
                <w:rFonts w:asciiTheme="minorHAnsi" w:hAnsiTheme="minorHAnsi" w:cstheme="minorHAnsi"/>
                <w:szCs w:val="22"/>
              </w:rPr>
            </w:pPr>
            <w:r w:rsidRPr="008E4C60">
              <w:t>NMIBC</w:t>
            </w:r>
          </w:p>
        </w:tc>
        <w:tc>
          <w:tcPr>
            <w:tcW w:w="7243" w:type="dxa"/>
            <w:tcBorders>
              <w:top w:val="single" w:sz="4" w:space="0" w:color="auto"/>
              <w:left w:val="single" w:sz="4" w:space="0" w:color="auto"/>
              <w:bottom w:val="single" w:sz="4" w:space="0" w:color="auto"/>
              <w:right w:val="single" w:sz="4" w:space="0" w:color="auto"/>
            </w:tcBorders>
          </w:tcPr>
          <w:p w14:paraId="185AB676" w14:textId="19037DC0" w:rsidR="00C20A13" w:rsidRPr="00707A27" w:rsidRDefault="00C20A13" w:rsidP="00387093">
            <w:pPr>
              <w:contextualSpacing/>
              <w:rPr>
                <w:rFonts w:asciiTheme="minorHAnsi" w:hAnsiTheme="minorHAnsi" w:cstheme="minorHAnsi"/>
                <w:szCs w:val="22"/>
              </w:rPr>
            </w:pPr>
            <w:r>
              <w:t>N</w:t>
            </w:r>
            <w:r w:rsidRPr="008E4C60">
              <w:t>on-muscle invasive bladder cancer</w:t>
            </w:r>
          </w:p>
        </w:tc>
      </w:tr>
      <w:tr w:rsidR="00AE01C1" w:rsidRPr="00707A27" w14:paraId="5072412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0E482AE" w14:textId="2BD61415"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49760A34" w14:textId="64745A6D"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AE01C1" w:rsidRPr="00707A27" w14:paraId="63A36D0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BC863F" w14:textId="5998B379"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1A770910" w14:textId="187A0F64"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9C63C9" w:rsidRPr="00707A27" w14:paraId="7F90F36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A8D4BF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39A8109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FD6D3D" w:rsidRPr="00707A27" w14:paraId="76980071"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2B291DF" w14:textId="2239BA18" w:rsidR="00FD6D3D" w:rsidRPr="00707A27" w:rsidRDefault="00FD6D3D" w:rsidP="00FD6D3D">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1792D23C" w14:textId="1BA4EDDB" w:rsidR="00FD6D3D" w:rsidRPr="00707A27" w:rsidRDefault="00FD6D3D" w:rsidP="00FD6D3D">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9C63C9" w:rsidRPr="00707A27" w14:paraId="3CCEA4C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D696F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16BBA16"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9C63C9" w:rsidRPr="00633AAB" w14:paraId="3B06AEE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926A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1F0918BC" w14:textId="77777777" w:rsidR="009C63C9" w:rsidRPr="00633AAB" w:rsidRDefault="009C63C9"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9C63C9" w:rsidRPr="00707A27" w14:paraId="7F2FB11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A7190A5" w14:textId="77777777" w:rsidR="009C63C9" w:rsidRPr="00707A27" w:rsidRDefault="009C63C9"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41C6B58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9C63C9" w:rsidRPr="00707A27" w14:paraId="675932A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3C35B5" w14:textId="77777777" w:rsidR="009C63C9" w:rsidRPr="0001639C" w:rsidRDefault="009C63C9" w:rsidP="00387093">
            <w:pPr>
              <w:contextualSpacing/>
              <w:rPr>
                <w:rFonts w:asciiTheme="minorHAnsi" w:hAnsiTheme="minorHAnsi" w:cstheme="minorHAnsi"/>
                <w:szCs w:val="22"/>
              </w:rPr>
            </w:pPr>
            <w:r w:rsidRPr="0001639C">
              <w:rPr>
                <w:rFonts w:asciiTheme="minorHAnsi" w:hAnsiTheme="minorHAnsi" w:cstheme="minorHAnsi"/>
                <w:szCs w:val="22"/>
              </w:rPr>
              <w:t>the Act</w:t>
            </w:r>
          </w:p>
        </w:tc>
        <w:tc>
          <w:tcPr>
            <w:tcW w:w="7243" w:type="dxa"/>
            <w:tcBorders>
              <w:top w:val="single" w:sz="4" w:space="0" w:color="auto"/>
              <w:left w:val="single" w:sz="4" w:space="0" w:color="auto"/>
              <w:bottom w:val="single" w:sz="4" w:space="0" w:color="auto"/>
              <w:right w:val="single" w:sz="4" w:space="0" w:color="auto"/>
            </w:tcBorders>
          </w:tcPr>
          <w:p w14:paraId="0FE5361A"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9C63C9" w:rsidRPr="00633AAB" w14:paraId="2659D2A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F8F4C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60D35467" w14:textId="77777777" w:rsidR="009C63C9" w:rsidRPr="00633AAB" w:rsidRDefault="009C63C9"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9C63C9" w:rsidRPr="00707A27" w14:paraId="71265C7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F3255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30EC37D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9C63C9" w:rsidRPr="00707A27" w14:paraId="3A809E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7B7022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72DA447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9C63C9" w:rsidRPr="00707A27" w14:paraId="282BEB6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3546E5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09193C53"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9C63C9" w:rsidRPr="00707A27" w14:paraId="474026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F3CC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1EF565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9C63C9" w:rsidRPr="00707A27" w14:paraId="28EB365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0D9B7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3C12664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18"/>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39" w:name="_Toc301341824"/>
      <w:bookmarkStart w:id="40" w:name="_Toc47536740"/>
      <w:bookmarkStart w:id="41" w:name="_Ref57107670"/>
      <w:bookmarkStart w:id="42" w:name="_Ref57107703"/>
      <w:bookmarkStart w:id="43" w:name="_Ref57107745"/>
      <w:bookmarkStart w:id="44" w:name="_Ref57107833"/>
      <w:bookmarkStart w:id="45" w:name="_Ref57107847"/>
      <w:bookmarkStart w:id="46" w:name="_Ref57118890"/>
      <w:bookmarkStart w:id="47" w:name="_Ref57118926"/>
      <w:bookmarkStart w:id="48" w:name="_Ref57118937"/>
      <w:bookmarkStart w:id="49" w:name="_Ref57118949"/>
      <w:bookmarkStart w:id="50" w:name="_Ref57118962"/>
      <w:bookmarkStart w:id="51" w:name="_Ref57119022"/>
      <w:bookmarkStart w:id="52" w:name="_Ref57119079"/>
      <w:bookmarkStart w:id="53" w:name="_Ref57119151"/>
      <w:bookmarkStart w:id="54" w:name="_Ref57119245"/>
      <w:bookmarkStart w:id="55" w:name="_Ref58589090"/>
      <w:bookmarkStart w:id="56" w:name="_Ref58589095"/>
      <w:bookmarkStart w:id="57" w:name="_Ref58746019"/>
      <w:bookmarkStart w:id="58" w:name="_Ref61526715"/>
      <w:bookmarkStart w:id="59" w:name="_Ref61527328"/>
      <w:bookmarkStart w:id="60" w:name="_Ref67313083"/>
      <w:bookmarkStart w:id="61" w:name="_Ref67319228"/>
      <w:bookmarkStart w:id="62" w:name="_Ref67475058"/>
      <w:bookmarkStart w:id="63" w:name="_Ref67481049"/>
      <w:bookmarkStart w:id="64" w:name="_Ref67492375"/>
      <w:bookmarkStart w:id="65" w:name="_Ref67492394"/>
      <w:bookmarkStart w:id="66" w:name="_Ref67492471"/>
      <w:bookmarkStart w:id="67" w:name="_Ref67493429"/>
      <w:bookmarkStart w:id="68" w:name="_Ref68594429"/>
      <w:bookmarkStart w:id="69" w:name="_Ref68612879"/>
      <w:bookmarkStart w:id="70" w:name="_Ref68615635"/>
      <w:bookmarkStart w:id="71" w:name="_Ref68615652"/>
      <w:bookmarkStart w:id="72" w:name="_Toc226974992"/>
      <w:bookmarkStart w:id="73" w:name="_Toc142471144"/>
      <w:bookmarkStart w:id="74" w:name="_Toc142987511"/>
      <w:bookmarkStart w:id="75" w:name="_Toc143058800"/>
      <w:bookmarkStart w:id="76" w:name="_Toc94337984"/>
      <w:bookmarkStart w:id="77" w:name="_Toc97019206"/>
      <w:r w:rsidRPr="0000143A">
        <w:lastRenderedPageBreak/>
        <w:t>Risk assessment context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A30124D" w14:textId="77777777" w:rsidR="00F4070C" w:rsidRPr="006E06B6" w:rsidRDefault="00F4070C" w:rsidP="006E06B6">
      <w:pPr>
        <w:pStyle w:val="2RARMP"/>
      </w:pPr>
      <w:bookmarkStart w:id="78" w:name="_Toc202859546"/>
      <w:bookmarkStart w:id="79" w:name="_Toc301341825"/>
      <w:bookmarkStart w:id="80" w:name="_Toc446425382"/>
      <w:bookmarkStart w:id="81" w:name="_Toc47536741"/>
      <w:bookmarkStart w:id="82" w:name="_Ref62051078"/>
      <w:bookmarkStart w:id="83" w:name="_Toc226974993"/>
      <w:r w:rsidRPr="006E06B6">
        <w:t>Background</w:t>
      </w:r>
      <w:bookmarkEnd w:id="78"/>
      <w:bookmarkEnd w:id="79"/>
      <w:bookmarkEnd w:id="80"/>
      <w:bookmarkEnd w:id="81"/>
      <w:bookmarkEnd w:id="82"/>
      <w:bookmarkEnd w:id="83"/>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4D347C2F"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68" w:tooltip="OGTR, 2013 #1" w:history="1">
        <w:r w:rsidR="0027195B">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9" w:history="1">
        <w:r w:rsidR="00023B69" w:rsidRPr="007B1825">
          <w:rPr>
            <w:rStyle w:val="Hyperlink"/>
          </w:rPr>
          <w:t>OGTR website</w:t>
        </w:r>
      </w:hyperlink>
      <w:r w:rsidR="00023B69">
        <w:rPr>
          <w:rStyle w:val="Hyperlink"/>
        </w:rPr>
        <w:t>)</w:t>
      </w:r>
      <w:r w:rsidRPr="00425DA7">
        <w:rPr>
          <w:rStyle w:val="Hyperlink"/>
          <w:u w:val="none"/>
        </w:rPr>
        <w:t>.</w:t>
      </w:r>
    </w:p>
    <w:p w14:paraId="3F14C6BE" w14:textId="46A6E00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1E7664">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84" w:name="_Ref383596632"/>
      <w:r w:rsidRPr="00C63E8D">
        <w:t>Figure</w:t>
      </w:r>
      <w:bookmarkEnd w:id="84"/>
      <w:r w:rsidR="00AE01C1">
        <w:t xml:space="preserve"> 1</w:t>
      </w:r>
      <w:r w:rsidR="004D4C8A" w:rsidRPr="00C63E8D">
        <w:rPr>
          <w:noProof/>
        </w:rPr>
        <w:t>.</w:t>
      </w:r>
      <w:bookmarkStart w:id="85" w:name="_Ref256168805"/>
      <w:r w:rsidR="004D4C8A" w:rsidRPr="00C63E8D">
        <w:t xml:space="preserve"> </w:t>
      </w:r>
      <w:r w:rsidR="001266B9" w:rsidRPr="00C63E8D">
        <w:t xml:space="preserve">Summary of parameters </w:t>
      </w:r>
      <w:r w:rsidRPr="00C63E8D">
        <w:t>used to establish the risk assessment context</w:t>
      </w:r>
      <w:bookmarkEnd w:id="85"/>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65F14309" w14:textId="69406A2B" w:rsidR="00425DA7" w:rsidRDefault="00C009AF" w:rsidP="00534844">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7C7BB1ED" w14:textId="16BDEFF3" w:rsidR="00E64630" w:rsidRPr="00E64630" w:rsidRDefault="00E64630" w:rsidP="00E64630">
      <w:pPr>
        <w:pStyle w:val="RARMPnumberedparagraphs"/>
        <w:rPr>
          <w:szCs w:val="22"/>
        </w:rPr>
      </w:pPr>
      <w:r w:rsidRPr="006905EE">
        <w:lastRenderedPageBreak/>
        <w:t xml:space="preserve">Section 52 of the Act requires the Regulator to seek comment on the RARMP from agencies - the Gene Technology Technical Advisory Committee (GTTAC), State and Territory Governments, Australian Government authorities or agencies prescribed in the Regulations, Australian local councils and the Minister for the Environment - and from the public. The advice from the prescribed experts, agencies and authorities and how it was </w:t>
      </w:r>
      <w:proofErr w:type="gramStart"/>
      <w:r w:rsidRPr="006905EE">
        <w:t>taken into account</w:t>
      </w:r>
      <w:proofErr w:type="gramEnd"/>
      <w:r w:rsidRPr="006905EE">
        <w:t xml:space="preserve"> is summarised in Appendix A. </w:t>
      </w:r>
      <w:r w:rsidR="001672F5">
        <w:t>No public submissions were received</w:t>
      </w:r>
      <w:r>
        <w:t>.</w:t>
      </w:r>
    </w:p>
    <w:p w14:paraId="0EEB8964" w14:textId="77777777" w:rsidR="00BE23F9" w:rsidRPr="00503030" w:rsidRDefault="00BE23F9" w:rsidP="00BE23F9">
      <w:pPr>
        <w:pStyle w:val="3RARMP"/>
        <w:tabs>
          <w:tab w:val="clear" w:pos="284"/>
          <w:tab w:val="num" w:pos="567"/>
        </w:tabs>
        <w:spacing w:before="240"/>
      </w:pPr>
      <w:bookmarkStart w:id="86" w:name="_Ref425251282"/>
      <w:bookmarkStart w:id="87" w:name="_Toc475694691"/>
      <w:bookmarkStart w:id="88" w:name="_Toc47536742"/>
      <w:bookmarkStart w:id="89" w:name="_Toc226974994"/>
      <w:r w:rsidRPr="00503030">
        <w:t>Interface with other regulatory schemes</w:t>
      </w:r>
      <w:bookmarkEnd w:id="86"/>
      <w:bookmarkEnd w:id="87"/>
      <w:bookmarkEnd w:id="88"/>
      <w:bookmarkEnd w:id="89"/>
    </w:p>
    <w:p w14:paraId="103FA8E3" w14:textId="54ACF6E0" w:rsidR="00F364D2" w:rsidRPr="00F364D2" w:rsidRDefault="00F364D2" w:rsidP="00F364D2">
      <w:pPr>
        <w:pStyle w:val="RARMPnumberedparagraphs"/>
      </w:pPr>
      <w:r w:rsidRPr="00F364D2">
        <w:t xml:space="preserve">Gene technology </w:t>
      </w:r>
      <w:r w:rsidR="005E504D" w:rsidRPr="00F364D2">
        <w:t xml:space="preserve">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Pr="00F364D2">
        <w:t xml:space="preserve">. </w:t>
      </w:r>
    </w:p>
    <w:p w14:paraId="753EC7F4" w14:textId="2DFD123B"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w:t>
      </w:r>
      <w:r w:rsidR="00A557AF">
        <w:t xml:space="preserve"> (ARTG)</w:t>
      </w:r>
      <w:r w:rsidRPr="00F364D2">
        <w:t>.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4E125789"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Pr="00F364D2">
        <w:rPr>
          <w:noProof/>
        </w:rPr>
        <w:t>(</w:t>
      </w:r>
      <w:hyperlink w:anchor="_ENREF_64" w:tooltip="National Health and Medical Research Council, 2018 #2" w:history="1">
        <w:r w:rsidR="0027195B" w:rsidRPr="00F364D2">
          <w:rPr>
            <w:noProof/>
          </w:rPr>
          <w:t>National Health and Medical Research Council et al., 2018</w:t>
        </w:r>
      </w:hyperlink>
      <w:r w:rsidRPr="00F364D2">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C5DF249" w:rsidR="00F364D2" w:rsidRPr="00F364D2" w:rsidRDefault="00F364D2" w:rsidP="00F364D2">
      <w:pPr>
        <w:pStyle w:val="RARMPnumberedparagraphs"/>
      </w:pPr>
      <w:r w:rsidRPr="00F364D2">
        <w:t xml:space="preserve">Approval by a HREC is also a fundamental requirement of a clinical trial. HRECs conduct both ethical and scientific assessment of the proposal and in addition often consider issues of research governance. Other elements of governance of clinical trials that are considered by HRECs include </w:t>
      </w:r>
      <w:r w:rsidRPr="00F364D2">
        <w:lastRenderedPageBreak/>
        <w:t xml:space="preserve">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21"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2" w:history="1">
        <w:r w:rsidRPr="00F364D2">
          <w:rPr>
            <w:rStyle w:val="Hyperlink"/>
          </w:rPr>
          <w:t>NPAAC</w:t>
        </w:r>
      </w:hyperlink>
      <w:r>
        <w:t>).</w:t>
      </w:r>
    </w:p>
    <w:p w14:paraId="38E33D4F" w14:textId="38E93CBB" w:rsidR="00E7463C" w:rsidRDefault="00FD6D3D" w:rsidP="00B74ABD">
      <w:pPr>
        <w:pStyle w:val="RARMPnumberedparagraphs"/>
      </w:pPr>
      <w:r w:rsidRPr="00FD6D3D">
        <w:rPr>
          <w:szCs w:val="22"/>
        </w:rPr>
        <w:t>NPAAC</w:t>
      </w:r>
      <w:r w:rsidR="00E7463C" w:rsidRPr="00273E51">
        <w:t xml:space="preserve"> advises </w:t>
      </w:r>
      <w:r w:rsidR="00E7463C">
        <w:t>C</w:t>
      </w:r>
      <w:r w:rsidR="00E7463C" w:rsidRPr="00273E51">
        <w:t xml:space="preserve">ommonwealth, </w:t>
      </w:r>
      <w:r w:rsidR="00E7463C">
        <w:t>State and T</w:t>
      </w:r>
      <w:r w:rsidR="00E7463C"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rsidR="00E7463C">
        <w:t xml:space="preserve"> (APA)</w:t>
      </w:r>
      <w:r w:rsidR="00E7463C" w:rsidRPr="00273E51">
        <w:t xml:space="preserve">. Accreditation of pathology services is overseen by </w:t>
      </w:r>
      <w:r w:rsidR="00E7463C">
        <w:t xml:space="preserve">Services Australia (formerly </w:t>
      </w:r>
      <w:r w:rsidR="00E7463C" w:rsidRPr="00273E51">
        <w:t>Department of Human Services</w:t>
      </w:r>
      <w:r w:rsidR="00E7463C">
        <w:t>)</w:t>
      </w:r>
      <w:r w:rsidR="00E7463C" w:rsidRPr="00273E51">
        <w:t>, and currently, the only endorsed assessing body for pathology accreditation is the National Association of Testing Authorities (</w:t>
      </w:r>
      <w:hyperlink r:id="rId23" w:history="1">
        <w:r w:rsidR="00E7463C" w:rsidRPr="00273E51">
          <w:t>NATA</w:t>
        </w:r>
      </w:hyperlink>
      <w:r w:rsidR="00E7463C">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4"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63257873"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described in the </w:t>
      </w:r>
      <w:hyperlink r:id="rId25" w:history="1">
        <w:r w:rsidRPr="00273E51">
          <w:rPr>
            <w:rStyle w:val="Hyperlink"/>
          </w:rPr>
          <w:t>Australian Guidelines for the Prevention and Control of Infection in Healthcare (2019)</w:t>
        </w:r>
      </w:hyperlink>
      <w:r w:rsidRPr="00273E51">
        <w:t>.</w:t>
      </w:r>
    </w:p>
    <w:p w14:paraId="23C90725" w14:textId="4F02E334" w:rsidR="000B3797" w:rsidRPr="006E06B6" w:rsidRDefault="00E3313D" w:rsidP="006E06B6">
      <w:pPr>
        <w:pStyle w:val="2RARMP"/>
      </w:pPr>
      <w:bookmarkStart w:id="90" w:name="_Toc202859548"/>
      <w:bookmarkStart w:id="91" w:name="_Ref233341201"/>
      <w:bookmarkStart w:id="92" w:name="_Toc301341827"/>
      <w:bookmarkStart w:id="93" w:name="_Toc47536743"/>
      <w:bookmarkStart w:id="94" w:name="_Ref57107423"/>
      <w:bookmarkStart w:id="95" w:name="_Toc226974995"/>
      <w:r w:rsidRPr="006E06B6">
        <w:t xml:space="preserve">The proposed </w:t>
      </w:r>
      <w:bookmarkEnd w:id="90"/>
      <w:bookmarkEnd w:id="91"/>
      <w:bookmarkEnd w:id="92"/>
      <w:r w:rsidR="00AC5442" w:rsidRPr="006E06B6">
        <w:t>dealings</w:t>
      </w:r>
      <w:bookmarkEnd w:id="93"/>
      <w:bookmarkEnd w:id="94"/>
      <w:bookmarkEnd w:id="95"/>
    </w:p>
    <w:p w14:paraId="0FEA1F95" w14:textId="0EBCE6EC" w:rsidR="00AD70A8" w:rsidRPr="00E52B4D" w:rsidRDefault="00534844" w:rsidP="00A83B97">
      <w:pPr>
        <w:pStyle w:val="RARMPnumberedparagraphs"/>
        <w:rPr>
          <w:strike/>
          <w:szCs w:val="22"/>
        </w:rPr>
      </w:pPr>
      <w:r w:rsidRPr="00534844">
        <w:t xml:space="preserve">Ferring Pharmaceuticals Pty Ltd (Ferring) </w:t>
      </w:r>
      <w:r w:rsidR="00AE207E" w:rsidRPr="00AE2169">
        <w:t xml:space="preserve">is seeking authorisation to carry out </w:t>
      </w:r>
      <w:r w:rsidR="00AE207E">
        <w:t xml:space="preserve">Phase </w:t>
      </w:r>
      <w:r>
        <w:t>3 and 3b</w:t>
      </w:r>
      <w:r w:rsidR="00AE207E">
        <w:t xml:space="preserve"> </w:t>
      </w:r>
      <w:r w:rsidR="00AE207E" w:rsidRPr="00AE2169">
        <w:t>clinical trial</w:t>
      </w:r>
      <w:r w:rsidR="003B450F">
        <w:t>s</w:t>
      </w:r>
      <w:r w:rsidR="00AE207E" w:rsidRPr="00AE2169">
        <w:t xml:space="preserve"> to assess the safety and efficacy of a genetically modified (GM) </w:t>
      </w:r>
      <w:r w:rsidR="00AE207E">
        <w:t>human adenovirus (</w:t>
      </w:r>
      <w:proofErr w:type="spellStart"/>
      <w:r w:rsidR="00AE207E">
        <w:t>HAdV</w:t>
      </w:r>
      <w:proofErr w:type="spellEnd"/>
      <w:r w:rsidR="00AE207E">
        <w:t xml:space="preserve">) </w:t>
      </w:r>
      <w:proofErr w:type="spellStart"/>
      <w:r w:rsidRPr="00534844">
        <w:t>nadofaragene</w:t>
      </w:r>
      <w:proofErr w:type="spellEnd"/>
      <w:r w:rsidRPr="00534844">
        <w:t xml:space="preserve"> </w:t>
      </w:r>
      <w:proofErr w:type="spellStart"/>
      <w:r w:rsidRPr="00534844">
        <w:t>firadenovec</w:t>
      </w:r>
      <w:proofErr w:type="spellEnd"/>
      <w:r w:rsidRPr="00534844">
        <w:t xml:space="preserve"> (also known as </w:t>
      </w:r>
      <w:proofErr w:type="spellStart"/>
      <w:r w:rsidRPr="00534844">
        <w:t>nadofaragene</w:t>
      </w:r>
      <w:proofErr w:type="spellEnd"/>
      <w:r w:rsidRPr="00534844">
        <w:t xml:space="preserve"> </w:t>
      </w:r>
      <w:proofErr w:type="spellStart"/>
      <w:r w:rsidRPr="00534844">
        <w:t>firadenovec-vncg</w:t>
      </w:r>
      <w:proofErr w:type="spellEnd"/>
      <w:r w:rsidRPr="00534844">
        <w:t xml:space="preserve">, </w:t>
      </w:r>
      <w:proofErr w:type="spellStart"/>
      <w:r w:rsidRPr="00534844">
        <w:t>rAd</w:t>
      </w:r>
      <w:proofErr w:type="spellEnd"/>
      <w:r w:rsidRPr="00534844">
        <w:t xml:space="preserve">-IFN/Syn3 and </w:t>
      </w:r>
      <w:r w:rsidR="00DC1EB4" w:rsidRPr="00534844">
        <w:t>ADSTILADRIN</w:t>
      </w:r>
      <w:r w:rsidRPr="00534844">
        <w:t>), in Australia</w:t>
      </w:r>
      <w:r w:rsidR="00204367">
        <w:rPr>
          <w:szCs w:val="22"/>
        </w:rPr>
        <w:t>.</w:t>
      </w:r>
      <w:r w:rsidR="00AD70A8" w:rsidRPr="00E52B4D">
        <w:rPr>
          <w:szCs w:val="22"/>
        </w:rPr>
        <w:t xml:space="preserve"> </w:t>
      </w:r>
      <w:r w:rsidRPr="006A1B7A">
        <w:t>The GM therapeutic is administered by intravesical (bladder) instillation.</w:t>
      </w:r>
      <w:r w:rsidR="002B5AC3">
        <w:t xml:space="preserve"> </w:t>
      </w:r>
    </w:p>
    <w:p w14:paraId="40B31AAC" w14:textId="554134DD" w:rsidR="00520F69" w:rsidRPr="00E52B4D" w:rsidRDefault="00F364D2" w:rsidP="000C6B7A">
      <w:pPr>
        <w:pStyle w:val="RARMPnumberedparagraphs"/>
        <w:rPr>
          <w:szCs w:val="22"/>
        </w:rPr>
      </w:pPr>
      <w:r>
        <w:rPr>
          <w:szCs w:val="22"/>
        </w:rPr>
        <w:lastRenderedPageBreak/>
        <w:t>The dealings involved in the proposed clinical trial are</w:t>
      </w:r>
      <w:r w:rsidR="00E3313D" w:rsidRPr="00E52B4D">
        <w:rPr>
          <w:szCs w:val="22"/>
        </w:rPr>
        <w:t>:</w:t>
      </w:r>
    </w:p>
    <w:p w14:paraId="15FDF7D2" w14:textId="397BD975" w:rsidR="00790EDC" w:rsidRDefault="0001639C"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117F19AC" w:rsidR="00B81E89" w:rsidRDefault="00B81E89" w:rsidP="00B50718">
      <w:pPr>
        <w:pStyle w:val="ListParagraph"/>
        <w:numPr>
          <w:ilvl w:val="1"/>
          <w:numId w:val="6"/>
        </w:numPr>
        <w:rPr>
          <w:szCs w:val="22"/>
        </w:rPr>
      </w:pPr>
      <w:r>
        <w:rPr>
          <w:szCs w:val="22"/>
        </w:rPr>
        <w:t>administ</w:t>
      </w:r>
      <w:r w:rsidR="00061A01">
        <w:rPr>
          <w:szCs w:val="22"/>
        </w:rPr>
        <w:t>er</w:t>
      </w:r>
      <w:r>
        <w:rPr>
          <w:szCs w:val="22"/>
        </w:rPr>
        <w:t xml:space="preserve"> the GMO to clinical trial participants by </w:t>
      </w:r>
      <w:r w:rsidR="00C75C8B" w:rsidRPr="006A1B7A">
        <w:t xml:space="preserve">intravesical (bladder) </w:t>
      </w:r>
      <w:proofErr w:type="gramStart"/>
      <w:r w:rsidR="00C75C8B" w:rsidRPr="006A1B7A">
        <w:t>instillation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5DE7DBC5"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w:t>
      </w:r>
      <w:r w:rsidR="006B682E">
        <w:rPr>
          <w:szCs w:val="22"/>
        </w:rPr>
        <w:t xml:space="preserve"> </w:t>
      </w:r>
      <w:proofErr w:type="gramStart"/>
      <w:r w:rsidR="006B682E">
        <w:rPr>
          <w:szCs w:val="22"/>
        </w:rPr>
        <w:t>GMO</w:t>
      </w:r>
      <w:r w:rsidR="000A1DC3">
        <w:rPr>
          <w:szCs w:val="22"/>
        </w:rPr>
        <w:t>;</w:t>
      </w:r>
      <w:proofErr w:type="gramEnd"/>
    </w:p>
    <w:p w14:paraId="22EBF238" w14:textId="32D3F9B3"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w:t>
      </w:r>
      <w:r w:rsidR="006B682E">
        <w:rPr>
          <w:szCs w:val="22"/>
        </w:rPr>
        <w:t xml:space="preserve"> </w:t>
      </w:r>
      <w:proofErr w:type="gramStart"/>
      <w:r w:rsidR="006B682E">
        <w:rPr>
          <w:szCs w:val="22"/>
        </w:rPr>
        <w:t>GMO</w:t>
      </w:r>
      <w:r w:rsidR="00514965">
        <w:rPr>
          <w:szCs w:val="22"/>
        </w:rPr>
        <w:t>;</w:t>
      </w:r>
      <w:proofErr w:type="gramEnd"/>
      <w:r w:rsidRPr="00E52B4D">
        <w:rPr>
          <w:szCs w:val="22"/>
        </w:rPr>
        <w:t xml:space="preserve"> </w:t>
      </w:r>
    </w:p>
    <w:p w14:paraId="50B81D64" w14:textId="272E1C7B" w:rsidR="00E3313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119919FB" w14:textId="5FA05741" w:rsidR="007F4350" w:rsidRPr="00E52B4D" w:rsidRDefault="007F4350" w:rsidP="009265BE">
      <w:pPr>
        <w:pStyle w:val="RARMPnumberedparagraphs"/>
      </w:pPr>
      <w:r w:rsidRPr="008E4C60">
        <w:t>Licence DIR 217 was issued on 17 October 2025 for dealings associated with the commercial supply of the GMO in Australia</w:t>
      </w:r>
      <w:r w:rsidR="000558A8">
        <w:t xml:space="preserve"> and </w:t>
      </w:r>
      <w:r w:rsidR="00EF08CF">
        <w:t xml:space="preserve">will </w:t>
      </w:r>
      <w:r w:rsidR="000558A8">
        <w:t>cover import, transport, storage and disposal of the GMO</w:t>
      </w:r>
      <w:r w:rsidR="00B159CB">
        <w:t xml:space="preserve"> once the GMO is </w:t>
      </w:r>
      <w:r w:rsidR="00EF08CF">
        <w:t>included</w:t>
      </w:r>
      <w:r w:rsidR="00B159CB">
        <w:t xml:space="preserve"> on the </w:t>
      </w:r>
      <w:r w:rsidR="00A557AF">
        <w:t>ARTG</w:t>
      </w:r>
      <w:r w:rsidR="000558A8">
        <w:t xml:space="preserve">.  </w:t>
      </w:r>
    </w:p>
    <w:p w14:paraId="4D22B748" w14:textId="77777777" w:rsidR="003D53C8" w:rsidRPr="00FF5669" w:rsidRDefault="003D53C8" w:rsidP="003D53C8">
      <w:pPr>
        <w:pStyle w:val="Style3"/>
        <w:numPr>
          <w:ilvl w:val="2"/>
          <w:numId w:val="2"/>
        </w:numPr>
        <w:tabs>
          <w:tab w:val="clear" w:pos="284"/>
          <w:tab w:val="num" w:pos="1985"/>
        </w:tabs>
      </w:pPr>
      <w:bookmarkStart w:id="96" w:name="_Ref56778381"/>
      <w:bookmarkStart w:id="97" w:name="_Toc61015620"/>
      <w:bookmarkStart w:id="98" w:name="_Toc226974996"/>
      <w:bookmarkStart w:id="99" w:name="_Toc47536744"/>
      <w:bookmarkStart w:id="100" w:name="_Ref57107502"/>
      <w:bookmarkStart w:id="101" w:name="_Ref57107516"/>
      <w:bookmarkStart w:id="102" w:name="_Ref57107551"/>
      <w:bookmarkStart w:id="103" w:name="_Ref57107555"/>
      <w:bookmarkStart w:id="104" w:name="_Ref57107559"/>
      <w:bookmarkStart w:id="105" w:name="_Ref57107567"/>
      <w:bookmarkStart w:id="106" w:name="_Ref57107597"/>
      <w:bookmarkStart w:id="107" w:name="_Ref57107659"/>
      <w:bookmarkStart w:id="108" w:name="_Ref57107711"/>
      <w:bookmarkStart w:id="109" w:name="_Ref58746028"/>
      <w:bookmarkStart w:id="110" w:name="_Ref61527344"/>
      <w:bookmarkStart w:id="111" w:name="_Ref67313111"/>
      <w:r w:rsidRPr="00FF5669">
        <w:t>The proposed limits of the trial (duration, scale, location, people)</w:t>
      </w:r>
      <w:bookmarkEnd w:id="96"/>
      <w:bookmarkEnd w:id="97"/>
      <w:bookmarkEnd w:id="98"/>
    </w:p>
    <w:p w14:paraId="47DE1F25" w14:textId="615FD94F" w:rsidR="003D53C8" w:rsidRPr="005B15D3" w:rsidRDefault="003D53C8" w:rsidP="00423C2D">
      <w:pPr>
        <w:pStyle w:val="RARMPnumberedparagraphs"/>
      </w:pPr>
      <w:r w:rsidRPr="00961290">
        <w:t xml:space="preserve">The </w:t>
      </w:r>
      <w:r w:rsidR="00612239" w:rsidRPr="00ED21FD">
        <w:t>clinical</w:t>
      </w:r>
      <w:r w:rsidR="00612239" w:rsidRPr="00796CCD">
        <w:t xml:space="preserve"> trial is proposed to take place over a </w:t>
      </w:r>
      <w:r w:rsidR="00CD32AE">
        <w:t>5</w:t>
      </w:r>
      <w:r w:rsidR="003B5A1E">
        <w:t>-</w:t>
      </w:r>
      <w:r w:rsidR="00612239" w:rsidRPr="00796CCD">
        <w:t xml:space="preserve">year period from the date of issue of the licence. </w:t>
      </w:r>
      <w:r w:rsidR="00612239">
        <w:t>Up</w:t>
      </w:r>
      <w:r w:rsidR="00612239" w:rsidRPr="00796CCD">
        <w:t xml:space="preserve"> </w:t>
      </w:r>
      <w:r w:rsidR="00612239">
        <w:t xml:space="preserve">to </w:t>
      </w:r>
      <w:r w:rsidR="003E6D1B">
        <w:t>25</w:t>
      </w:r>
      <w:r w:rsidR="003E6D1B" w:rsidRPr="00796CCD">
        <w:t xml:space="preserve"> </w:t>
      </w:r>
      <w:r w:rsidR="00612239">
        <w:t>participant</w:t>
      </w:r>
      <w:r w:rsidR="00612239" w:rsidRPr="00796CCD">
        <w:t xml:space="preserve">s in Australia </w:t>
      </w:r>
      <w:r w:rsidR="00CD32AE">
        <w:t>(</w:t>
      </w:r>
      <w:r w:rsidR="003E6D1B">
        <w:t xml:space="preserve">15 </w:t>
      </w:r>
      <w:r w:rsidR="00CD32AE">
        <w:t xml:space="preserve">for the Phase 3 and </w:t>
      </w:r>
      <w:r w:rsidR="003E6D1B">
        <w:t xml:space="preserve">10 </w:t>
      </w:r>
      <w:r w:rsidR="00CD32AE">
        <w:t xml:space="preserve">for the Phase 3b) </w:t>
      </w:r>
      <w:r w:rsidR="00612239" w:rsidRPr="00796CCD">
        <w:t xml:space="preserve">would receive </w:t>
      </w:r>
      <w:r w:rsidR="00CD32AE">
        <w:t>multiple</w:t>
      </w:r>
      <w:r w:rsidR="00612239">
        <w:t xml:space="preserve"> </w:t>
      </w:r>
      <w:r w:rsidR="00612239" w:rsidRPr="00796CCD">
        <w:t>doses of the GMO</w:t>
      </w:r>
      <w:r w:rsidR="00612239">
        <w:t xml:space="preserve"> via </w:t>
      </w:r>
      <w:r w:rsidR="00CD32AE" w:rsidRPr="006A1B7A">
        <w:t>intravesical</w:t>
      </w:r>
      <w:r w:rsidR="00612239">
        <w:t xml:space="preserve"> </w:t>
      </w:r>
      <w:r w:rsidR="00612239" w:rsidRPr="005B15D3">
        <w:t>i</w:t>
      </w:r>
      <w:r w:rsidR="00923406">
        <w:t>nstillation</w:t>
      </w:r>
      <w:r w:rsidR="000857B8" w:rsidRPr="005B15D3">
        <w:t>.</w:t>
      </w:r>
      <w:r w:rsidRPr="005B15D3">
        <w:t xml:space="preserve"> </w:t>
      </w:r>
    </w:p>
    <w:p w14:paraId="4561A220" w14:textId="1C55449F" w:rsidR="00A878C6" w:rsidRDefault="003D53C8" w:rsidP="0001639C">
      <w:pPr>
        <w:pStyle w:val="RARMPnumberedparagraphs"/>
      </w:pPr>
      <w:r w:rsidRPr="00961290">
        <w:t xml:space="preserve">The </w:t>
      </w:r>
      <w:r w:rsidR="00A929CB" w:rsidRPr="00796CCD">
        <w:t xml:space="preserve">clinical trial </w:t>
      </w:r>
      <w:r w:rsidR="005B15D3">
        <w:t xml:space="preserve">is </w:t>
      </w:r>
      <w:r w:rsidR="004F2281">
        <w:t xml:space="preserve">initially </w:t>
      </w:r>
      <w:r w:rsidR="005B15D3">
        <w:t xml:space="preserve">proposed to </w:t>
      </w:r>
      <w:r w:rsidR="00A929CB" w:rsidRPr="00796CCD">
        <w:t xml:space="preserve">take place at </w:t>
      </w:r>
      <w:r w:rsidR="0010495F">
        <w:t xml:space="preserve">up to </w:t>
      </w:r>
      <w:r w:rsidR="00807788">
        <w:t>9</w:t>
      </w:r>
      <w:r w:rsidR="005B15D3">
        <w:t xml:space="preserve"> different</w:t>
      </w:r>
      <w:r w:rsidR="00A929CB" w:rsidRPr="00796CCD">
        <w:t xml:space="preserve"> </w:t>
      </w:r>
      <w:r w:rsidR="008356FF">
        <w:t xml:space="preserve">clinical trial facilities and </w:t>
      </w:r>
      <w:r w:rsidR="008356FF" w:rsidRPr="00796CCD">
        <w:t>hospitals</w:t>
      </w:r>
      <w:r w:rsidR="00A929CB" w:rsidRPr="00796CCD">
        <w:t xml:space="preserve"> in </w:t>
      </w:r>
      <w:r w:rsidR="00A878C6">
        <w:t>New South Wales</w:t>
      </w:r>
      <w:r w:rsidR="005B15D3">
        <w:t xml:space="preserve"> and </w:t>
      </w:r>
      <w:r w:rsidR="00A878C6">
        <w:t>Victoria</w:t>
      </w:r>
      <w:r w:rsidR="004F2281">
        <w:t>, however additional sites in other states may be chosen</w:t>
      </w:r>
      <w:r w:rsidR="008356FF" w:rsidRPr="008356FF">
        <w:t>.</w:t>
      </w:r>
    </w:p>
    <w:p w14:paraId="37EAF9DF" w14:textId="00A2D8BA" w:rsidR="003D53C8" w:rsidRPr="00FF5669" w:rsidRDefault="003D53C8" w:rsidP="00423C2D">
      <w:pPr>
        <w:pStyle w:val="RARMPnumberedparagraphs"/>
      </w:pPr>
      <w:bookmarkStart w:id="112" w:name="_Ref58250515"/>
      <w:r w:rsidRPr="00961290">
        <w:t xml:space="preserve">Only trained and authorised staff would </w:t>
      </w:r>
      <w:r>
        <w:t>conduct dealings with the GMO</w:t>
      </w:r>
      <w:r w:rsidRPr="00961290">
        <w:t>.</w:t>
      </w:r>
      <w:r>
        <w:t xml:space="preserve"> Administration of the </w:t>
      </w:r>
      <w:r w:rsidRPr="00FF5669">
        <w:t xml:space="preserve">GMO </w:t>
      </w:r>
      <w:r w:rsidR="00A929CB" w:rsidRPr="00FF5669">
        <w:t>to</w:t>
      </w:r>
      <w:r w:rsidRPr="00FF5669">
        <w:t xml:space="preserve"> trial participants would be conducted by highly trained staff. </w:t>
      </w:r>
      <w:bookmarkEnd w:id="112"/>
    </w:p>
    <w:p w14:paraId="4C80AEFC" w14:textId="50E04CAF" w:rsidR="003D53C8" w:rsidRPr="00FF5669" w:rsidRDefault="003D53C8" w:rsidP="003D53C8">
      <w:pPr>
        <w:pStyle w:val="Style3"/>
        <w:numPr>
          <w:ilvl w:val="2"/>
          <w:numId w:val="2"/>
        </w:numPr>
        <w:tabs>
          <w:tab w:val="clear" w:pos="284"/>
          <w:tab w:val="num" w:pos="1985"/>
        </w:tabs>
      </w:pPr>
      <w:bookmarkStart w:id="113" w:name="_Ref57040802"/>
      <w:bookmarkStart w:id="114" w:name="_Toc61015621"/>
      <w:bookmarkStart w:id="115" w:name="_Toc226974997"/>
      <w:r w:rsidRPr="00FF5669">
        <w:t>The proposed controls to restrict the spread and persistence of the GMO in the environment</w:t>
      </w:r>
      <w:bookmarkEnd w:id="113"/>
      <w:bookmarkEnd w:id="114"/>
      <w:bookmarkEnd w:id="115"/>
    </w:p>
    <w:p w14:paraId="7FC5E49E" w14:textId="45FB4CEB" w:rsidR="003D53C8" w:rsidRPr="00941480" w:rsidRDefault="003D53C8" w:rsidP="00423C2D">
      <w:pPr>
        <w:pStyle w:val="RARMPnumberedparagraphs"/>
      </w:pPr>
      <w:r w:rsidRPr="00941480">
        <w:t>The applicant has proposed controls to minimise exposure to the GMO, and to restrict the spread and persistence of the GMO in the environment. These include:</w:t>
      </w:r>
    </w:p>
    <w:p w14:paraId="65E070E4" w14:textId="4CD8A759" w:rsidR="003D53C8" w:rsidRPr="00923406" w:rsidRDefault="00C961CD" w:rsidP="00923406">
      <w:pPr>
        <w:pStyle w:val="ListParagraph"/>
        <w:numPr>
          <w:ilvl w:val="0"/>
          <w:numId w:val="65"/>
        </w:numPr>
        <w:spacing w:before="0" w:after="0"/>
        <w:contextualSpacing/>
      </w:pPr>
      <w:r>
        <w:rPr>
          <w:rFonts w:asciiTheme="minorHAnsi" w:hAnsiTheme="minorHAnsi" w:cstheme="minorHAnsi"/>
        </w:rPr>
        <w:t>Only</w:t>
      </w:r>
      <w:r>
        <w:t xml:space="preserve"> trained personnel would conduct dealings with the GMO.</w:t>
      </w:r>
      <w:r w:rsidR="00923406">
        <w:t xml:space="preserve"> Staff preparing and administering the GMO would be experienced in the use and disposal of sharps.</w:t>
      </w:r>
    </w:p>
    <w:p w14:paraId="6E57BF74" w14:textId="118CCC90" w:rsidR="003D53C8" w:rsidRPr="007D6A58" w:rsidRDefault="00926D8A" w:rsidP="0001323A">
      <w:pPr>
        <w:pStyle w:val="ListParagraph"/>
        <w:numPr>
          <w:ilvl w:val="0"/>
          <w:numId w:val="65"/>
        </w:numPr>
        <w:spacing w:before="0" w:after="0"/>
        <w:contextualSpacing/>
        <w:rPr>
          <w:rFonts w:asciiTheme="minorHAnsi" w:hAnsiTheme="minorHAnsi" w:cstheme="minorHAnsi"/>
        </w:rPr>
      </w:pPr>
      <w:r>
        <w:t xml:space="preserve">Staff considered to be </w:t>
      </w:r>
      <w:r w:rsidR="00883D65">
        <w:t xml:space="preserve">at </w:t>
      </w:r>
      <w:r>
        <w:t xml:space="preserve">risk (see </w:t>
      </w:r>
      <w:r w:rsidRPr="008E72D8">
        <w:t xml:space="preserve">Paragraph </w:t>
      </w:r>
      <w:r w:rsidR="002A3513" w:rsidRPr="008E72D8">
        <w:fldChar w:fldCharType="begin"/>
      </w:r>
      <w:r w:rsidR="002A3513" w:rsidRPr="008E72D8">
        <w:instrText xml:space="preserve"> REF _Ref216019262 \r \h </w:instrText>
      </w:r>
      <w:r w:rsidR="008E72D8">
        <w:instrText xml:space="preserve"> \* MERGEFORMAT </w:instrText>
      </w:r>
      <w:r w:rsidR="002A3513" w:rsidRPr="008E72D8">
        <w:fldChar w:fldCharType="separate"/>
      </w:r>
      <w:r w:rsidR="000558A8">
        <w:t>42</w:t>
      </w:r>
      <w:r w:rsidR="002A3513" w:rsidRPr="008E72D8">
        <w:fldChar w:fldCharType="end"/>
      </w:r>
      <w:r>
        <w:t>) would be excluded from handling the GMO.</w:t>
      </w:r>
    </w:p>
    <w:p w14:paraId="3758C32C" w14:textId="6044893A" w:rsidR="003D53C8" w:rsidRPr="007D6A58" w:rsidRDefault="00C467D8" w:rsidP="0001323A">
      <w:pPr>
        <w:pStyle w:val="ListParagraph"/>
        <w:numPr>
          <w:ilvl w:val="0"/>
          <w:numId w:val="65"/>
        </w:numPr>
        <w:spacing w:before="0" w:after="0"/>
        <w:contextualSpacing/>
        <w:rPr>
          <w:rFonts w:asciiTheme="minorHAnsi" w:hAnsiTheme="minorHAnsi" w:cstheme="minorHAnsi"/>
        </w:rPr>
      </w:pPr>
      <w:r>
        <w:t>Staff preparing or administering the GMO would be required to wear appropriate PPE during the procedures</w:t>
      </w:r>
      <w:r>
        <w:rPr>
          <w:i/>
        </w:rPr>
        <w:t>.</w:t>
      </w:r>
    </w:p>
    <w:p w14:paraId="5EAFB95A" w14:textId="1E3B75C0" w:rsidR="003D53C8" w:rsidRDefault="00691BD4" w:rsidP="0001323A">
      <w:pPr>
        <w:pStyle w:val="ListParagraph"/>
        <w:numPr>
          <w:ilvl w:val="0"/>
          <w:numId w:val="65"/>
        </w:numPr>
        <w:spacing w:before="0" w:after="0"/>
        <w:contextualSpacing/>
      </w:pPr>
      <w:r>
        <w:t xml:space="preserve">Transport </w:t>
      </w:r>
      <w:r w:rsidR="00F84856">
        <w:t xml:space="preserve">to </w:t>
      </w:r>
      <w:r w:rsidR="00833A21">
        <w:t xml:space="preserve">and </w:t>
      </w:r>
      <w:r w:rsidR="00833A21" w:rsidRPr="00C67316">
        <w:t xml:space="preserve">storage of the GMO </w:t>
      </w:r>
      <w:r w:rsidR="00F84856">
        <w:t xml:space="preserve">at </w:t>
      </w:r>
      <w:r w:rsidR="00833A21">
        <w:t xml:space="preserve">a </w:t>
      </w:r>
      <w:r w:rsidR="00833A21" w:rsidRPr="00C67316">
        <w:t xml:space="preserve">clinical trial </w:t>
      </w:r>
      <w:r w:rsidR="00604C0C">
        <w:t>facility</w:t>
      </w:r>
      <w:r w:rsidR="00604C0C" w:rsidRPr="00C67316">
        <w:t xml:space="preserve"> </w:t>
      </w:r>
      <w:r w:rsidR="00833A21">
        <w:t>where it will be administered will</w:t>
      </w:r>
      <w:r w:rsidR="00833A21" w:rsidRPr="00C67316">
        <w:t xml:space="preserve"> be in accordance with the Regulator’s </w:t>
      </w:r>
      <w:r w:rsidR="00833A21" w:rsidRPr="00252095">
        <w:rPr>
          <w:i/>
          <w:iCs/>
        </w:rPr>
        <w:t xml:space="preserve">Guidelines for the Transport, Storage and Disposal of GMOs </w:t>
      </w:r>
      <w:r w:rsidR="00833A21" w:rsidRPr="00AD6F2D">
        <w:t>(TSDs</w:t>
      </w:r>
      <w:r w:rsidR="00833A21">
        <w:t xml:space="preserve">). </w:t>
      </w:r>
    </w:p>
    <w:p w14:paraId="3784A42A" w14:textId="59DE1595" w:rsidR="00833A21" w:rsidRDefault="00506498" w:rsidP="0001323A">
      <w:pPr>
        <w:pStyle w:val="ListParagraph"/>
        <w:numPr>
          <w:ilvl w:val="0"/>
          <w:numId w:val="65"/>
        </w:numPr>
        <w:spacing w:before="0" w:after="0"/>
        <w:contextualSpacing/>
      </w:pPr>
      <w:r>
        <w:t xml:space="preserve">Disinfecting surfaces and equipment that </w:t>
      </w:r>
      <w:proofErr w:type="gramStart"/>
      <w:r>
        <w:t>come into contact with</w:t>
      </w:r>
      <w:proofErr w:type="gramEnd"/>
      <w:r>
        <w:t xml:space="preserve"> the GMO using an effective disinfectant. </w:t>
      </w:r>
    </w:p>
    <w:p w14:paraId="732BB6B5" w14:textId="0E877071" w:rsidR="00C04501" w:rsidRDefault="005001D4" w:rsidP="00CA432D">
      <w:pPr>
        <w:pStyle w:val="ListParagraph"/>
        <w:numPr>
          <w:ilvl w:val="0"/>
          <w:numId w:val="65"/>
        </w:numPr>
        <w:spacing w:before="0" w:after="0"/>
        <w:contextualSpacing/>
      </w:pPr>
      <w:r>
        <w:t xml:space="preserve">Providing patients with instructions to </w:t>
      </w:r>
      <w:r w:rsidR="00C04501">
        <w:t>add</w:t>
      </w:r>
      <w:r>
        <w:t xml:space="preserve"> </w:t>
      </w:r>
      <w:r w:rsidR="00C04501" w:rsidRPr="00C04501">
        <w:t>equal volume of virucidal agent to the toilet bowl prior to voiding and wait 15 minutes before flushing the toilet</w:t>
      </w:r>
      <w:r w:rsidR="00765C1A">
        <w:t xml:space="preserve"> for the first 2 days after each treatment</w:t>
      </w:r>
      <w:r>
        <w:t>.</w:t>
      </w:r>
    </w:p>
    <w:p w14:paraId="424C775F" w14:textId="4E84FB76" w:rsidR="0017137D" w:rsidRDefault="00143EA3" w:rsidP="0017137D">
      <w:pPr>
        <w:pStyle w:val="3RARMP"/>
      </w:pPr>
      <w:bookmarkStart w:id="116" w:name="_Ref217296704"/>
      <w:bookmarkStart w:id="117" w:name="_Ref217296814"/>
      <w:bookmarkStart w:id="118" w:name="_Toc226974998"/>
      <w:r w:rsidRPr="00EC16F0">
        <w:lastRenderedPageBreak/>
        <w:t>Details of the proposed dealings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6"/>
      <w:bookmarkEnd w:id="117"/>
      <w:bookmarkEnd w:id="118"/>
    </w:p>
    <w:p w14:paraId="40B9EEC9" w14:textId="44926F82" w:rsidR="0066244D" w:rsidRPr="00FF5669" w:rsidRDefault="0066244D" w:rsidP="00321D13">
      <w:pPr>
        <w:pStyle w:val="4RARMP"/>
      </w:pPr>
      <w:r w:rsidRPr="00FF5669">
        <w:t xml:space="preserve">Manufacturing </w:t>
      </w:r>
      <w:r w:rsidR="0001639C" w:rsidRPr="00FF5669">
        <w:t xml:space="preserve">and import </w:t>
      </w:r>
      <w:r w:rsidRPr="00FF5669">
        <w:t>of the GMO</w:t>
      </w:r>
    </w:p>
    <w:p w14:paraId="7A6AABCA" w14:textId="77777777" w:rsidR="0001639C" w:rsidRPr="0001639C" w:rsidRDefault="0001639C" w:rsidP="0001639C">
      <w:pPr>
        <w:pStyle w:val="RARMPnumberedparagraphs"/>
      </w:pPr>
      <w:proofErr w:type="spellStart"/>
      <w:r w:rsidRPr="0001639C">
        <w:t>Nadofaragene</w:t>
      </w:r>
      <w:proofErr w:type="spellEnd"/>
      <w:r w:rsidRPr="0001639C">
        <w:t xml:space="preserve"> </w:t>
      </w:r>
      <w:proofErr w:type="spellStart"/>
      <w:r w:rsidRPr="0001639C">
        <w:t>firadenovec</w:t>
      </w:r>
      <w:proofErr w:type="spellEnd"/>
      <w:r w:rsidRPr="0001639C">
        <w:t xml:space="preserve"> is manufactured by </w:t>
      </w:r>
      <w:proofErr w:type="spellStart"/>
      <w:r w:rsidRPr="0001639C">
        <w:t>FinVector</w:t>
      </w:r>
      <w:proofErr w:type="spellEnd"/>
      <w:r w:rsidRPr="0001639C">
        <w:t xml:space="preserve"> Oy (</w:t>
      </w:r>
      <w:proofErr w:type="spellStart"/>
      <w:r w:rsidRPr="0001639C">
        <w:t>FinVector</w:t>
      </w:r>
      <w:proofErr w:type="spellEnd"/>
      <w:r w:rsidRPr="0001639C">
        <w:t xml:space="preserve">) in Finland. Ferring proposes to import the GM therapeutic into Australia from </w:t>
      </w:r>
      <w:proofErr w:type="spellStart"/>
      <w:r w:rsidRPr="0001639C">
        <w:t>FinVector</w:t>
      </w:r>
      <w:proofErr w:type="spellEnd"/>
      <w:r w:rsidRPr="0001639C">
        <w:t>.</w:t>
      </w:r>
      <w:r>
        <w:t xml:space="preserve"> </w:t>
      </w:r>
      <w:r w:rsidRPr="0001639C">
        <w:t xml:space="preserve">The GM therapeutic would be shipped from </w:t>
      </w:r>
      <w:proofErr w:type="spellStart"/>
      <w:r w:rsidRPr="0001639C">
        <w:t>FinVector</w:t>
      </w:r>
      <w:proofErr w:type="spellEnd"/>
      <w:r w:rsidRPr="0001639C">
        <w:t xml:space="preserve"> in sealed containers with tamper proof seals in appropriate secondary packaging. </w:t>
      </w:r>
      <w:bookmarkStart w:id="119" w:name="_Hlk197610701"/>
      <w:r w:rsidRPr="0001639C">
        <w:t>Each unit-dose</w:t>
      </w:r>
      <w:r w:rsidRPr="0001639C">
        <w:rPr>
          <w:vertAlign w:val="superscript"/>
        </w:rPr>
        <w:footnoteReference w:id="3"/>
      </w:r>
      <w:r w:rsidRPr="0001639C">
        <w:t xml:space="preserve"> of the ready-to-use pack contains 4 single-dose vials. The unit-dose pack contains absorbent material under the vials</w:t>
      </w:r>
      <w:bookmarkEnd w:id="119"/>
      <w:r w:rsidRPr="0001639C">
        <w:t xml:space="preserve">. </w:t>
      </w:r>
    </w:p>
    <w:p w14:paraId="0FD6CB96" w14:textId="1BFF8017" w:rsidR="0032563C" w:rsidRDefault="00F56F02" w:rsidP="00F56F02">
      <w:pPr>
        <w:pStyle w:val="RARMPnumberedparagraphs"/>
      </w:pPr>
      <w:r w:rsidRPr="00F56F02">
        <w:t>When ordered by a clinic, a unit-dose pack will be distributed directly to medical facilities with a smaller shipper in a bio-hazard bag surrounded by dry ice. The unit-dose pack will not be repackaged but the box will have a serial number for distribution control.</w:t>
      </w:r>
    </w:p>
    <w:p w14:paraId="67F143B0" w14:textId="2BC116C3" w:rsidR="00923406" w:rsidRDefault="00923406" w:rsidP="00F56F02">
      <w:pPr>
        <w:pStyle w:val="RARMPnumberedparagraphs"/>
      </w:pPr>
      <w:r>
        <w:t>The GMO would be imported according to the packaging and labelling requirements of the International Air Transport Association (</w:t>
      </w:r>
      <w:bookmarkStart w:id="120" w:name="_Hlk217299508"/>
      <w:r>
        <w:t>IATA</w:t>
      </w:r>
      <w:bookmarkEnd w:id="120"/>
      <w:r>
        <w:t>) code UN 1845</w:t>
      </w:r>
      <w:r w:rsidR="006C4D24">
        <w:t xml:space="preserve"> and would be covered under </w:t>
      </w:r>
      <w:r w:rsidR="00104A5F">
        <w:t xml:space="preserve">licence </w:t>
      </w:r>
      <w:r w:rsidR="006C4D24">
        <w:t>DIR</w:t>
      </w:r>
      <w:r w:rsidR="00104A5F">
        <w:t xml:space="preserve"> </w:t>
      </w:r>
      <w:r w:rsidR="006C4D24">
        <w:t>217.</w:t>
      </w:r>
    </w:p>
    <w:p w14:paraId="496CDCE5" w14:textId="63DD642A" w:rsidR="0066244D" w:rsidRPr="00FF5669" w:rsidRDefault="0066244D" w:rsidP="00321D13">
      <w:pPr>
        <w:pStyle w:val="4RARMP"/>
      </w:pPr>
      <w:bookmarkStart w:id="121" w:name="_Ref66352797"/>
      <w:r w:rsidRPr="00FF5669">
        <w:t>Transport and storage of the GMO</w:t>
      </w:r>
      <w:bookmarkEnd w:id="121"/>
    </w:p>
    <w:p w14:paraId="2065893E" w14:textId="33140797" w:rsidR="002A3513" w:rsidRPr="002A3513" w:rsidRDefault="002A3513" w:rsidP="0066244D">
      <w:pPr>
        <w:pStyle w:val="RARMPnumberedparagraphs"/>
      </w:pPr>
      <w:r w:rsidRPr="00E86880">
        <w:t>Procedures will be in place to ensure that all transported GMOs can be accounted for, and that a loss of GMOs during transport can be detected; and</w:t>
      </w:r>
      <w:r>
        <w:t xml:space="preserve"> access to the GMO will be restricted to authorised persons conducting dealings under the licence, who have been informed by the licence holder of any licence conditions that apply to them. This includes situations where containers are left for collection in a holding area</w:t>
      </w:r>
      <w:r>
        <w:rPr>
          <w:bCs/>
          <w:lang w:val="en-US"/>
        </w:rPr>
        <w:t>.</w:t>
      </w:r>
    </w:p>
    <w:p w14:paraId="59661053" w14:textId="3B8D12CD" w:rsidR="002A3513" w:rsidRDefault="002A3513" w:rsidP="0066244D">
      <w:pPr>
        <w:pStyle w:val="RARMPnumberedparagraphs"/>
      </w:pPr>
      <w:r>
        <w:t>The external surface of the primary and secondary container will be decontaminated before and after transport.</w:t>
      </w:r>
    </w:p>
    <w:p w14:paraId="5F16A93D" w14:textId="45CA91EE" w:rsidR="000C4A55" w:rsidRDefault="00923406" w:rsidP="002A3513">
      <w:pPr>
        <w:pStyle w:val="RARMPnumberedparagraphs"/>
      </w:pPr>
      <w:r w:rsidRPr="00923406">
        <w:t xml:space="preserve">On receipt at the clinic, the unit-dose will be stored in a </w:t>
      </w:r>
      <w:r w:rsidR="00FF5669">
        <w:t xml:space="preserve">secure </w:t>
      </w:r>
      <w:r w:rsidRPr="00923406">
        <w:t>freezer until it is needed for a patient.</w:t>
      </w:r>
      <w:r w:rsidR="002A3513">
        <w:t xml:space="preserve"> Access to the GMO will be restricted to authorised persons conducting dealings under the licence, who have been informed by the licence holder of any licence conditions that apply to them.</w:t>
      </w:r>
    </w:p>
    <w:p w14:paraId="48939E1A" w14:textId="77E8E86E" w:rsidR="004D16FE" w:rsidRDefault="00F35BB1" w:rsidP="00F35BB1">
      <w:pPr>
        <w:pStyle w:val="RARMPnumberedparagraphs"/>
      </w:pPr>
      <w:r>
        <w:rPr>
          <w:bCs/>
        </w:rPr>
        <w:t xml:space="preserve">The proposed </w:t>
      </w:r>
      <w:r w:rsidR="00D45782" w:rsidRPr="00DC351A">
        <w:t xml:space="preserve">method of supply and storage of the GMO, as advised by the applicant, would be in accordance with the </w:t>
      </w:r>
      <w:r w:rsidR="00D45782" w:rsidRPr="00103592">
        <w:rPr>
          <w:iCs/>
        </w:rPr>
        <w:t xml:space="preserve">Regulator’s </w:t>
      </w:r>
      <w:r w:rsidR="00D45782" w:rsidRPr="00DC351A">
        <w:rPr>
          <w:i/>
        </w:rPr>
        <w:t>Guidelines for the Transport, Storage and Disposal of GMOs</w:t>
      </w:r>
      <w:r w:rsidR="00D45782">
        <w:rPr>
          <w:i/>
        </w:rPr>
        <w:t xml:space="preserve"> </w:t>
      </w:r>
      <w:r w:rsidR="00D45782" w:rsidRPr="00C51386">
        <w:t>(TSD</w:t>
      </w:r>
      <w:r w:rsidR="00FD6D3D">
        <w:t>s</w:t>
      </w:r>
      <w:r w:rsidR="00D45782" w:rsidRPr="00C51386">
        <w:t>)</w:t>
      </w:r>
      <w:r w:rsidR="007D34EC">
        <w:rPr>
          <w:bCs/>
        </w:rPr>
        <w:t xml:space="preserve">. </w:t>
      </w:r>
    </w:p>
    <w:p w14:paraId="41E13AFB" w14:textId="3BEC2A78" w:rsidR="0066244D" w:rsidRPr="00FF5669" w:rsidRDefault="0066244D" w:rsidP="00321D13">
      <w:pPr>
        <w:pStyle w:val="4RARMP"/>
      </w:pPr>
      <w:bookmarkStart w:id="122" w:name="_Ref67409772"/>
      <w:r w:rsidRPr="00FF5669">
        <w:t>Clinical trial sites</w:t>
      </w:r>
      <w:bookmarkEnd w:id="122"/>
    </w:p>
    <w:p w14:paraId="3C3D8997" w14:textId="7C5E2777" w:rsidR="008356FF" w:rsidRDefault="008356FF" w:rsidP="008356FF">
      <w:pPr>
        <w:pStyle w:val="RARMPnumberedparagraphs"/>
      </w:pPr>
      <w:r w:rsidRPr="00961290">
        <w:t xml:space="preserve">The </w:t>
      </w:r>
      <w:r w:rsidRPr="00796CCD">
        <w:t xml:space="preserve">clinical trial </w:t>
      </w:r>
      <w:r>
        <w:t>is proposed to</w:t>
      </w:r>
      <w:r w:rsidR="00FD6D3D">
        <w:t xml:space="preserve"> initially</w:t>
      </w:r>
      <w:r>
        <w:t xml:space="preserve"> </w:t>
      </w:r>
      <w:r w:rsidRPr="00796CCD">
        <w:t xml:space="preserve">take place at </w:t>
      </w:r>
      <w:r w:rsidR="0010495F">
        <w:t xml:space="preserve">up to </w:t>
      </w:r>
      <w:r w:rsidR="002C28F8">
        <w:t>9</w:t>
      </w:r>
      <w:r>
        <w:t xml:space="preserve"> different</w:t>
      </w:r>
      <w:r w:rsidRPr="00796CCD">
        <w:t xml:space="preserve"> </w:t>
      </w:r>
      <w:r>
        <w:t xml:space="preserve">clinical trial facilities and </w:t>
      </w:r>
      <w:r w:rsidRPr="00796CCD">
        <w:t xml:space="preserve">hospitals in </w:t>
      </w:r>
      <w:r>
        <w:t xml:space="preserve">New South Wales and Victoria, </w:t>
      </w:r>
      <w:r w:rsidR="00A9721B">
        <w:t xml:space="preserve">including </w:t>
      </w:r>
      <w:r w:rsidRPr="008356FF">
        <w:t xml:space="preserve">John Hunter Hospital, Austin Health, Royal Melbourne Hospital, Cancer Care Macarthur, Barwon Health, Blacktown Hospital, Liverpool Hospital, Concord Repatriation General Hospital </w:t>
      </w:r>
      <w:r>
        <w:t>and</w:t>
      </w:r>
      <w:r w:rsidRPr="008356FF">
        <w:t xml:space="preserve"> Wollongong Private Hospital</w:t>
      </w:r>
      <w:r w:rsidR="00FD6D3D">
        <w:t>. Other locations across Australia may be considered in the future</w:t>
      </w:r>
      <w:r w:rsidR="003B5A1E">
        <w:t>.</w:t>
      </w:r>
      <w:r w:rsidR="00CA432D">
        <w:t xml:space="preserve"> The activities that may be undertaken at these sites are s</w:t>
      </w:r>
      <w:r w:rsidR="00CA432D" w:rsidRPr="00CA432D">
        <w:t>torage and preparation of the GMO, administration of the GMO to participants</w:t>
      </w:r>
      <w:r w:rsidR="00A26AA3">
        <w:t>,</w:t>
      </w:r>
      <w:r w:rsidR="00CA432D" w:rsidRPr="00CA432D">
        <w:t xml:space="preserve"> and</w:t>
      </w:r>
      <w:r w:rsidR="00A26AA3" w:rsidRPr="00A26AA3">
        <w:t xml:space="preserve"> collection</w:t>
      </w:r>
      <w:r w:rsidR="00A26AA3">
        <w:t xml:space="preserve"> and</w:t>
      </w:r>
      <w:r w:rsidR="00CA432D" w:rsidRPr="00CA432D">
        <w:t xml:space="preserve"> analysis of biological samples containing the GMO.</w:t>
      </w:r>
    </w:p>
    <w:p w14:paraId="06C0FDB0" w14:textId="19560EAC" w:rsidR="004D16FE" w:rsidRDefault="008356FF" w:rsidP="009C0E98">
      <w:pPr>
        <w:pStyle w:val="RARMPnumberedparagraphs"/>
      </w:pPr>
      <w:r>
        <w:t>The applicant has selected these trial sites based on their patient populations, having suitably trained staff to conduct a clinical trial with a GMO, having procedures in place to prevent unauthorised access to the site, and having procedures in place to appropriately track, handle and dispose of the GMO.</w:t>
      </w:r>
    </w:p>
    <w:p w14:paraId="648A930C" w14:textId="5AB4DF9D" w:rsidR="00420205" w:rsidRPr="00FF5669" w:rsidRDefault="009C0E98" w:rsidP="00321D13">
      <w:pPr>
        <w:pStyle w:val="4RARMP"/>
      </w:pPr>
      <w:bookmarkStart w:id="123" w:name="_Ref66354871"/>
      <w:r w:rsidRPr="00FF5669">
        <w:lastRenderedPageBreak/>
        <w:t xml:space="preserve">The clinical trial </w:t>
      </w:r>
      <w:bookmarkEnd w:id="123"/>
    </w:p>
    <w:p w14:paraId="7086B2A1" w14:textId="12B23528" w:rsidR="00364C25" w:rsidRDefault="00420205" w:rsidP="00420205">
      <w:pPr>
        <w:pStyle w:val="RARMPnumberedparagraphs"/>
      </w:pPr>
      <w:r w:rsidRPr="00420205">
        <w:t>The applicant proposes</w:t>
      </w:r>
      <w:r w:rsidR="00364C25">
        <w:t xml:space="preserve"> </w:t>
      </w:r>
      <w:r w:rsidR="005B15D3">
        <w:t xml:space="preserve">to conduct </w:t>
      </w:r>
      <w:r w:rsidR="00CD32AE">
        <w:t>Phase 3 and 3b trial</w:t>
      </w:r>
      <w:r w:rsidR="00364C25">
        <w:t>s</w:t>
      </w:r>
      <w:r w:rsidRPr="00420205">
        <w:t xml:space="preserve"> </w:t>
      </w:r>
      <w:r w:rsidR="005B15D3">
        <w:t xml:space="preserve">with the GMO </w:t>
      </w:r>
      <w:r w:rsidRPr="00420205">
        <w:t>at multiple locations in Australia</w:t>
      </w:r>
      <w:r w:rsidR="00FB049E">
        <w:t xml:space="preserve"> (as noted in Section </w:t>
      </w:r>
      <w:r w:rsidR="00FB049E">
        <w:fldChar w:fldCharType="begin"/>
      </w:r>
      <w:r w:rsidR="00FB049E">
        <w:instrText xml:space="preserve"> REF _Ref67409772 \r \h </w:instrText>
      </w:r>
      <w:r w:rsidR="00FB049E">
        <w:fldChar w:fldCharType="separate"/>
      </w:r>
      <w:r w:rsidR="001E7664">
        <w:t>2.3.3</w:t>
      </w:r>
      <w:r w:rsidR="00FB049E">
        <w:fldChar w:fldCharType="end"/>
      </w:r>
      <w:r w:rsidR="00FB049E">
        <w:t>)</w:t>
      </w:r>
      <w:r w:rsidR="00F67978">
        <w:t>.</w:t>
      </w:r>
    </w:p>
    <w:p w14:paraId="11F78C6A" w14:textId="5FBA1ADA" w:rsidR="00364C25" w:rsidRPr="00364C25" w:rsidRDefault="00364C25" w:rsidP="00364C25">
      <w:pPr>
        <w:pStyle w:val="RARMPnumberedparagraphs"/>
        <w:numPr>
          <w:ilvl w:val="0"/>
          <w:numId w:val="0"/>
        </w:numPr>
        <w:rPr>
          <w:i/>
          <w:iCs/>
          <w:u w:val="single"/>
        </w:rPr>
      </w:pPr>
      <w:r w:rsidRPr="00364C25">
        <w:rPr>
          <w:i/>
          <w:iCs/>
          <w:u w:val="single"/>
        </w:rPr>
        <w:t>Phase 3 trial</w:t>
      </w:r>
    </w:p>
    <w:p w14:paraId="3B40BB41" w14:textId="3DDEE6EF" w:rsidR="00420205" w:rsidRDefault="00364C25" w:rsidP="00420205">
      <w:pPr>
        <w:pStyle w:val="RARMPnumberedparagraphs"/>
      </w:pPr>
      <w:r>
        <w:t xml:space="preserve">The Phase 3 trial is a </w:t>
      </w:r>
      <w:r w:rsidRPr="00364C25">
        <w:t xml:space="preserve">randomised, multi-centre, open label trial to evaluate the safety and efficacy of intravesical </w:t>
      </w:r>
      <w:r>
        <w:t>GMO given</w:t>
      </w:r>
      <w:r w:rsidRPr="00364C25">
        <w:t xml:space="preserve"> alone or in combination with chemotherapy (intravesical gemcitabine and docetaxel) or immunotherapy (IV pembrolizumab) in </w:t>
      </w:r>
      <w:r w:rsidR="00FD6D3D">
        <w:t>participants</w:t>
      </w:r>
      <w:r w:rsidRPr="00364C25">
        <w:t xml:space="preserve"> with high-grade BCG-unresponsive NMIBC.</w:t>
      </w:r>
      <w:r>
        <w:t xml:space="preserve"> Prior to screening, eligible </w:t>
      </w:r>
      <w:r w:rsidR="00FD6D3D">
        <w:t>participants</w:t>
      </w:r>
      <w:r>
        <w:t xml:space="preserve"> will have gone through a </w:t>
      </w:r>
      <w:r w:rsidRPr="00364C25">
        <w:t>transurethral resection of the bladder tumour</w:t>
      </w:r>
      <w:r>
        <w:t>.</w:t>
      </w:r>
    </w:p>
    <w:p w14:paraId="1B2BB80E" w14:textId="1F6B233C" w:rsidR="00D359D5" w:rsidRDefault="00364C25" w:rsidP="00A77405">
      <w:pPr>
        <w:pStyle w:val="RARMPnumberedparagraphs"/>
      </w:pPr>
      <w:r>
        <w:t xml:space="preserve">Participants will receive doses of the GMO every 3 months, then treatment is optional from 12 to 24 months. There are 3 treatment </w:t>
      </w:r>
      <w:r w:rsidR="00A77405">
        <w:t>arms:</w:t>
      </w:r>
      <w:r>
        <w:t xml:space="preserve"> </w:t>
      </w:r>
      <w:r w:rsidR="00A878C6">
        <w:t xml:space="preserve">intravesical </w:t>
      </w:r>
      <w:r>
        <w:t xml:space="preserve">GMO only, </w:t>
      </w:r>
      <w:r w:rsidR="00A878C6">
        <w:t xml:space="preserve">intravesical </w:t>
      </w:r>
      <w:r>
        <w:t xml:space="preserve">GMO + intravesical chemotherapy of </w:t>
      </w:r>
      <w:r w:rsidRPr="00364C25">
        <w:t>gemcitabine and docetaxel</w:t>
      </w:r>
      <w:r>
        <w:t xml:space="preserve"> weekly for 6 weeks then monthly, and </w:t>
      </w:r>
      <w:r w:rsidR="00A878C6">
        <w:t xml:space="preserve">intravesical </w:t>
      </w:r>
      <w:r>
        <w:t>GMO +</w:t>
      </w:r>
      <w:r w:rsidR="00A77405">
        <w:t xml:space="preserve"> intravenous (IV) immunotherapy with pembrolizumab every 6 weeks. Participants will be monitored</w:t>
      </w:r>
      <w:r w:rsidR="00A9721B">
        <w:t xml:space="preserve"> for</w:t>
      </w:r>
      <w:r w:rsidR="00A77405">
        <w:t xml:space="preserve"> up to 36 months.</w:t>
      </w:r>
    </w:p>
    <w:p w14:paraId="2C34621A" w14:textId="0A436423" w:rsidR="00364C25" w:rsidRPr="00364C25" w:rsidRDefault="00364C25" w:rsidP="00364C25">
      <w:pPr>
        <w:pStyle w:val="RARMPnumberedparagraphs"/>
        <w:numPr>
          <w:ilvl w:val="0"/>
          <w:numId w:val="0"/>
        </w:numPr>
        <w:rPr>
          <w:i/>
          <w:iCs/>
          <w:u w:val="single"/>
        </w:rPr>
      </w:pPr>
      <w:r w:rsidRPr="00364C25">
        <w:rPr>
          <w:i/>
          <w:iCs/>
          <w:u w:val="single"/>
        </w:rPr>
        <w:t>Phase 3b trial</w:t>
      </w:r>
    </w:p>
    <w:p w14:paraId="0570C0EB" w14:textId="7DB36209" w:rsidR="00364C25" w:rsidRDefault="00364C25" w:rsidP="00364C25">
      <w:pPr>
        <w:pStyle w:val="RARMPnumberedparagraphs"/>
      </w:pPr>
      <w:r>
        <w:t xml:space="preserve">The Phase 3b trial is a </w:t>
      </w:r>
      <w:r w:rsidR="00A77405">
        <w:t xml:space="preserve">randomised, </w:t>
      </w:r>
      <w:r w:rsidRPr="00364C25">
        <w:t>multi-centre, open-label</w:t>
      </w:r>
      <w:r w:rsidR="00A77405">
        <w:t xml:space="preserve"> </w:t>
      </w:r>
      <w:r w:rsidRPr="00364C25">
        <w:t xml:space="preserve">trial to evaluate the safety and efficacy of </w:t>
      </w:r>
      <w:r>
        <w:t>the GMO</w:t>
      </w:r>
      <w:r w:rsidRPr="00364C25">
        <w:t xml:space="preserve"> given every 3 months versus observation in </w:t>
      </w:r>
      <w:r w:rsidR="00FD6D3D">
        <w:t>participants</w:t>
      </w:r>
      <w:r w:rsidRPr="00364C25">
        <w:t xml:space="preserve"> with </w:t>
      </w:r>
      <w:r>
        <w:t>intermediate risk (</w:t>
      </w:r>
      <w:r w:rsidRPr="00364C25">
        <w:t>IR</w:t>
      </w:r>
      <w:r>
        <w:t>)</w:t>
      </w:r>
      <w:r w:rsidRPr="00364C25">
        <w:t xml:space="preserve"> NMIBC.</w:t>
      </w:r>
      <w:r w:rsidR="00A77405">
        <w:t xml:space="preserve"> Prior to screening, eligible </w:t>
      </w:r>
      <w:r w:rsidR="00FD6D3D">
        <w:t>participants</w:t>
      </w:r>
      <w:r w:rsidR="00A77405">
        <w:t xml:space="preserve"> will have gone through a</w:t>
      </w:r>
      <w:r w:rsidR="009C37AF">
        <w:t xml:space="preserve"> </w:t>
      </w:r>
      <w:r w:rsidR="009C37AF" w:rsidRPr="00364C25">
        <w:t>transurethral resection of the bladder tumour</w:t>
      </w:r>
      <w:r w:rsidR="00A77405">
        <w:t>.</w:t>
      </w:r>
    </w:p>
    <w:p w14:paraId="4CBB98AB" w14:textId="5A06728A" w:rsidR="00364C25" w:rsidRPr="00420205" w:rsidRDefault="00A77405" w:rsidP="00364C25">
      <w:pPr>
        <w:pStyle w:val="RARMPnumberedparagraphs"/>
      </w:pPr>
      <w:r>
        <w:t>Participants will be randomised into one of 2 treatment arms. Arm 1 is the GMO administered into the bladder every 3 months for up to 24 months (maximum of 8 doses). Arm 2 is an observation arm with scheduled surveillance. GMO treatment will be offered to participants in Arm 2 i</w:t>
      </w:r>
      <w:r w:rsidR="00E374E1">
        <w:t>f</w:t>
      </w:r>
      <w:r>
        <w:t xml:space="preserve"> there is recurrence of their IR NMIBC within the 24 months. Participants will be monitored up to 60 months.</w:t>
      </w:r>
    </w:p>
    <w:p w14:paraId="1A9309BB" w14:textId="28F1EFD5" w:rsidR="0066244D" w:rsidRPr="00FF5669" w:rsidRDefault="0066244D" w:rsidP="00321D13">
      <w:pPr>
        <w:pStyle w:val="4RARMP"/>
      </w:pPr>
      <w:bookmarkStart w:id="124" w:name="_Ref67491471"/>
      <w:r w:rsidRPr="00FF5669">
        <w:t>Selection of trial participants</w:t>
      </w:r>
      <w:bookmarkEnd w:id="124"/>
    </w:p>
    <w:p w14:paraId="3C2BEB2C" w14:textId="05F0B553" w:rsidR="0001323A" w:rsidRPr="0001323A" w:rsidRDefault="008E7153" w:rsidP="0001323A">
      <w:pPr>
        <w:pStyle w:val="RARMPnumberedparagraphs"/>
      </w:pPr>
      <w:bookmarkStart w:id="125" w:name="_Hlk216692940"/>
      <w:r>
        <w:t>I</w:t>
      </w:r>
      <w:r w:rsidR="0001323A" w:rsidRPr="0001323A">
        <w:t xml:space="preserve">nclusion criteria </w:t>
      </w:r>
      <w:r w:rsidR="00E768C2">
        <w:t xml:space="preserve">proposed by the applicant </w:t>
      </w:r>
      <w:r>
        <w:t xml:space="preserve">relevant </w:t>
      </w:r>
      <w:r w:rsidR="0001323A" w:rsidRPr="0001323A">
        <w:t xml:space="preserve">to </w:t>
      </w:r>
      <w:r w:rsidR="00F22C8F">
        <w:t xml:space="preserve">this assessment </w:t>
      </w:r>
      <w:r w:rsidR="00E768C2">
        <w:t>include that trial participants must</w:t>
      </w:r>
      <w:r w:rsidR="0001323A" w:rsidRPr="0001323A">
        <w:t>:</w:t>
      </w:r>
    </w:p>
    <w:p w14:paraId="51569ED8" w14:textId="0C34C223" w:rsidR="0001323A" w:rsidRDefault="0001323A" w:rsidP="006C4245">
      <w:pPr>
        <w:numPr>
          <w:ilvl w:val="0"/>
          <w:numId w:val="85"/>
        </w:numPr>
        <w:spacing w:before="0" w:after="160"/>
        <w:ind w:left="714" w:hanging="357"/>
        <w:rPr>
          <w:rFonts w:cs="Calibri"/>
          <w:szCs w:val="22"/>
        </w:rPr>
      </w:pPr>
      <w:r w:rsidRPr="0001323A">
        <w:rPr>
          <w:rFonts w:cs="Calibri"/>
          <w:szCs w:val="22"/>
        </w:rPr>
        <w:t xml:space="preserve">be </w:t>
      </w:r>
      <w:r w:rsidR="00872795">
        <w:rPr>
          <w:rFonts w:cs="Calibri"/>
          <w:szCs w:val="22"/>
        </w:rPr>
        <w:t>18 years of age or older at screening</w:t>
      </w:r>
    </w:p>
    <w:p w14:paraId="1043624F" w14:textId="5E67BE77" w:rsidR="006C4245" w:rsidRDefault="006C4245" w:rsidP="006C4245">
      <w:pPr>
        <w:numPr>
          <w:ilvl w:val="0"/>
          <w:numId w:val="85"/>
        </w:numPr>
        <w:spacing w:before="0" w:after="160"/>
        <w:ind w:left="714" w:hanging="357"/>
        <w:rPr>
          <w:rFonts w:cs="Calibri"/>
          <w:szCs w:val="22"/>
        </w:rPr>
      </w:pPr>
      <w:r>
        <w:rPr>
          <w:rFonts w:cs="Calibri"/>
          <w:szCs w:val="22"/>
        </w:rPr>
        <w:t>Phase 3 trial only: have high-grade NMIBC that was u</w:t>
      </w:r>
      <w:r w:rsidRPr="006C4245">
        <w:rPr>
          <w:rFonts w:cs="Calibri"/>
          <w:szCs w:val="22"/>
        </w:rPr>
        <w:t>nresponsive to ≥2 courses of Bacillus Calmette-Guerin (BCG) therapy within the last 12 months</w:t>
      </w:r>
    </w:p>
    <w:p w14:paraId="6DB620FB" w14:textId="5F7B782B" w:rsidR="009D3D72" w:rsidRPr="006C4245" w:rsidRDefault="006C4245" w:rsidP="006C4245">
      <w:pPr>
        <w:numPr>
          <w:ilvl w:val="0"/>
          <w:numId w:val="85"/>
        </w:numPr>
        <w:spacing w:before="0" w:after="160"/>
        <w:ind w:left="714" w:hanging="357"/>
        <w:rPr>
          <w:rFonts w:cs="Calibri"/>
          <w:szCs w:val="22"/>
        </w:rPr>
      </w:pPr>
      <w:r>
        <w:rPr>
          <w:rFonts w:cs="Calibri"/>
          <w:szCs w:val="22"/>
        </w:rPr>
        <w:t>Phase 3b trial only: have n</w:t>
      </w:r>
      <w:r w:rsidRPr="006C4245">
        <w:rPr>
          <w:rFonts w:cs="Calibri"/>
          <w:szCs w:val="22"/>
        </w:rPr>
        <w:t xml:space="preserve">ewly diagnosed or recurrent IR </w:t>
      </w:r>
      <w:r w:rsidR="00C20A13">
        <w:rPr>
          <w:rFonts w:cs="Calibri"/>
          <w:szCs w:val="22"/>
        </w:rPr>
        <w:t>NMIBC</w:t>
      </w:r>
    </w:p>
    <w:p w14:paraId="05C6B0CE" w14:textId="71262132" w:rsidR="00CA432D" w:rsidRDefault="00CA432D" w:rsidP="006C4245">
      <w:pPr>
        <w:pStyle w:val="ListParagraph"/>
        <w:numPr>
          <w:ilvl w:val="0"/>
          <w:numId w:val="85"/>
        </w:numPr>
        <w:spacing w:before="0" w:after="160"/>
        <w:ind w:left="714" w:hanging="357"/>
        <w:contextualSpacing/>
      </w:pPr>
      <w:r>
        <w:t xml:space="preserve">female participants of </w:t>
      </w:r>
      <w:r w:rsidR="006C4245">
        <w:t>childbearing</w:t>
      </w:r>
      <w:r>
        <w:t xml:space="preserve"> potential must </w:t>
      </w:r>
      <w:r>
        <w:rPr>
          <w:rFonts w:cs="Calibri"/>
          <w:szCs w:val="22"/>
        </w:rPr>
        <w:t>have a negative highly sensitive urine or serum pregnancy test prior to study entry</w:t>
      </w:r>
      <w:r w:rsidR="006C4245">
        <w:rPr>
          <w:rFonts w:cs="Calibri"/>
          <w:szCs w:val="22"/>
        </w:rPr>
        <w:t xml:space="preserve"> </w:t>
      </w:r>
      <w:r>
        <w:t>and be willing to use effective forms of contraception during treatment and for 6 months after the last dose</w:t>
      </w:r>
    </w:p>
    <w:p w14:paraId="6A13D619" w14:textId="021154C3" w:rsidR="00A017F5" w:rsidRDefault="006C4245" w:rsidP="006C4245">
      <w:pPr>
        <w:numPr>
          <w:ilvl w:val="0"/>
          <w:numId w:val="85"/>
        </w:numPr>
        <w:spacing w:before="0" w:after="160"/>
        <w:ind w:left="714" w:hanging="357"/>
        <w:rPr>
          <w:rFonts w:cs="Calibri"/>
          <w:szCs w:val="22"/>
        </w:rPr>
      </w:pPr>
      <w:r>
        <w:t xml:space="preserve">Phase 3 trial only: </w:t>
      </w:r>
      <w:r w:rsidR="00CA432D">
        <w:t>non-sterile male participants with female partners of reproductive potential must be willing to use effective forms of contraception during treatment and for 3 months after the last dose</w:t>
      </w:r>
    </w:p>
    <w:p w14:paraId="709C71E9" w14:textId="3C8D1BB6" w:rsidR="006C4245" w:rsidRDefault="006C4245" w:rsidP="006C4245">
      <w:pPr>
        <w:numPr>
          <w:ilvl w:val="0"/>
          <w:numId w:val="85"/>
        </w:numPr>
        <w:spacing w:before="0" w:after="160"/>
        <w:ind w:left="714" w:hanging="357"/>
        <w:rPr>
          <w:rFonts w:cs="Calibri"/>
          <w:szCs w:val="22"/>
        </w:rPr>
      </w:pPr>
      <w:r>
        <w:rPr>
          <w:rFonts w:cs="Calibri"/>
          <w:szCs w:val="22"/>
        </w:rPr>
        <w:t xml:space="preserve">Phase 3b trial only: </w:t>
      </w:r>
      <w:r w:rsidRPr="006C4245">
        <w:rPr>
          <w:rFonts w:cs="Calibri"/>
          <w:szCs w:val="22"/>
        </w:rPr>
        <w:t xml:space="preserve">male participants must be willing to </w:t>
      </w:r>
      <w:r>
        <w:rPr>
          <w:rFonts w:cs="Calibri"/>
          <w:szCs w:val="22"/>
        </w:rPr>
        <w:t>use a male condom and effective contraception</w:t>
      </w:r>
      <w:r w:rsidRPr="006C4245">
        <w:rPr>
          <w:rFonts w:cs="Calibri"/>
          <w:szCs w:val="22"/>
        </w:rPr>
        <w:t xml:space="preserve"> during treatment and for 3 months after the last dose</w:t>
      </w:r>
      <w:r>
        <w:rPr>
          <w:rFonts w:cs="Calibri"/>
          <w:szCs w:val="22"/>
        </w:rPr>
        <w:t>.</w:t>
      </w:r>
    </w:p>
    <w:p w14:paraId="21594670" w14:textId="527FA402" w:rsidR="0001323A" w:rsidRPr="0001323A" w:rsidRDefault="0001323A" w:rsidP="0001323A">
      <w:pPr>
        <w:pStyle w:val="RARMPnumberedparagraphs"/>
      </w:pPr>
      <w:r w:rsidRPr="0001323A">
        <w:t xml:space="preserve">Relevant exclusion criteria </w:t>
      </w:r>
      <w:r w:rsidR="00CC0F15" w:rsidRPr="00A3140D">
        <w:t>apply to</w:t>
      </w:r>
      <w:r w:rsidR="007A04C4" w:rsidRPr="00A3140D">
        <w:t xml:space="preserve"> </w:t>
      </w:r>
      <w:r w:rsidR="00CC0F15" w:rsidRPr="00A3140D">
        <w:t>people</w:t>
      </w:r>
      <w:r w:rsidR="007A04C4" w:rsidRPr="00A3140D">
        <w:t xml:space="preserve"> </w:t>
      </w:r>
      <w:r w:rsidR="007A04C4">
        <w:t>who</w:t>
      </w:r>
      <w:r w:rsidRPr="0001323A">
        <w:t>:</w:t>
      </w:r>
    </w:p>
    <w:p w14:paraId="66D69B81" w14:textId="2C94D3E2" w:rsidR="00F56F02" w:rsidRDefault="00F56F02" w:rsidP="00F56F02">
      <w:pPr>
        <w:numPr>
          <w:ilvl w:val="0"/>
          <w:numId w:val="86"/>
        </w:numPr>
        <w:spacing w:before="0" w:after="160" w:line="259" w:lineRule="auto"/>
        <w:rPr>
          <w:rFonts w:cs="Calibri"/>
          <w:szCs w:val="22"/>
        </w:rPr>
      </w:pPr>
      <w:r>
        <w:rPr>
          <w:rFonts w:cs="Calibri"/>
          <w:szCs w:val="22"/>
        </w:rPr>
        <w:t>a</w:t>
      </w:r>
      <w:r w:rsidR="007A04C4">
        <w:rPr>
          <w:rFonts w:cs="Calibri"/>
          <w:szCs w:val="22"/>
        </w:rPr>
        <w:t>re pregnant or lactating</w:t>
      </w:r>
    </w:p>
    <w:p w14:paraId="175608B3" w14:textId="7B530270" w:rsidR="006C4245" w:rsidRPr="00F56F02" w:rsidRDefault="00F56F02" w:rsidP="00F56F02">
      <w:pPr>
        <w:numPr>
          <w:ilvl w:val="0"/>
          <w:numId w:val="86"/>
        </w:numPr>
        <w:spacing w:before="0" w:after="160" w:line="259" w:lineRule="auto"/>
        <w:rPr>
          <w:rFonts w:cs="Calibri"/>
          <w:szCs w:val="22"/>
        </w:rPr>
      </w:pPr>
      <w:r>
        <w:rPr>
          <w:rFonts w:cs="Calibri"/>
          <w:szCs w:val="22"/>
        </w:rPr>
        <w:t>refuse contraception requirements during and after treatment</w:t>
      </w:r>
      <w:r w:rsidR="007A04C4">
        <w:rPr>
          <w:rFonts w:cs="Calibri"/>
          <w:szCs w:val="22"/>
        </w:rPr>
        <w:t xml:space="preserve"> </w:t>
      </w:r>
    </w:p>
    <w:p w14:paraId="6F14BD85" w14:textId="5F4306AC" w:rsidR="006C4245" w:rsidRPr="006C4245" w:rsidRDefault="00F56F02" w:rsidP="006C4245">
      <w:pPr>
        <w:numPr>
          <w:ilvl w:val="0"/>
          <w:numId w:val="86"/>
        </w:numPr>
        <w:spacing w:before="0" w:after="160" w:line="259" w:lineRule="auto"/>
        <w:rPr>
          <w:rFonts w:cs="Calibri"/>
          <w:szCs w:val="22"/>
        </w:rPr>
      </w:pPr>
      <w:r>
        <w:rPr>
          <w:rFonts w:cs="Calibri"/>
          <w:szCs w:val="22"/>
        </w:rPr>
        <w:lastRenderedPageBreak/>
        <w:t>have c</w:t>
      </w:r>
      <w:r w:rsidR="006C4245" w:rsidRPr="006C4245">
        <w:rPr>
          <w:rFonts w:cs="Calibri"/>
          <w:szCs w:val="22"/>
        </w:rPr>
        <w:t xml:space="preserve">urrent or prior autoimmune disease </w:t>
      </w:r>
    </w:p>
    <w:p w14:paraId="0D93EAAB" w14:textId="78A96CE3" w:rsidR="00CB6E00" w:rsidRPr="006C4245" w:rsidRDefault="00F56F02" w:rsidP="006C4245">
      <w:pPr>
        <w:numPr>
          <w:ilvl w:val="0"/>
          <w:numId w:val="86"/>
        </w:numPr>
        <w:spacing w:before="0" w:after="160" w:line="259" w:lineRule="auto"/>
        <w:rPr>
          <w:rFonts w:cs="Calibri"/>
          <w:szCs w:val="22"/>
        </w:rPr>
      </w:pPr>
      <w:r>
        <w:rPr>
          <w:rFonts w:cs="Calibri"/>
          <w:szCs w:val="22"/>
        </w:rPr>
        <w:t>are i</w:t>
      </w:r>
      <w:r w:rsidR="006C4245" w:rsidRPr="006C4245">
        <w:rPr>
          <w:rFonts w:cs="Calibri"/>
          <w:szCs w:val="22"/>
        </w:rPr>
        <w:t xml:space="preserve">mmunocompromised, or immunodeficient, or undergoing any form of treatment known to cause immunosuppression </w:t>
      </w:r>
    </w:p>
    <w:p w14:paraId="25A4542E" w14:textId="475273E6" w:rsidR="006C4245" w:rsidRDefault="00F56F02" w:rsidP="0001323A">
      <w:pPr>
        <w:numPr>
          <w:ilvl w:val="0"/>
          <w:numId w:val="86"/>
        </w:numPr>
        <w:spacing w:before="0" w:after="160" w:line="259" w:lineRule="auto"/>
        <w:rPr>
          <w:rFonts w:cs="Calibri"/>
          <w:szCs w:val="22"/>
        </w:rPr>
      </w:pPr>
      <w:r>
        <w:rPr>
          <w:rFonts w:cs="Calibri"/>
          <w:szCs w:val="22"/>
        </w:rPr>
        <w:t>have received p</w:t>
      </w:r>
      <w:r w:rsidR="006C4245">
        <w:rPr>
          <w:rFonts w:cs="Calibri"/>
          <w:szCs w:val="22"/>
        </w:rPr>
        <w:t>revious treatment with the GMO</w:t>
      </w:r>
    </w:p>
    <w:p w14:paraId="1D748C48" w14:textId="654C9F91" w:rsidR="00AE00A3" w:rsidRDefault="00F56F02" w:rsidP="00F56F02">
      <w:pPr>
        <w:numPr>
          <w:ilvl w:val="0"/>
          <w:numId w:val="86"/>
        </w:numPr>
        <w:spacing w:before="0" w:after="160" w:line="259" w:lineRule="auto"/>
        <w:rPr>
          <w:rFonts w:cs="Calibri"/>
          <w:szCs w:val="22"/>
        </w:rPr>
      </w:pPr>
      <w:r>
        <w:rPr>
          <w:rFonts w:cs="Calibri"/>
          <w:szCs w:val="22"/>
        </w:rPr>
        <w:t>have u</w:t>
      </w:r>
      <w:r w:rsidR="006C4245">
        <w:rPr>
          <w:rFonts w:cs="Calibri"/>
          <w:szCs w:val="22"/>
        </w:rPr>
        <w:t>se</w:t>
      </w:r>
      <w:r>
        <w:rPr>
          <w:rFonts w:cs="Calibri"/>
          <w:szCs w:val="22"/>
        </w:rPr>
        <w:t>d</w:t>
      </w:r>
      <w:r w:rsidR="006C4245">
        <w:rPr>
          <w:rFonts w:cs="Calibri"/>
          <w:szCs w:val="22"/>
        </w:rPr>
        <w:t xml:space="preserve"> other</w:t>
      </w:r>
      <w:r w:rsidR="00B00042">
        <w:rPr>
          <w:rFonts w:cs="Calibri"/>
          <w:szCs w:val="22"/>
        </w:rPr>
        <w:t xml:space="preserve"> </w:t>
      </w:r>
      <w:r w:rsidR="00AE00A3">
        <w:rPr>
          <w:rFonts w:cs="Calibri"/>
          <w:szCs w:val="22"/>
        </w:rPr>
        <w:t>adenovirus</w:t>
      </w:r>
      <w:r w:rsidR="006C4245">
        <w:rPr>
          <w:rFonts w:cs="Calibri"/>
          <w:szCs w:val="22"/>
        </w:rPr>
        <w:t>-vector based therapies with 14 days before or after instillation of the GMO</w:t>
      </w:r>
    </w:p>
    <w:p w14:paraId="18D959DC" w14:textId="4792690C" w:rsidR="00F56F02" w:rsidRPr="00F56F02" w:rsidRDefault="00F56F02" w:rsidP="00F56F02">
      <w:pPr>
        <w:numPr>
          <w:ilvl w:val="0"/>
          <w:numId w:val="86"/>
        </w:numPr>
        <w:spacing w:before="0" w:after="160" w:line="259" w:lineRule="auto"/>
        <w:rPr>
          <w:rFonts w:cs="Calibri"/>
          <w:szCs w:val="22"/>
        </w:rPr>
      </w:pPr>
      <w:r>
        <w:rPr>
          <w:rFonts w:cs="Calibri"/>
          <w:szCs w:val="22"/>
        </w:rPr>
        <w:t xml:space="preserve">Phase 3 trial only: </w:t>
      </w:r>
      <w:r w:rsidRPr="00F56F02">
        <w:rPr>
          <w:rFonts w:cs="Calibri"/>
          <w:szCs w:val="22"/>
        </w:rPr>
        <w:t xml:space="preserve">cannot hold instillation for 1 hour </w:t>
      </w:r>
    </w:p>
    <w:p w14:paraId="5F40D10D" w14:textId="39C7E5A0" w:rsidR="00F56F02" w:rsidRDefault="00F56F02" w:rsidP="00F56F02">
      <w:pPr>
        <w:numPr>
          <w:ilvl w:val="0"/>
          <w:numId w:val="86"/>
        </w:numPr>
        <w:spacing w:before="0" w:after="160" w:line="259" w:lineRule="auto"/>
        <w:rPr>
          <w:rFonts w:cs="Calibri"/>
          <w:szCs w:val="22"/>
        </w:rPr>
      </w:pPr>
      <w:r>
        <w:rPr>
          <w:rFonts w:cs="Calibri"/>
          <w:szCs w:val="22"/>
        </w:rPr>
        <w:t>Phase 3b trial only: have</w:t>
      </w:r>
      <w:r w:rsidRPr="00F56F02">
        <w:rPr>
          <w:rFonts w:cs="Calibri"/>
          <w:szCs w:val="22"/>
        </w:rPr>
        <w:t xml:space="preserve"> significant urinary incontinence or known bladder instability</w:t>
      </w:r>
    </w:p>
    <w:p w14:paraId="34E53F28" w14:textId="13CCB2E1" w:rsidR="00F56F02" w:rsidRPr="00F56F02" w:rsidRDefault="00F56F02" w:rsidP="00F56F02">
      <w:pPr>
        <w:numPr>
          <w:ilvl w:val="0"/>
          <w:numId w:val="86"/>
        </w:numPr>
        <w:spacing w:before="0" w:after="160" w:line="259" w:lineRule="auto"/>
        <w:rPr>
          <w:rFonts w:cs="Calibri"/>
          <w:szCs w:val="22"/>
        </w:rPr>
      </w:pPr>
      <w:r>
        <w:rPr>
          <w:rFonts w:cs="Calibri"/>
          <w:szCs w:val="22"/>
        </w:rPr>
        <w:t>Phase 3b trial only: have known active hepatitis B or C.</w:t>
      </w:r>
    </w:p>
    <w:p w14:paraId="283BF610" w14:textId="4FD3B971" w:rsidR="0001323A" w:rsidRPr="004E77CE"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p>
    <w:p w14:paraId="4C8D5C3C" w14:textId="7AEC533E" w:rsidR="0066244D" w:rsidRDefault="0066244D" w:rsidP="00321D13">
      <w:pPr>
        <w:pStyle w:val="4RARMP"/>
      </w:pPr>
      <w:bookmarkStart w:id="126" w:name="_Ref216279175"/>
      <w:bookmarkEnd w:id="125"/>
      <w:r>
        <w:t>Preparation of the GMO for administration</w:t>
      </w:r>
      <w:bookmarkEnd w:id="126"/>
    </w:p>
    <w:p w14:paraId="1E8E4B20" w14:textId="02AAAE37" w:rsidR="00F1309D" w:rsidRPr="003B450F" w:rsidRDefault="003B450F" w:rsidP="003B450F">
      <w:pPr>
        <w:pStyle w:val="RARMPnumberedparagraphs"/>
        <w:rPr>
          <w:rFonts w:eastAsia="Calibri"/>
          <w:lang w:eastAsia="en-US"/>
        </w:rPr>
      </w:pPr>
      <w:bookmarkStart w:id="127" w:name="_Ref216019262"/>
      <w:r>
        <w:rPr>
          <w:rFonts w:eastAsia="Calibri"/>
          <w:lang w:eastAsia="en-US"/>
        </w:rPr>
        <w:t>Qualified personnel at the trial site (e.g. pharmacists) will prepare the GMO for administration. The applicant proposes that i</w:t>
      </w:r>
      <w:r w:rsidRPr="003B450F">
        <w:rPr>
          <w:rFonts w:eastAsia="Calibri"/>
          <w:lang w:eastAsia="en-US"/>
        </w:rPr>
        <w:t>ndividuals who are immunosuppressed, immune-deficient, or pregnant should not prepare, administer, or</w:t>
      </w:r>
      <w:r>
        <w:rPr>
          <w:rFonts w:eastAsia="Calibri"/>
          <w:lang w:eastAsia="en-US"/>
        </w:rPr>
        <w:t xml:space="preserve"> </w:t>
      </w:r>
      <w:proofErr w:type="gramStart"/>
      <w:r w:rsidRPr="003B450F">
        <w:rPr>
          <w:rFonts w:eastAsia="Calibri"/>
          <w:lang w:eastAsia="en-US"/>
        </w:rPr>
        <w:t>come into contact with</w:t>
      </w:r>
      <w:proofErr w:type="gramEnd"/>
      <w:r w:rsidRPr="003B450F">
        <w:rPr>
          <w:rFonts w:eastAsia="Calibri"/>
          <w:lang w:eastAsia="en-US"/>
        </w:rPr>
        <w:t xml:space="preserve"> </w:t>
      </w:r>
      <w:r>
        <w:rPr>
          <w:rFonts w:eastAsia="Calibri"/>
          <w:lang w:eastAsia="en-US"/>
        </w:rPr>
        <w:t>the GMO</w:t>
      </w:r>
      <w:r w:rsidR="00F1309D" w:rsidRPr="003B450F">
        <w:rPr>
          <w:rFonts w:eastAsia="Calibri"/>
          <w:lang w:eastAsia="en-US"/>
        </w:rPr>
        <w:t>.</w:t>
      </w:r>
      <w:bookmarkEnd w:id="127"/>
      <w:r w:rsidR="00F1309D" w:rsidRPr="003B450F">
        <w:rPr>
          <w:rFonts w:eastAsia="Calibri"/>
          <w:lang w:eastAsia="en-US"/>
        </w:rPr>
        <w:t xml:space="preserve"> </w:t>
      </w:r>
    </w:p>
    <w:p w14:paraId="61D37531" w14:textId="06240C15" w:rsidR="00467660" w:rsidRPr="007D34EC" w:rsidRDefault="003B450F" w:rsidP="00512073">
      <w:pPr>
        <w:pStyle w:val="RARMPnumberedparagraphs"/>
      </w:pPr>
      <w:r>
        <w:t>Preparation steps will be conducted using aseptic techniques in a Class 2 biological safety cabinet (BSC-2) or equivalent to ensure sterility of the product and personnel protection.</w:t>
      </w:r>
      <w:r w:rsidR="0050101F">
        <w:t xml:space="preserve"> </w:t>
      </w:r>
      <w:r w:rsidRPr="003B450F">
        <w:t xml:space="preserve">After thawing, the contents of each </w:t>
      </w:r>
      <w:r>
        <w:t xml:space="preserve">of the 4 </w:t>
      </w:r>
      <w:r w:rsidRPr="003B450F">
        <w:t>vial</w:t>
      </w:r>
      <w:r>
        <w:t>s</w:t>
      </w:r>
      <w:r w:rsidRPr="003B450F">
        <w:t xml:space="preserve"> </w:t>
      </w:r>
      <w:r>
        <w:t>is</w:t>
      </w:r>
      <w:r w:rsidRPr="003B450F">
        <w:t xml:space="preserve"> drawn into syringes</w:t>
      </w:r>
      <w:r>
        <w:t xml:space="preserve"> and diluted to a final instillation volume of 75 mL</w:t>
      </w:r>
      <w:r w:rsidR="00512073">
        <w:t xml:space="preserve"> (3 x 10</w:t>
      </w:r>
      <w:r w:rsidR="00512073" w:rsidRPr="00512073">
        <w:rPr>
          <w:vertAlign w:val="superscript"/>
        </w:rPr>
        <w:t>11</w:t>
      </w:r>
      <w:r w:rsidR="00512073">
        <w:t xml:space="preserve"> viral particles (</w:t>
      </w:r>
      <w:proofErr w:type="spellStart"/>
      <w:r w:rsidR="00512073">
        <w:t>vp</w:t>
      </w:r>
      <w:proofErr w:type="spellEnd"/>
      <w:r w:rsidR="00512073">
        <w:t>)/mL)</w:t>
      </w:r>
      <w:r>
        <w:t xml:space="preserve">. </w:t>
      </w:r>
      <w:r w:rsidR="00512073">
        <w:t>To prevent</w:t>
      </w:r>
      <w:r>
        <w:t xml:space="preserve"> needle stick injuries, vented vial adapters are used to transfer </w:t>
      </w:r>
      <w:r w:rsidR="00512073">
        <w:t>the GMO</w:t>
      </w:r>
      <w:r>
        <w:t xml:space="preserve"> from the vial to the syringe.</w:t>
      </w:r>
    </w:p>
    <w:p w14:paraId="66E2DE18" w14:textId="1BD54798" w:rsidR="0066244D" w:rsidRDefault="00512073" w:rsidP="00321D13">
      <w:pPr>
        <w:pStyle w:val="4RARMP"/>
      </w:pPr>
      <w:r>
        <w:t>Intravesical</w:t>
      </w:r>
      <w:r w:rsidR="00C60A70">
        <w:t xml:space="preserve"> </w:t>
      </w:r>
      <w:r w:rsidR="0066244D">
        <w:t>administration of the GMO</w:t>
      </w:r>
    </w:p>
    <w:p w14:paraId="1B0AC440" w14:textId="29711976" w:rsidR="007D34EC" w:rsidRDefault="0066244D" w:rsidP="00467660">
      <w:pPr>
        <w:pStyle w:val="RARMPnumberedparagraphs"/>
      </w:pPr>
      <w:r w:rsidRPr="0066244D">
        <w:t>The GM</w:t>
      </w:r>
      <w:r w:rsidR="003224CF">
        <w:t>O</w:t>
      </w:r>
      <w:r w:rsidRPr="0066244D">
        <w:t xml:space="preserve"> </w:t>
      </w:r>
      <w:r w:rsidR="00661781">
        <w:t>would</w:t>
      </w:r>
      <w:r w:rsidR="00661781" w:rsidRPr="0066244D">
        <w:t xml:space="preserve"> </w:t>
      </w:r>
      <w:r w:rsidRPr="0066244D">
        <w:t xml:space="preserve">be administered </w:t>
      </w:r>
      <w:r w:rsidR="00740734">
        <w:t xml:space="preserve">via </w:t>
      </w:r>
      <w:r w:rsidR="00512073">
        <w:t>intravesical administration</w:t>
      </w:r>
      <w:r w:rsidRPr="0066244D">
        <w:t xml:space="preserve"> at clinical trial sites. </w:t>
      </w:r>
      <w:r w:rsidR="007D34EC">
        <w:t xml:space="preserve">The </w:t>
      </w:r>
      <w:r w:rsidR="00512073">
        <w:t>intravesical</w:t>
      </w:r>
      <w:r w:rsidR="007D34EC">
        <w:t xml:space="preserve"> administration </w:t>
      </w:r>
      <w:r w:rsidR="00661781">
        <w:t xml:space="preserve">would </w:t>
      </w:r>
      <w:r w:rsidR="007D34EC">
        <w:t xml:space="preserve">be carried out by </w:t>
      </w:r>
      <w:r w:rsidR="00512073">
        <w:t>appropriately trained clinical trial personnel (e.g. clinicians or nurses)</w:t>
      </w:r>
      <w:r w:rsidR="007D34EC">
        <w:t xml:space="preserve"> who would be wearing appropriate PPE </w:t>
      </w:r>
      <w:r w:rsidR="00512073">
        <w:t>including g</w:t>
      </w:r>
      <w:r w:rsidR="00512073" w:rsidRPr="00512073">
        <w:t>loves, eye wear (safety glasses, goggles or face shields) and lab scrubs/gowns</w:t>
      </w:r>
      <w:r w:rsidR="007D34EC">
        <w:t xml:space="preserve">. </w:t>
      </w:r>
    </w:p>
    <w:p w14:paraId="702FFAAD" w14:textId="6BBB218A" w:rsidR="007A3403" w:rsidRDefault="00512073" w:rsidP="00A81C7E">
      <w:pPr>
        <w:pStyle w:val="RARMPnumberedparagraphs"/>
      </w:pPr>
      <w:r>
        <w:t xml:space="preserve">The GMO solution (75 mL) will be instilled into the bladder </w:t>
      </w:r>
      <w:r w:rsidR="006550F5">
        <w:t xml:space="preserve">via a </w:t>
      </w:r>
      <w:r w:rsidR="006550F5" w:rsidRPr="006550F5">
        <w:t xml:space="preserve">urinary catheter </w:t>
      </w:r>
      <w:r>
        <w:t xml:space="preserve">followed by 1 hour dwell time during which the participant will be repositioned </w:t>
      </w:r>
      <w:r w:rsidR="00A81C7E">
        <w:t xml:space="preserve">every 15 minutes </w:t>
      </w:r>
      <w:r>
        <w:t>from left to right, back and abdomen to maximise</w:t>
      </w:r>
      <w:r w:rsidR="00A81C7E">
        <w:t xml:space="preserve"> </w:t>
      </w:r>
      <w:r>
        <w:t>bladder surface exposure.</w:t>
      </w:r>
      <w:r w:rsidR="00414A33">
        <w:t xml:space="preserve"> </w:t>
      </w:r>
      <w:r w:rsidR="00FB1172" w:rsidRPr="00FB1172">
        <w:t>The entire process is managed in an outpatient setting</w:t>
      </w:r>
      <w:r w:rsidR="00FB1172">
        <w:t xml:space="preserve">, </w:t>
      </w:r>
      <w:r w:rsidR="00FB1172" w:rsidRPr="00FB1172">
        <w:t>amounting to roughly 2 to 2.5 hours in total</w:t>
      </w:r>
      <w:r w:rsidR="00FB1172">
        <w:t xml:space="preserve"> </w:t>
      </w:r>
      <w:r w:rsidR="00FB1172" w:rsidRPr="00FB1172">
        <w:t xml:space="preserve">per visit </w:t>
      </w:r>
      <w:r w:rsidR="00FB1172">
        <w:t>for trial participants.</w:t>
      </w:r>
    </w:p>
    <w:p w14:paraId="0C66A9A2" w14:textId="77777777" w:rsidR="00467660" w:rsidRDefault="00467660" w:rsidP="00321D13">
      <w:pPr>
        <w:pStyle w:val="4RARMP"/>
      </w:pPr>
      <w:r>
        <w:t>Decontamination and disposal of the GMO</w:t>
      </w:r>
    </w:p>
    <w:p w14:paraId="655BABA1" w14:textId="65D88A48" w:rsidR="002D117A" w:rsidRPr="002D117A" w:rsidRDefault="00467660" w:rsidP="00512073">
      <w:pPr>
        <w:pStyle w:val="RARMPnumberedparagraphs"/>
      </w:pPr>
      <w:r w:rsidRPr="0066244D">
        <w:t xml:space="preserve">Following administration, all residual </w:t>
      </w:r>
      <w:r w:rsidR="007C3C2F">
        <w:t xml:space="preserve">GMO </w:t>
      </w:r>
      <w:r w:rsidRPr="0066244D">
        <w:t>and associated waste which has</w:t>
      </w:r>
      <w:r w:rsidR="007C3C2F">
        <w:t xml:space="preserve"> </w:t>
      </w:r>
      <w:proofErr w:type="gramStart"/>
      <w:r w:rsidR="007C3C2F">
        <w:t>come into contact with</w:t>
      </w:r>
      <w:proofErr w:type="gramEnd"/>
      <w:r w:rsidR="007C3C2F">
        <w:t xml:space="preserve"> the GMO </w:t>
      </w:r>
      <w:r w:rsidRPr="0066244D">
        <w:t>w</w:t>
      </w:r>
      <w:r w:rsidR="00F47982">
        <w:t>ou</w:t>
      </w:r>
      <w:r w:rsidRPr="0066244D">
        <w:t>l</w:t>
      </w:r>
      <w:r w:rsidR="00F47982">
        <w:t>d</w:t>
      </w:r>
      <w:r w:rsidRPr="0066244D">
        <w:t xml:space="preserve"> be </w:t>
      </w:r>
      <w:r w:rsidR="007C3C2F">
        <w:t xml:space="preserve">disposed </w:t>
      </w:r>
      <w:r w:rsidR="00F47982">
        <w:t xml:space="preserve">of </w:t>
      </w:r>
      <w:r w:rsidR="007C3C2F" w:rsidRPr="0066244D">
        <w:t>in accordance with the relevant State and Territory legislat</w:t>
      </w:r>
      <w:r w:rsidR="00CB0BE4">
        <w:t>e</w:t>
      </w:r>
      <w:r w:rsidR="00423C2D">
        <w:t>d</w:t>
      </w:r>
      <w:r w:rsidR="007C3C2F" w:rsidRPr="0066244D">
        <w:t xml:space="preserve"> procedures for clinical/medical waste disposal</w:t>
      </w:r>
      <w:r w:rsidR="009B5605">
        <w:t>,</w:t>
      </w:r>
      <w:r w:rsidR="007C3C2F" w:rsidRPr="0066244D">
        <w:t xml:space="preserve"> </w:t>
      </w:r>
      <w:r w:rsidR="00F47982">
        <w:t>which can include</w:t>
      </w:r>
      <w:r w:rsidR="007C3C2F" w:rsidRPr="0066244D">
        <w:t xml:space="preserve"> high temperature incineration</w:t>
      </w:r>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w:t>
      </w:r>
      <w:r w:rsidR="00665948">
        <w:t>ould</w:t>
      </w:r>
      <w:r w:rsidRPr="0066244D">
        <w:t xml:space="preserve"> be </w:t>
      </w:r>
      <w:r w:rsidR="00701CC0">
        <w:t xml:space="preserve">also </w:t>
      </w:r>
      <w:r w:rsidRPr="0066244D">
        <w:t xml:space="preserve">disposed </w:t>
      </w:r>
      <w:r w:rsidR="00D7118A">
        <w:t xml:space="preserve">of </w:t>
      </w:r>
      <w:r w:rsidR="00701CC0">
        <w:t xml:space="preserve">using </w:t>
      </w:r>
      <w:r w:rsidR="00CD4131">
        <w:t>the same process.</w:t>
      </w:r>
      <w:r w:rsidR="007C3C2F">
        <w:t xml:space="preserve"> Disposal </w:t>
      </w:r>
      <w:r w:rsidR="00E54946">
        <w:t>w</w:t>
      </w:r>
      <w:r w:rsidR="00665948">
        <w:t>ould</w:t>
      </w:r>
      <w:r w:rsidR="007C3C2F">
        <w:t xml:space="preserve"> be carried out by external service providers</w:t>
      </w:r>
      <w:r w:rsidR="00AE18AA">
        <w:t xml:space="preserve"> via the clinical waste stream</w:t>
      </w:r>
      <w:r>
        <w:t>.</w:t>
      </w:r>
    </w:p>
    <w:p w14:paraId="1B113B9D" w14:textId="539B1558" w:rsidR="007C3C2F" w:rsidRDefault="00C04501" w:rsidP="00467660">
      <w:pPr>
        <w:pStyle w:val="RARMPnumberedparagraphs"/>
      </w:pPr>
      <w:r>
        <w:t xml:space="preserve">Any surfaces or equipment that </w:t>
      </w:r>
      <w:proofErr w:type="gramStart"/>
      <w:r>
        <w:t>come into contact with</w:t>
      </w:r>
      <w:proofErr w:type="gramEnd"/>
      <w:r>
        <w:t xml:space="preserve"> the GMO will be decontaminated using an effective disinfectant, including </w:t>
      </w:r>
      <w:r w:rsidRPr="00C04501">
        <w:t>0.25% p</w:t>
      </w:r>
      <w:r w:rsidR="0098338F">
        <w:t>e</w:t>
      </w:r>
      <w:r w:rsidRPr="00C04501">
        <w:t>racetic acid, iodine, 10% bleach</w:t>
      </w:r>
      <w:r>
        <w:t xml:space="preserve"> or </w:t>
      </w:r>
      <w:r w:rsidRPr="00C04501">
        <w:t>0.5 % sodium hypochlorite</w:t>
      </w:r>
      <w:r>
        <w:t>.</w:t>
      </w:r>
    </w:p>
    <w:p w14:paraId="0FAF3873" w14:textId="40E0E4C4" w:rsidR="00A81C7E" w:rsidRPr="00467660" w:rsidRDefault="00A81C7E" w:rsidP="00A81C7E">
      <w:pPr>
        <w:pStyle w:val="RARMPnumberedparagraphs"/>
      </w:pPr>
      <w:r>
        <w:t xml:space="preserve">As there may be transient, low-level shedding of the GMO in urine for several days after administration, </w:t>
      </w:r>
      <w:r w:rsidR="00B16337">
        <w:t xml:space="preserve">the applicant has proposed that </w:t>
      </w:r>
      <w:r>
        <w:t>for 2 days after instillation</w:t>
      </w:r>
      <w:r w:rsidR="00EF08CF">
        <w:t>,</w:t>
      </w:r>
      <w:r>
        <w:t xml:space="preserve"> the participants will be instructed to add an equal volume of virucidal agent to the toilet bowl prior to voiding and wait 15 minutes before flushing the toilet.</w:t>
      </w:r>
      <w:r w:rsidR="00765C1A">
        <w:t xml:space="preserve"> This is consistent with the </w:t>
      </w:r>
      <w:hyperlink r:id="rId26" w:history="1">
        <w:r w:rsidR="00765C1A" w:rsidRPr="00390023">
          <w:rPr>
            <w:rStyle w:val="Hyperlink"/>
          </w:rPr>
          <w:t>package insert</w:t>
        </w:r>
      </w:hyperlink>
      <w:r w:rsidR="00765C1A">
        <w:t xml:space="preserve"> issued by the </w:t>
      </w:r>
      <w:r w:rsidR="0099056C">
        <w:t xml:space="preserve">United </w:t>
      </w:r>
      <w:r w:rsidR="0099056C">
        <w:lastRenderedPageBreak/>
        <w:t>States Food and Drug Administration (</w:t>
      </w:r>
      <w:r w:rsidR="00765C1A">
        <w:t>FDA</w:t>
      </w:r>
      <w:r w:rsidR="0099056C">
        <w:t>)</w:t>
      </w:r>
      <w:r w:rsidR="00390023">
        <w:t xml:space="preserve"> for the commercial supply of the GMO under the tradename ADSTILADRIN</w:t>
      </w:r>
      <w:r w:rsidR="00765C1A">
        <w:t>.</w:t>
      </w:r>
    </w:p>
    <w:p w14:paraId="40062206" w14:textId="7BE72A28" w:rsidR="0066244D" w:rsidRDefault="0066244D" w:rsidP="00321D13">
      <w:pPr>
        <w:pStyle w:val="4RARMP"/>
      </w:pPr>
      <w:r>
        <w:t>Sample collection and analysis</w:t>
      </w:r>
    </w:p>
    <w:p w14:paraId="656B45D1" w14:textId="0E7B5EA3" w:rsidR="00467660" w:rsidRDefault="00CA6E01" w:rsidP="00467660">
      <w:pPr>
        <w:pStyle w:val="RARMPnumberedparagraphs"/>
      </w:pPr>
      <w:r>
        <w:t xml:space="preserve">Biological samples </w:t>
      </w:r>
      <w:r w:rsidR="00482286">
        <w:t>such as blood</w:t>
      </w:r>
      <w:r w:rsidR="00A1391E">
        <w:t xml:space="preserve">, urine, </w:t>
      </w:r>
      <w:r w:rsidR="0010495F">
        <w:t>and tissue biopsies (bladder and/or prostatic urethra) for disease evaluation and pregnancy testing (if clinically indicated) will be collected prior to each dose of the GMO.</w:t>
      </w:r>
    </w:p>
    <w:p w14:paraId="105EBDB3" w14:textId="0EDD6EE1" w:rsidR="0010495F" w:rsidRDefault="0010495F" w:rsidP="00467660">
      <w:pPr>
        <w:pStyle w:val="RARMPnumberedparagraphs"/>
      </w:pPr>
      <w:r>
        <w:t>The s</w:t>
      </w:r>
      <w:r w:rsidRPr="0010495F">
        <w:t>amples will be collected by clinicians</w:t>
      </w:r>
      <w:r>
        <w:t xml:space="preserve"> or </w:t>
      </w:r>
      <w:r w:rsidRPr="0010495F">
        <w:t xml:space="preserve">nurses at participating sites as per </w:t>
      </w:r>
      <w:r w:rsidR="00FF5669">
        <w:t xml:space="preserve">the </w:t>
      </w:r>
      <w:r w:rsidRPr="0010495F">
        <w:t>site’s standard operating procedures</w:t>
      </w:r>
      <w:r w:rsidR="00FF5669">
        <w:t xml:space="preserve">, including while wearing PPE such as </w:t>
      </w:r>
      <w:r w:rsidR="00FF5669" w:rsidRPr="00FF5669">
        <w:t xml:space="preserve">gloves, mask and eye wear </w:t>
      </w:r>
      <w:r w:rsidR="00FF5669">
        <w:t>(</w:t>
      </w:r>
      <w:r w:rsidR="00FF5669" w:rsidRPr="00FF5669">
        <w:t>safety glasses, googles or face shields</w:t>
      </w:r>
      <w:r w:rsidR="00FF5669">
        <w:t>). In addition,</w:t>
      </w:r>
      <w:r>
        <w:t xml:space="preserve"> a </w:t>
      </w:r>
      <w:r w:rsidRPr="0010495F">
        <w:t>trial-specific laboratory manual will be provided to the participating sites</w:t>
      </w:r>
      <w:r>
        <w:t xml:space="preserve"> </w:t>
      </w:r>
      <w:r w:rsidRPr="0010495F">
        <w:t>describing in detail how to handle, store and transport the biological samples</w:t>
      </w:r>
      <w:r>
        <w:t>.</w:t>
      </w:r>
    </w:p>
    <w:p w14:paraId="6E4946E0" w14:textId="118BF456" w:rsidR="00467660" w:rsidRDefault="00467660" w:rsidP="00467660">
      <w:pPr>
        <w:pStyle w:val="RARMPnumberedparagraphs"/>
      </w:pPr>
      <w:r>
        <w:t xml:space="preserve">After collection, </w:t>
      </w:r>
      <w:r w:rsidR="005355D9">
        <w:t>clinical site staff may need to process the samples according to the study protocol</w:t>
      </w:r>
      <w:r>
        <w:t>.</w:t>
      </w:r>
      <w:r w:rsidR="00B4044E">
        <w:t xml:space="preserve"> All sample processing </w:t>
      </w:r>
      <w:r w:rsidR="00EE7EDC">
        <w:t xml:space="preserve">steps </w:t>
      </w:r>
      <w:r w:rsidR="00DB592B">
        <w:t xml:space="preserve">would </w:t>
      </w:r>
      <w:r w:rsidR="00EE7EDC">
        <w:t xml:space="preserve">be performed following appropriate safety precautions and in compliance with </w:t>
      </w:r>
      <w:r w:rsidR="009E477C">
        <w:t xml:space="preserve">standard clinical pathology procedures </w:t>
      </w:r>
      <w:r w:rsidR="00535E00">
        <w:t xml:space="preserve">or other relevant guidelines. </w:t>
      </w:r>
    </w:p>
    <w:p w14:paraId="293D3B8F" w14:textId="68D4D0EF" w:rsidR="00535E00" w:rsidRDefault="0010495F" w:rsidP="00467660">
      <w:pPr>
        <w:pStyle w:val="RARMPnumberedparagraphs"/>
      </w:pPr>
      <w:r>
        <w:t>Samples may be analysed at the clinical trial sites, transported to a central</w:t>
      </w:r>
      <w:r w:rsidR="000353A8">
        <w:t xml:space="preserve"> laboratory </w:t>
      </w:r>
      <w:r w:rsidR="00C62988">
        <w:t xml:space="preserve">in Australia </w:t>
      </w:r>
      <w:r w:rsidR="000353A8">
        <w:t xml:space="preserve">or exported </w:t>
      </w:r>
      <w:r w:rsidR="009F15CE">
        <w:t xml:space="preserve">for analysis. </w:t>
      </w:r>
    </w:p>
    <w:p w14:paraId="458C42AB" w14:textId="567D6977" w:rsidR="0066244D" w:rsidRPr="00FF5669" w:rsidRDefault="0066244D" w:rsidP="00321D13">
      <w:pPr>
        <w:pStyle w:val="4RARMP"/>
      </w:pPr>
      <w:r w:rsidRPr="00FF5669">
        <w:t>Personal protective clothing</w:t>
      </w:r>
    </w:p>
    <w:p w14:paraId="10CB6568" w14:textId="411F490D" w:rsidR="00420205" w:rsidRDefault="00420205" w:rsidP="00420205">
      <w:pPr>
        <w:pStyle w:val="RARMPnumberedparagraphs"/>
      </w:pPr>
      <w:r>
        <w:t xml:space="preserve">Clinical trial staff </w:t>
      </w:r>
      <w:r w:rsidR="00F47982">
        <w:t>involved in the preparation</w:t>
      </w:r>
      <w:r w:rsidR="00C62988">
        <w:t xml:space="preserve"> and </w:t>
      </w:r>
      <w:r>
        <w:t xml:space="preserve">administration of the GMO to trial participants and </w:t>
      </w:r>
      <w:r w:rsidR="00F47982">
        <w:t xml:space="preserve">in the </w:t>
      </w:r>
      <w:r>
        <w:t xml:space="preserve">clean-up of spills </w:t>
      </w:r>
      <w:r w:rsidR="00E54946">
        <w:t>w</w:t>
      </w:r>
      <w:r w:rsidR="00F47982">
        <w:t>ould</w:t>
      </w:r>
      <w:r>
        <w:t xml:space="preserve"> wear </w:t>
      </w:r>
      <w:r w:rsidR="00A759FF">
        <w:t>PPE</w:t>
      </w:r>
      <w:r w:rsidR="00512073">
        <w:t xml:space="preserve">, for example </w:t>
      </w:r>
      <w:r w:rsidR="00A759FF" w:rsidRPr="00A759FF">
        <w:t xml:space="preserve">gloves, gown, plastic apron, surgical mask, </w:t>
      </w:r>
      <w:r w:rsidR="00512073">
        <w:t>and eye wear (safety glasses, goggles or face shield)</w:t>
      </w:r>
      <w:r>
        <w:t xml:space="preserve">. </w:t>
      </w:r>
    </w:p>
    <w:p w14:paraId="3754D312" w14:textId="58B5B46F" w:rsidR="0066244D" w:rsidRPr="00FF5669" w:rsidRDefault="0066244D" w:rsidP="00321D13">
      <w:pPr>
        <w:pStyle w:val="4RARMP"/>
      </w:pPr>
      <w:bookmarkStart w:id="128" w:name="_Ref66355079"/>
      <w:r w:rsidRPr="00FF5669">
        <w:t>Training</w:t>
      </w:r>
      <w:bookmarkEnd w:id="128"/>
    </w:p>
    <w:p w14:paraId="1F7E2D36" w14:textId="18B51BA2" w:rsidR="00215EFE" w:rsidRDefault="00A759FF" w:rsidP="00CD4131">
      <w:pPr>
        <w:pStyle w:val="RARMPnumberedparagraphs"/>
      </w:pPr>
      <w:r>
        <w:t>Ferring</w:t>
      </w:r>
      <w:r w:rsidR="00215EFE">
        <w:t xml:space="preserve"> would have responsibility for ensuring training of personnel and compliance with licence conditions. </w:t>
      </w:r>
    </w:p>
    <w:p w14:paraId="0956D53E" w14:textId="43181C34" w:rsidR="003E1F9E" w:rsidRDefault="003E1F9E" w:rsidP="00CD4131">
      <w:pPr>
        <w:pStyle w:val="RARMPnumberedparagraphs"/>
      </w:pPr>
      <w:r>
        <w:t xml:space="preserve">The applicant has </w:t>
      </w:r>
      <w:r w:rsidR="00C62988">
        <w:t xml:space="preserve">indicated </w:t>
      </w:r>
      <w:r>
        <w:t xml:space="preserve">that appropriate training </w:t>
      </w:r>
      <w:r w:rsidR="00F00DD3">
        <w:t xml:space="preserve">materials </w:t>
      </w:r>
      <w:r>
        <w:t>(e.g. training i</w:t>
      </w:r>
      <w:r w:rsidR="00DE1360">
        <w:t>n</w:t>
      </w:r>
      <w:r>
        <w:t xml:space="preserve"> all procedures specific to the GMO including preparation</w:t>
      </w:r>
      <w:r w:rsidR="00B444FE">
        <w:t xml:space="preserve">, handling, administration, spill procedures, containment and disposal etc.) </w:t>
      </w:r>
      <w:r w:rsidR="00181A35">
        <w:t xml:space="preserve">would </w:t>
      </w:r>
      <w:r w:rsidR="00B444FE">
        <w:t xml:space="preserve">be provided to all </w:t>
      </w:r>
      <w:r w:rsidR="00B20748">
        <w:t xml:space="preserve">personnel involved in the trial. </w:t>
      </w:r>
    </w:p>
    <w:p w14:paraId="4DD7EAA7" w14:textId="38855901" w:rsidR="00CD4131" w:rsidRPr="00B0496A" w:rsidRDefault="00296264" w:rsidP="00CD4131">
      <w:pPr>
        <w:pStyle w:val="RARMPnumberedparagraphs"/>
      </w:pPr>
      <w:r>
        <w:t xml:space="preserve">The doses of GMO </w:t>
      </w:r>
      <w:r w:rsidR="00181A35">
        <w:t xml:space="preserve">would </w:t>
      </w:r>
      <w:r>
        <w:t xml:space="preserve">be prepared by trained </w:t>
      </w:r>
      <w:r w:rsidR="00DA2010">
        <w:t>pharmacists or pharmacy technicians in a BSC-2</w:t>
      </w:r>
      <w:r w:rsidR="000E56D4">
        <w:t>. Those staff would be trained on the preparation of the GMO and handling of sharps to minimise the likelihood of exposure.</w:t>
      </w:r>
    </w:p>
    <w:p w14:paraId="37B84004" w14:textId="6A42A324" w:rsidR="00DD3088" w:rsidRDefault="0066244D" w:rsidP="00321D13">
      <w:pPr>
        <w:pStyle w:val="4RARMP"/>
      </w:pPr>
      <w:r>
        <w:t>Accountability and Monitoring</w:t>
      </w:r>
    </w:p>
    <w:p w14:paraId="7C0B47D8" w14:textId="211EFEE8" w:rsidR="005153A1" w:rsidRPr="005153A1" w:rsidRDefault="00BC7478" w:rsidP="007C3C2F">
      <w:pPr>
        <w:pStyle w:val="RARMPnumberedparagraphs"/>
      </w:pPr>
      <w:r>
        <w:rPr>
          <w:bCs/>
          <w:lang w:val="en-US"/>
        </w:rPr>
        <w:t xml:space="preserve">The applicant has proposed that trial participants </w:t>
      </w:r>
      <w:r w:rsidR="00181A35">
        <w:rPr>
          <w:bCs/>
          <w:lang w:val="en-US"/>
        </w:rPr>
        <w:t xml:space="preserve">would </w:t>
      </w:r>
      <w:r>
        <w:rPr>
          <w:bCs/>
          <w:lang w:val="en-US"/>
        </w:rPr>
        <w:t xml:space="preserve">be instructed to monitor themselves for </w:t>
      </w:r>
      <w:r w:rsidR="00A8337B">
        <w:rPr>
          <w:bCs/>
          <w:lang w:val="en-US"/>
        </w:rPr>
        <w:t xml:space="preserve">signs of infection or adverse reactions such as fever, </w:t>
      </w:r>
      <w:r w:rsidR="00407D19">
        <w:rPr>
          <w:bCs/>
          <w:lang w:val="en-US"/>
        </w:rPr>
        <w:t>flu-like symptoms or injection site reactions</w:t>
      </w:r>
      <w:r w:rsidR="00AC2564">
        <w:rPr>
          <w:bCs/>
          <w:lang w:val="en-US"/>
        </w:rPr>
        <w:t>.</w:t>
      </w:r>
    </w:p>
    <w:p w14:paraId="19797D0A" w14:textId="278CBB49" w:rsidR="007C3C2F" w:rsidRPr="00CD4131" w:rsidRDefault="005153A1" w:rsidP="007C3C2F">
      <w:pPr>
        <w:pStyle w:val="RARMPnumberedparagraphs"/>
      </w:pPr>
      <w:r>
        <w:rPr>
          <w:bCs/>
          <w:lang w:val="en-US"/>
        </w:rPr>
        <w:t xml:space="preserve">Any unintended exposure to the GMO through injury or direct contact would be reported to the Regulator. </w:t>
      </w:r>
      <w:r w:rsidR="00AC2564">
        <w:rPr>
          <w:bCs/>
          <w:lang w:val="en-US"/>
        </w:rPr>
        <w:t xml:space="preserve"> </w:t>
      </w:r>
    </w:p>
    <w:p w14:paraId="4582F23D" w14:textId="47571BB1" w:rsidR="00CD4131" w:rsidRPr="00FF5669" w:rsidRDefault="00CD4131" w:rsidP="00321D13">
      <w:pPr>
        <w:pStyle w:val="4RARMP"/>
      </w:pPr>
      <w:r w:rsidRPr="00FF5669">
        <w:t>Contingency plans</w:t>
      </w:r>
    </w:p>
    <w:p w14:paraId="0283EFA9" w14:textId="019F9738" w:rsidR="00CC67E8" w:rsidRDefault="00611489" w:rsidP="002A3513">
      <w:pPr>
        <w:pStyle w:val="RARMPnumberedparagraphs"/>
      </w:pPr>
      <w:r>
        <w:t xml:space="preserve">In the event of </w:t>
      </w:r>
      <w:r w:rsidR="001312BF">
        <w:t>exposure of people to the GMO via sharps injury or contact with broken skin, the applicant p</w:t>
      </w:r>
      <w:r w:rsidR="002026A9">
        <w:t xml:space="preserve">roposes </w:t>
      </w:r>
      <w:r w:rsidR="00D46357">
        <w:t xml:space="preserve">such persons </w:t>
      </w:r>
      <w:r w:rsidR="003846D0">
        <w:t xml:space="preserve">would </w:t>
      </w:r>
      <w:r w:rsidR="00D46357">
        <w:t>be instructed to</w:t>
      </w:r>
      <w:r w:rsidR="002A3513">
        <w:t xml:space="preserve"> i</w:t>
      </w:r>
      <w:r w:rsidR="00D46357">
        <w:t xml:space="preserve">mplement institutional </w:t>
      </w:r>
      <w:r w:rsidR="00CC67E8">
        <w:t>needlestick or exposure guidelines</w:t>
      </w:r>
      <w:r w:rsidR="002A3513">
        <w:t>, which may include the following:</w:t>
      </w:r>
    </w:p>
    <w:p w14:paraId="55745112" w14:textId="259D18C2" w:rsidR="002A3513" w:rsidRDefault="00DE1360" w:rsidP="00D46357">
      <w:pPr>
        <w:pStyle w:val="RARMPnumberedparagraphs"/>
        <w:numPr>
          <w:ilvl w:val="1"/>
          <w:numId w:val="5"/>
        </w:numPr>
      </w:pPr>
      <w:r>
        <w:t>e</w:t>
      </w:r>
      <w:r w:rsidR="002A3513">
        <w:t xml:space="preserve">ncourage bleeding at the </w:t>
      </w:r>
      <w:proofErr w:type="gramStart"/>
      <w:r w:rsidR="002A3513">
        <w:t>site;</w:t>
      </w:r>
      <w:proofErr w:type="gramEnd"/>
    </w:p>
    <w:p w14:paraId="488F41CF" w14:textId="456C8F65" w:rsidR="00CC67E8" w:rsidRDefault="00DE1360" w:rsidP="00D46357">
      <w:pPr>
        <w:pStyle w:val="RARMPnumberedparagraphs"/>
        <w:numPr>
          <w:ilvl w:val="1"/>
          <w:numId w:val="5"/>
        </w:numPr>
      </w:pPr>
      <w:r>
        <w:t>w</w:t>
      </w:r>
      <w:r w:rsidR="00CC67E8">
        <w:t xml:space="preserve">ash the area thoroughly with soap and </w:t>
      </w:r>
      <w:proofErr w:type="gramStart"/>
      <w:r w:rsidR="00CC67E8">
        <w:t>water;</w:t>
      </w:r>
      <w:proofErr w:type="gramEnd"/>
    </w:p>
    <w:p w14:paraId="24831F98" w14:textId="31DD2092" w:rsidR="0030179B" w:rsidRDefault="00DE1360" w:rsidP="00D46357">
      <w:pPr>
        <w:pStyle w:val="RARMPnumberedparagraphs"/>
        <w:numPr>
          <w:ilvl w:val="1"/>
          <w:numId w:val="5"/>
        </w:numPr>
      </w:pPr>
      <w:r>
        <w:t>s</w:t>
      </w:r>
      <w:r w:rsidR="002A3513">
        <w:t>eek appropriate medical attention</w:t>
      </w:r>
      <w:r w:rsidR="0030179B">
        <w:t>;</w:t>
      </w:r>
      <w:r w:rsidR="0045169F">
        <w:t xml:space="preserve"> and</w:t>
      </w:r>
    </w:p>
    <w:p w14:paraId="319FEDDB" w14:textId="0B375F74" w:rsidR="00CD4131" w:rsidRDefault="00DE1360" w:rsidP="00D46357">
      <w:pPr>
        <w:pStyle w:val="RARMPnumberedparagraphs"/>
        <w:numPr>
          <w:ilvl w:val="1"/>
          <w:numId w:val="5"/>
        </w:numPr>
      </w:pPr>
      <w:r>
        <w:t>r</w:t>
      </w:r>
      <w:r w:rsidR="0030179B">
        <w:t xml:space="preserve">eport the incident to the </w:t>
      </w:r>
      <w:r w:rsidR="002A3513">
        <w:t xml:space="preserve">principal investigator, who will inform the </w:t>
      </w:r>
      <w:r w:rsidR="00AD384B">
        <w:t xml:space="preserve">licence holder, </w:t>
      </w:r>
      <w:r w:rsidR="002A3513">
        <w:t>who will notify the Regulator</w:t>
      </w:r>
      <w:r w:rsidR="00CD4131">
        <w:t>.</w:t>
      </w:r>
    </w:p>
    <w:p w14:paraId="526C7114" w14:textId="6A62C477" w:rsidR="00D3674C" w:rsidRDefault="005D238F" w:rsidP="00D3674C">
      <w:pPr>
        <w:pStyle w:val="RARMPnumberedparagraphs"/>
      </w:pPr>
      <w:r>
        <w:lastRenderedPageBreak/>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 xml:space="preserve">ucted to follow spill management procedures, including </w:t>
      </w:r>
      <w:proofErr w:type="gramStart"/>
      <w:r w:rsidR="00230B7C">
        <w:t>that;</w:t>
      </w:r>
      <w:proofErr w:type="gramEnd"/>
    </w:p>
    <w:p w14:paraId="20260745" w14:textId="66559385" w:rsidR="00230B7C" w:rsidRDefault="00DE1360" w:rsidP="00230B7C">
      <w:pPr>
        <w:pStyle w:val="RARMPnumberedparagraphs"/>
        <w:numPr>
          <w:ilvl w:val="1"/>
          <w:numId w:val="5"/>
        </w:numPr>
      </w:pPr>
      <w:r>
        <w:t>t</w:t>
      </w:r>
      <w:r w:rsidR="00230B7C">
        <w:t xml:space="preserve">he GMO will be contained to prevent further </w:t>
      </w:r>
      <w:proofErr w:type="gramStart"/>
      <w:r w:rsidR="00230B7C">
        <w:t>dispersal;</w:t>
      </w:r>
      <w:proofErr w:type="gramEnd"/>
    </w:p>
    <w:p w14:paraId="0E3A3C2D" w14:textId="7C093FDC" w:rsidR="00230B7C" w:rsidRDefault="00DE1360" w:rsidP="00230B7C">
      <w:pPr>
        <w:pStyle w:val="RARMPnumberedparagraphs"/>
        <w:numPr>
          <w:ilvl w:val="1"/>
          <w:numId w:val="5"/>
        </w:numPr>
      </w:pPr>
      <w:r>
        <w:t>p</w:t>
      </w:r>
      <w:r w:rsidR="00230B7C">
        <w:t>ersons cleaning up the GMO will wear PPE</w:t>
      </w:r>
      <w:r w:rsidR="00125BDC">
        <w:t xml:space="preserve"> including gloves, gown, </w:t>
      </w:r>
      <w:r w:rsidR="002A3513">
        <w:t>plastic apron, surgical mask</w:t>
      </w:r>
      <w:r w:rsidR="00125BDC">
        <w:t xml:space="preserve">, and </w:t>
      </w:r>
      <w:r w:rsidR="002A3513">
        <w:t>eye shield</w:t>
      </w:r>
      <w:r w:rsidR="00125BDC">
        <w:t xml:space="preserve"> or </w:t>
      </w:r>
      <w:proofErr w:type="gramStart"/>
      <w:r w:rsidR="002A3513">
        <w:t>goggles</w:t>
      </w:r>
      <w:r w:rsidR="00125BDC">
        <w:t>;</w:t>
      </w:r>
      <w:proofErr w:type="gramEnd"/>
    </w:p>
    <w:p w14:paraId="22BA9FD6" w14:textId="09E3E65E" w:rsidR="00125BDC" w:rsidRDefault="00DE1360" w:rsidP="00230B7C">
      <w:pPr>
        <w:pStyle w:val="RARMPnumberedparagraphs"/>
        <w:numPr>
          <w:ilvl w:val="1"/>
          <w:numId w:val="5"/>
        </w:numPr>
      </w:pPr>
      <w:r>
        <w:t>t</w:t>
      </w:r>
      <w:r w:rsidR="00C442D1">
        <w:t xml:space="preserve">he exposed area will be decontaminated with an appropriate chemical disinfectant effective against the </w:t>
      </w:r>
      <w:proofErr w:type="gramStart"/>
      <w:r w:rsidR="00C442D1">
        <w:t>GMO;</w:t>
      </w:r>
      <w:proofErr w:type="gramEnd"/>
    </w:p>
    <w:p w14:paraId="531BF8DC" w14:textId="243707FE" w:rsidR="00C442D1" w:rsidRDefault="00DE1360" w:rsidP="00230B7C">
      <w:pPr>
        <w:pStyle w:val="RARMPnumberedparagraphs"/>
        <w:numPr>
          <w:ilvl w:val="1"/>
          <w:numId w:val="5"/>
        </w:numPr>
      </w:pPr>
      <w:r>
        <w:t>a</w:t>
      </w:r>
      <w:r w:rsidR="00C442D1">
        <w:t xml:space="preserve">ny material used to clean up the spill </w:t>
      </w:r>
      <w:r w:rsidR="00365DDA">
        <w:t xml:space="preserve">or PPE worn during the </w:t>
      </w:r>
      <w:r>
        <w:t>clean-up</w:t>
      </w:r>
      <w:r w:rsidR="00365DDA">
        <w:t xml:space="preserve"> will be </w:t>
      </w:r>
      <w:proofErr w:type="gramStart"/>
      <w:r w:rsidR="00365DDA">
        <w:t>decontaminated;</w:t>
      </w:r>
      <w:proofErr w:type="gramEnd"/>
    </w:p>
    <w:p w14:paraId="3424386C" w14:textId="6E3A5B69" w:rsidR="00365DDA" w:rsidRDefault="00DE1360" w:rsidP="00230B7C">
      <w:pPr>
        <w:pStyle w:val="RARMPnumberedparagraphs"/>
        <w:numPr>
          <w:ilvl w:val="1"/>
          <w:numId w:val="5"/>
        </w:numPr>
      </w:pPr>
      <w:r>
        <w:t>c</w:t>
      </w:r>
      <w:r w:rsidR="00365DDA">
        <w:t>linical trial staff will notify the licence holder as soon as reasonably practicable</w:t>
      </w:r>
      <w:r w:rsidR="0070543C">
        <w:t>;</w:t>
      </w:r>
      <w:r>
        <w:t xml:space="preserve"> and</w:t>
      </w:r>
    </w:p>
    <w:p w14:paraId="71B18B9D" w14:textId="4FD1B791" w:rsidR="0070543C" w:rsidRPr="00E52B4D" w:rsidRDefault="00DE1360" w:rsidP="00230B7C">
      <w:pPr>
        <w:pStyle w:val="RARMPnumberedparagraphs"/>
        <w:numPr>
          <w:ilvl w:val="1"/>
          <w:numId w:val="5"/>
        </w:numPr>
      </w:pPr>
      <w:r>
        <w:t>t</w:t>
      </w:r>
      <w:r w:rsidR="0070543C">
        <w:t xml:space="preserve">he licence holder will notify the Regulator as soon as reasonably practicable. </w:t>
      </w:r>
    </w:p>
    <w:p w14:paraId="08D96F19" w14:textId="32EE7FC7" w:rsidR="00A63D42" w:rsidRPr="00342143" w:rsidRDefault="006F39CD" w:rsidP="006E06B6">
      <w:pPr>
        <w:pStyle w:val="2RARMP"/>
      </w:pPr>
      <w:bookmarkStart w:id="129" w:name="_Toc47536745"/>
      <w:bookmarkStart w:id="130" w:name="_Ref57119182"/>
      <w:bookmarkStart w:id="131" w:name="_Toc226974999"/>
      <w:r w:rsidRPr="00342143">
        <w:t>P</w:t>
      </w:r>
      <w:r w:rsidR="00A63D42" w:rsidRPr="00342143">
        <w:t>arent organism</w:t>
      </w:r>
      <w:bookmarkEnd w:id="129"/>
      <w:bookmarkEnd w:id="130"/>
      <w:bookmarkEnd w:id="131"/>
    </w:p>
    <w:p w14:paraId="1887D72B" w14:textId="2D07DF34" w:rsidR="006F39CD" w:rsidRPr="00342143" w:rsidRDefault="00DF34BB" w:rsidP="00D808EE">
      <w:pPr>
        <w:pStyle w:val="RARMPnumberedparagraphs"/>
        <w:rPr>
          <w:rFonts w:cs="Calibri"/>
          <w:szCs w:val="22"/>
        </w:rPr>
      </w:pPr>
      <w:bookmarkStart w:id="132" w:name="_Toc94337968"/>
      <w:bookmarkStart w:id="133" w:name="_Toc97019190"/>
      <w:bookmarkStart w:id="134" w:name="_Toc121209907"/>
      <w:bookmarkEnd w:id="73"/>
      <w:bookmarkEnd w:id="74"/>
      <w:bookmarkEnd w:id="75"/>
      <w:r w:rsidRPr="00342143">
        <w:rPr>
          <w:szCs w:val="22"/>
        </w:rPr>
        <w:t>The characteristics of the parent organism provide a baseline for comparing the potential for harm from dealings with the GMO. The GM therapeutic is derived from the human adenovirus species C serotype 5 (HAdV-C5)</w:t>
      </w:r>
      <w:r w:rsidR="006F39CD" w:rsidRPr="00342143">
        <w:rPr>
          <w:szCs w:val="22"/>
        </w:rPr>
        <w:t xml:space="preserve">. As such, the relevant biological properties of </w:t>
      </w:r>
      <w:proofErr w:type="spellStart"/>
      <w:r w:rsidR="00377C07" w:rsidRPr="00342143">
        <w:rPr>
          <w:szCs w:val="22"/>
        </w:rPr>
        <w:t>HAdV</w:t>
      </w:r>
      <w:r w:rsidR="00203D1E" w:rsidRPr="00342143">
        <w:rPr>
          <w:szCs w:val="22"/>
        </w:rPr>
        <w:t>s</w:t>
      </w:r>
      <w:proofErr w:type="spellEnd"/>
      <w:r w:rsidR="000A2759" w:rsidRPr="00342143">
        <w:rPr>
          <w:szCs w:val="22"/>
        </w:rPr>
        <w:t xml:space="preserve"> </w:t>
      </w:r>
      <w:r w:rsidR="006F39CD" w:rsidRPr="00342143">
        <w:rPr>
          <w:szCs w:val="22"/>
        </w:rPr>
        <w:t>will be discussed here.</w:t>
      </w:r>
    </w:p>
    <w:p w14:paraId="1807B011" w14:textId="140E1DBF" w:rsidR="00875E49" w:rsidRPr="00342143" w:rsidRDefault="001301FE" w:rsidP="00D5389D">
      <w:pPr>
        <w:pStyle w:val="RARMPnumberedparagraphs"/>
        <w:rPr>
          <w:rFonts w:cs="Calibri"/>
          <w:szCs w:val="22"/>
        </w:rPr>
      </w:pPr>
      <w:r w:rsidRPr="00342143">
        <w:rPr>
          <w:szCs w:val="22"/>
        </w:rPr>
        <w:t>Adenoviruses (</w:t>
      </w:r>
      <w:proofErr w:type="spellStart"/>
      <w:r w:rsidRPr="00342143">
        <w:rPr>
          <w:szCs w:val="22"/>
        </w:rPr>
        <w:t>AdVs</w:t>
      </w:r>
      <w:proofErr w:type="spellEnd"/>
      <w:r w:rsidRPr="00342143">
        <w:rPr>
          <w:szCs w:val="22"/>
        </w:rPr>
        <w:t xml:space="preserve">) are within the genus </w:t>
      </w:r>
      <w:proofErr w:type="spellStart"/>
      <w:r w:rsidRPr="00342143">
        <w:rPr>
          <w:szCs w:val="22"/>
        </w:rPr>
        <w:t>Mastadenovirus</w:t>
      </w:r>
      <w:proofErr w:type="spellEnd"/>
      <w:r w:rsidRPr="00342143">
        <w:rPr>
          <w:szCs w:val="22"/>
        </w:rPr>
        <w:t xml:space="preserve"> in the Adenoviridae family </w:t>
      </w:r>
      <w:r w:rsidRPr="00342143">
        <w:rPr>
          <w:szCs w:val="22"/>
        </w:rPr>
        <w:fldChar w:fldCharType="begin"/>
      </w:r>
      <w:r w:rsidR="005B0F2F" w:rsidRPr="00342143">
        <w:rPr>
          <w:szCs w:val="22"/>
        </w:rPr>
        <w:instrText xml:space="preserve"> ADDIN EN.CITE &lt;EndNote&gt;&lt;Cite&gt;&lt;Author&gt;Scarsella&lt;/Author&gt;&lt;Year&gt;2024&lt;/Year&gt;&lt;RecNum&gt;45&lt;/RecNum&gt;&lt;DisplayText&gt;(Scarsella et al., 2024)&lt;/DisplayText&gt;&lt;record&gt;&lt;rec-number&gt;45&lt;/rec-number&gt;&lt;foreign-keys&gt;&lt;key app="EN" db-id="dpase2e2oz5rwce9azspp95nf9xvswxp2rvd" timestamp="1765243750"&gt;45&lt;/key&gt;&lt;/foreign-keys&gt;&lt;ref-type name="Journal Article"&gt;17&lt;/ref-type&gt;&lt;contributors&gt;&lt;authors&gt;&lt;author&gt;Scarsella, Luca&lt;/author&gt;&lt;author&gt;Ehrke-Schulz, Eric&lt;/author&gt;&lt;author&gt;Paulussen, Michael&lt;/author&gt;&lt;author&gt;Thal, Serge C.&lt;/author&gt;&lt;author&gt;Ehrhardt, Anja&lt;/author&gt;&lt;author&gt;Aydin, Malik&lt;/author&gt;&lt;/authors&gt;&lt;/contributors&gt;&lt;titles&gt;&lt;title&gt;Advances of Recombinant Adenoviral Vectors in Preclinical and Clinical Applications&lt;/title&gt;&lt;secondary-title&gt;Viruses&lt;/secondary-title&gt;&lt;/titles&gt;&lt;periodical&gt;&lt;full-title&gt;Viruses&lt;/full-title&gt;&lt;/periodical&gt;&lt;pages&gt;377&lt;/pages&gt;&lt;volume&gt;16&lt;/volume&gt;&lt;number&gt;3&lt;/number&gt;&lt;dates&gt;&lt;year&gt;2024&lt;/year&gt;&lt;/dates&gt;&lt;isbn&gt;1999-4915&lt;/isbn&gt;&lt;accession-num&gt;doi:10.3390/v16030377&lt;/accession-num&gt;&lt;urls&gt;&lt;related-urls&gt;&lt;url&gt;https://www.mdpi.com/1999-4915/16/3/377&lt;/url&gt;&lt;/related-urls&gt;&lt;/urls&gt;&lt;/record&gt;&lt;/Cite&gt;&lt;/EndNote&gt;</w:instrText>
      </w:r>
      <w:r w:rsidRPr="00342143">
        <w:rPr>
          <w:szCs w:val="22"/>
        </w:rPr>
        <w:fldChar w:fldCharType="separate"/>
      </w:r>
      <w:r w:rsidRPr="00342143">
        <w:rPr>
          <w:noProof/>
          <w:szCs w:val="22"/>
        </w:rPr>
        <w:t>(</w:t>
      </w:r>
      <w:hyperlink w:anchor="_ENREF_82" w:tooltip="Scarsella, 2024 #45" w:history="1">
        <w:r w:rsidR="0027195B" w:rsidRPr="00342143">
          <w:rPr>
            <w:noProof/>
            <w:szCs w:val="22"/>
          </w:rPr>
          <w:t>Scarsella et al., 2024</w:t>
        </w:r>
      </w:hyperlink>
      <w:r w:rsidRPr="00342143">
        <w:rPr>
          <w:noProof/>
          <w:szCs w:val="22"/>
        </w:rPr>
        <w:t>)</w:t>
      </w:r>
      <w:r w:rsidRPr="00342143">
        <w:rPr>
          <w:szCs w:val="22"/>
        </w:rPr>
        <w:fldChar w:fldCharType="end"/>
      </w:r>
      <w:r w:rsidRPr="00342143">
        <w:rPr>
          <w:szCs w:val="22"/>
        </w:rPr>
        <w:t xml:space="preserve"> and are classified as Risk Group 2 microorganisms </w:t>
      </w:r>
      <w:r w:rsidRPr="00342143">
        <w:rPr>
          <w:szCs w:val="22"/>
        </w:rPr>
        <w:fldChar w:fldCharType="begin"/>
      </w:r>
      <w:r w:rsidRPr="00342143">
        <w:rPr>
          <w:szCs w:val="22"/>
        </w:rPr>
        <w:instrText xml:space="preserve"> ADDIN EN.CITE &lt;EndNote&gt;&lt;Cite&gt;&lt;Author&gt;Standards Australia/New Zealand&lt;/Author&gt;&lt;Year&gt;2022&lt;/Year&gt;&lt;RecNum&gt;15056&lt;/RecNum&gt;&lt;DisplayText&gt;(Standards Australia/New Zealand, 2022)&lt;/DisplayText&gt;&lt;record&gt;&lt;rec-number&gt;15056&lt;/rec-number&gt;&lt;foreign-keys&gt;&lt;key app="EN" db-id="vf22ax0roe9ssce55r0vrezirwdtv52edrxs" timestamp="1728365743"&gt;15056&lt;/key&gt;&lt;/foreign-keys&gt;&lt;ref-type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Pr="00342143">
        <w:rPr>
          <w:szCs w:val="22"/>
        </w:rPr>
        <w:fldChar w:fldCharType="separate"/>
      </w:r>
      <w:r w:rsidRPr="00342143">
        <w:rPr>
          <w:szCs w:val="22"/>
        </w:rPr>
        <w:t>(</w:t>
      </w:r>
      <w:hyperlink w:anchor="_ENREF_87" w:tooltip="Standards Australia/New Zealand, 2022 #15056" w:history="1">
        <w:r w:rsidR="0027195B" w:rsidRPr="00342143">
          <w:rPr>
            <w:szCs w:val="22"/>
          </w:rPr>
          <w:t>Standards Australia/New Zealand, 2022</w:t>
        </w:r>
      </w:hyperlink>
      <w:r w:rsidRPr="00342143">
        <w:rPr>
          <w:szCs w:val="22"/>
        </w:rPr>
        <w:t>)</w:t>
      </w:r>
      <w:r w:rsidRPr="00342143">
        <w:rPr>
          <w:szCs w:val="22"/>
        </w:rPr>
        <w:fldChar w:fldCharType="end"/>
      </w:r>
      <w:r w:rsidRPr="00342143">
        <w:rPr>
          <w:szCs w:val="22"/>
        </w:rPr>
        <w:t xml:space="preserve">. </w:t>
      </w:r>
      <w:proofErr w:type="spellStart"/>
      <w:r w:rsidRPr="00342143">
        <w:rPr>
          <w:szCs w:val="22"/>
        </w:rPr>
        <w:t>HAdVs</w:t>
      </w:r>
      <w:proofErr w:type="spellEnd"/>
      <w:r w:rsidRPr="00342143">
        <w:rPr>
          <w:szCs w:val="22"/>
        </w:rPr>
        <w:t xml:space="preserve"> are common pathogens of humans. They can cause periodic outbreaks of respiratory diseases, problems in ocular, gastrointestinal, and </w:t>
      </w:r>
      <w:proofErr w:type="spellStart"/>
      <w:r w:rsidRPr="00342143">
        <w:rPr>
          <w:szCs w:val="22"/>
        </w:rPr>
        <w:t>genito</w:t>
      </w:r>
      <w:proofErr w:type="spellEnd"/>
      <w:r w:rsidRPr="00342143">
        <w:rPr>
          <w:szCs w:val="22"/>
        </w:rPr>
        <w:t xml:space="preserve">-urinary systems. Occasionally, they can lead to metabolic disorders </w:t>
      </w:r>
      <w:bookmarkStart w:id="135" w:name="_Hlk198293128"/>
      <w:r w:rsidRPr="00342143">
        <w:rPr>
          <w:szCs w:val="22"/>
        </w:rPr>
        <w:fldChar w:fldCharType="begin"/>
      </w:r>
      <w:r w:rsidRPr="00342143">
        <w:rPr>
          <w:szCs w:val="22"/>
        </w:rPr>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42143">
        <w:rPr>
          <w:szCs w:val="22"/>
        </w:rPr>
        <w:fldChar w:fldCharType="separate"/>
      </w:r>
      <w:r w:rsidRPr="00342143">
        <w:rPr>
          <w:szCs w:val="22"/>
        </w:rPr>
        <w:t>(</w:t>
      </w:r>
      <w:hyperlink w:anchor="_ENREF_41" w:tooltip="Ismail, 2018 #11593" w:history="1">
        <w:r w:rsidR="0027195B" w:rsidRPr="00342143">
          <w:rPr>
            <w:szCs w:val="22"/>
          </w:rPr>
          <w:t>Ismail et al., 2018a</w:t>
        </w:r>
      </w:hyperlink>
      <w:r w:rsidRPr="00342143">
        <w:rPr>
          <w:szCs w:val="22"/>
        </w:rPr>
        <w:t>)</w:t>
      </w:r>
      <w:r w:rsidRPr="00342143">
        <w:rPr>
          <w:szCs w:val="22"/>
        </w:rPr>
        <w:fldChar w:fldCharType="end"/>
      </w:r>
      <w:bookmarkEnd w:id="135"/>
      <w:r w:rsidRPr="00342143">
        <w:rPr>
          <w:szCs w:val="22"/>
        </w:rPr>
        <w:t xml:space="preserve">. </w:t>
      </w:r>
      <w:proofErr w:type="spellStart"/>
      <w:r w:rsidRPr="00342143">
        <w:rPr>
          <w:szCs w:val="22"/>
        </w:rPr>
        <w:t>HAdVs</w:t>
      </w:r>
      <w:proofErr w:type="spellEnd"/>
      <w:r w:rsidRPr="00342143">
        <w:rPr>
          <w:szCs w:val="22"/>
        </w:rPr>
        <w:t xml:space="preserve"> are categorised into 7 species, A to G, based on their serology, sequence homology, serum neutralisation, haemagglutinin properties and genomic sequence </w:t>
      </w:r>
      <w:r w:rsidR="007E7CF4" w:rsidRPr="00342143">
        <w:rPr>
          <w:szCs w:val="22"/>
        </w:rPr>
        <w:fldChar w:fldCharType="begin">
          <w:fldData xml:space="preserve">PEVuZE5vdGU+PENpdGU+PEF1dGhvcj5Cb3RzPC9BdXRob3I+PFllYXI+MjAyMDwvWWVhcj48UmVj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AE6FB5" w:rsidRPr="00342143">
        <w:rPr>
          <w:szCs w:val="22"/>
        </w:rPr>
        <w:instrText xml:space="preserve"> ADDIN EN.CITE </w:instrText>
      </w:r>
      <w:r w:rsidR="00AE6FB5" w:rsidRPr="00342143">
        <w:rPr>
          <w:szCs w:val="22"/>
        </w:rPr>
        <w:fldChar w:fldCharType="begin">
          <w:fldData xml:space="preserve">PEVuZE5vdGU+PENpdGU+PEF1dGhvcj5Cb3RzPC9BdXRob3I+PFllYXI+MjAyMDwvWWVhcj48UmVj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AE6FB5" w:rsidRPr="00342143">
        <w:rPr>
          <w:szCs w:val="22"/>
        </w:rPr>
        <w:instrText xml:space="preserve"> ADDIN EN.CITE.DATA </w:instrText>
      </w:r>
      <w:r w:rsidR="00AE6FB5" w:rsidRPr="00342143">
        <w:rPr>
          <w:szCs w:val="22"/>
        </w:rPr>
      </w:r>
      <w:r w:rsidR="00AE6FB5"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14" w:tooltip="Bots, 2020 #29" w:history="1">
        <w:r w:rsidR="0027195B" w:rsidRPr="00342143">
          <w:rPr>
            <w:noProof/>
            <w:szCs w:val="22"/>
          </w:rPr>
          <w:t>Bots and Hoeben, 2020</w:t>
        </w:r>
      </w:hyperlink>
      <w:r w:rsidR="00AE6FB5" w:rsidRPr="00342143">
        <w:rPr>
          <w:noProof/>
          <w:szCs w:val="22"/>
        </w:rPr>
        <w:t xml:space="preserve">; </w:t>
      </w:r>
      <w:hyperlink w:anchor="_ENREF_47" w:tooltip="Lange, 2019 #30" w:history="1">
        <w:r w:rsidR="0027195B" w:rsidRPr="00342143">
          <w:rPr>
            <w:noProof/>
            <w:szCs w:val="22"/>
          </w:rPr>
          <w:t>Lange et al., 2019</w:t>
        </w:r>
      </w:hyperlink>
      <w:r w:rsidR="00AE6FB5" w:rsidRPr="00342143">
        <w:rPr>
          <w:noProof/>
          <w:szCs w:val="22"/>
        </w:rPr>
        <w:t xml:space="preserve">; </w:t>
      </w:r>
      <w:hyperlink w:anchor="_ENREF_50" w:tooltip="Leikas, 2023 #163" w:history="1">
        <w:r w:rsidR="0027195B" w:rsidRPr="00342143">
          <w:rPr>
            <w:noProof/>
            <w:szCs w:val="22"/>
          </w:rPr>
          <w:t>Leikas et al., 2023a</w:t>
        </w:r>
      </w:hyperlink>
      <w:r w:rsidR="00AE6FB5" w:rsidRPr="00342143">
        <w:rPr>
          <w:noProof/>
          <w:szCs w:val="22"/>
        </w:rPr>
        <w:t>)</w:t>
      </w:r>
      <w:r w:rsidR="007E7CF4" w:rsidRPr="00342143">
        <w:rPr>
          <w:szCs w:val="22"/>
        </w:rPr>
        <w:fldChar w:fldCharType="end"/>
      </w:r>
      <w:r w:rsidRPr="00342143">
        <w:rPr>
          <w:szCs w:val="22"/>
        </w:rPr>
        <w:t xml:space="preserve">. Up to 116 genotypes of </w:t>
      </w:r>
      <w:proofErr w:type="spellStart"/>
      <w:r w:rsidRPr="00342143">
        <w:rPr>
          <w:szCs w:val="22"/>
        </w:rPr>
        <w:t>HAdV</w:t>
      </w:r>
      <w:proofErr w:type="spellEnd"/>
      <w:r w:rsidRPr="00342143">
        <w:rPr>
          <w:szCs w:val="22"/>
        </w:rPr>
        <w:t xml:space="preserve"> have been assigned (</w:t>
      </w:r>
      <w:proofErr w:type="spellStart"/>
      <w:r>
        <w:fldChar w:fldCharType="begin"/>
      </w:r>
      <w:r>
        <w:instrText>HYPERLINK "http://hadvwg.gmu.edu/"</w:instrText>
      </w:r>
      <w:r>
        <w:fldChar w:fldCharType="separate"/>
      </w:r>
      <w:r w:rsidRPr="00342143">
        <w:rPr>
          <w:rStyle w:val="Hyperlink"/>
          <w:szCs w:val="22"/>
        </w:rPr>
        <w:t>HAdV</w:t>
      </w:r>
      <w:proofErr w:type="spellEnd"/>
      <w:r w:rsidRPr="00342143">
        <w:rPr>
          <w:rStyle w:val="Hyperlink"/>
          <w:szCs w:val="22"/>
        </w:rPr>
        <w:t xml:space="preserve"> Working Group website</w:t>
      </w:r>
      <w:r>
        <w:fldChar w:fldCharType="end"/>
      </w:r>
      <w:r w:rsidRPr="00342143">
        <w:rPr>
          <w:szCs w:val="22"/>
        </w:rPr>
        <w:t xml:space="preserve">, accessed </w:t>
      </w:r>
      <w:r w:rsidR="002109DA">
        <w:rPr>
          <w:szCs w:val="22"/>
        </w:rPr>
        <w:t>March</w:t>
      </w:r>
      <w:r w:rsidR="002109DA" w:rsidRPr="00342143">
        <w:rPr>
          <w:szCs w:val="22"/>
        </w:rPr>
        <w:t xml:space="preserve"> </w:t>
      </w:r>
      <w:r w:rsidRPr="00342143">
        <w:rPr>
          <w:szCs w:val="22"/>
        </w:rPr>
        <w:t>202</w:t>
      </w:r>
      <w:r w:rsidR="002109DA">
        <w:rPr>
          <w:szCs w:val="22"/>
        </w:rPr>
        <w:t>6</w:t>
      </w:r>
      <w:r w:rsidRPr="00342143">
        <w:rPr>
          <w:szCs w:val="22"/>
        </w:rPr>
        <w:t xml:space="preserve">). Different </w:t>
      </w:r>
      <w:proofErr w:type="spellStart"/>
      <w:r w:rsidRPr="00342143">
        <w:rPr>
          <w:szCs w:val="22"/>
        </w:rPr>
        <w:t>HAdV</w:t>
      </w:r>
      <w:proofErr w:type="spellEnd"/>
      <w:r w:rsidRPr="00342143">
        <w:rPr>
          <w:szCs w:val="22"/>
        </w:rPr>
        <w:t xml:space="preserve"> species are associated with different diseases: species C, E and some B species are the most common cause of respiratory diseases; species A, F, G and some D species are responsible for gastrointestinal infections; species D and E can also cause ocular diseases, and some B species can cause urinary tract infections </w:t>
      </w:r>
      <w:r w:rsidR="007E7CF4" w:rsidRPr="00342143">
        <w:rPr>
          <w:szCs w:val="22"/>
        </w:rPr>
        <w:fldChar w:fldCharType="begin">
          <w:fldData xml:space="preserve">PEVuZE5vdGU+PENpdGU+PEF1dGhvcj5Jc21haWw8L0F1dGhvcj48WWVhcj4yMDE4PC9ZZWFyPjxS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</w:fldData>
        </w:fldChar>
      </w:r>
      <w:r w:rsidR="00901505" w:rsidRPr="00342143">
        <w:rPr>
          <w:szCs w:val="22"/>
        </w:rPr>
        <w:instrText xml:space="preserve"> ADDIN EN.CITE </w:instrText>
      </w:r>
      <w:r w:rsidR="00901505" w:rsidRPr="00342143">
        <w:rPr>
          <w:szCs w:val="22"/>
        </w:rPr>
        <w:fldChar w:fldCharType="begin">
          <w:fldData xml:space="preserve">PEVuZE5vdGU+PENpdGU+PEF1dGhvcj5Jc21haWw8L0F1dGhvcj48WWVhcj4yMDE4PC9ZZWFyPjxS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</w:fldData>
        </w:fldChar>
      </w:r>
      <w:r w:rsidR="00901505" w:rsidRPr="00342143">
        <w:rPr>
          <w:szCs w:val="22"/>
        </w:rPr>
        <w:instrText xml:space="preserve"> ADDIN EN.CITE.DATA </w:instrText>
      </w:r>
      <w:r w:rsidR="00901505" w:rsidRPr="00342143">
        <w:rPr>
          <w:szCs w:val="22"/>
        </w:rPr>
      </w:r>
      <w:r w:rsidR="00901505"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41" w:tooltip="Ismail, 2018 #11593" w:history="1">
        <w:r w:rsidR="0027195B" w:rsidRPr="00342143">
          <w:rPr>
            <w:noProof/>
            <w:szCs w:val="22"/>
          </w:rPr>
          <w:t>Ismail et al., 2018a</w:t>
        </w:r>
      </w:hyperlink>
      <w:r w:rsidR="00AE6FB5" w:rsidRPr="00342143">
        <w:rPr>
          <w:noProof/>
          <w:szCs w:val="22"/>
        </w:rPr>
        <w:t xml:space="preserve">; </w:t>
      </w:r>
      <w:hyperlink w:anchor="_ENREF_50" w:tooltip="Leikas, 2023 #163" w:history="1">
        <w:r w:rsidR="0027195B" w:rsidRPr="00342143">
          <w:rPr>
            <w:noProof/>
            <w:szCs w:val="22"/>
          </w:rPr>
          <w:t>Leikas et al., 2023a</w:t>
        </w:r>
      </w:hyperlink>
      <w:r w:rsidR="00AE6FB5" w:rsidRPr="00342143">
        <w:rPr>
          <w:noProof/>
          <w:szCs w:val="22"/>
        </w:rPr>
        <w:t>)</w:t>
      </w:r>
      <w:r w:rsidR="007E7CF4" w:rsidRPr="00342143">
        <w:rPr>
          <w:szCs w:val="22"/>
        </w:rPr>
        <w:fldChar w:fldCharType="end"/>
      </w:r>
      <w:r w:rsidR="0008671A" w:rsidRPr="00342143">
        <w:rPr>
          <w:szCs w:val="22"/>
        </w:rPr>
        <w:t xml:space="preserve">. </w:t>
      </w:r>
    </w:p>
    <w:p w14:paraId="25176EC5" w14:textId="2098E761" w:rsidR="00D5389D" w:rsidRPr="00342143" w:rsidRDefault="001301FE" w:rsidP="00D5389D">
      <w:pPr>
        <w:pStyle w:val="RARMPnumberedparagraphs"/>
        <w:rPr>
          <w:rFonts w:cs="Calibri"/>
          <w:szCs w:val="22"/>
        </w:rPr>
      </w:pPr>
      <w:r w:rsidRPr="00342143">
        <w:rPr>
          <w:szCs w:val="22"/>
        </w:rPr>
        <w:t xml:space="preserve">Human adenovirus-C5 belongs to species C, which comprises 5 serotypes (C1, C2, C5, C6 and C57) that are commonly associated with acute respiratory tract infections in children </w:t>
      </w:r>
      <w:r w:rsidRPr="00342143">
        <w:rPr>
          <w:szCs w:val="22"/>
        </w:rPr>
        <w:fldChar w:fldCharType="begin">
          <w:fldData xml:space="preserve">PEVuZE5vdGU+PENpdGU+PEF1dGhvcj5XdXJ6ZWw8L0F1dGhvcj48WWVhcj4yMDE0PC9ZZWFyPjxS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</w:fldData>
        </w:fldChar>
      </w:r>
      <w:r w:rsidR="002219B9">
        <w:rPr>
          <w:szCs w:val="22"/>
        </w:rPr>
        <w:instrText xml:space="preserve"> ADDIN EN.CITE </w:instrText>
      </w:r>
      <w:r w:rsidR="002219B9">
        <w:rPr>
          <w:szCs w:val="22"/>
        </w:rPr>
        <w:fldChar w:fldCharType="begin">
          <w:fldData xml:space="preserve">PEVuZE5vdGU+PENpdGU+PEF1dGhvcj5XdXJ6ZWw8L0F1dGhvcj48WWVhcj4yMDE0PC9ZZWFyPjxS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</w:fldData>
        </w:fldChar>
      </w:r>
      <w:r w:rsidR="002219B9">
        <w:rPr>
          <w:szCs w:val="22"/>
        </w:rPr>
        <w:instrText xml:space="preserve"> ADDIN EN.CITE.DATA </w:instrText>
      </w:r>
      <w:r w:rsidR="002219B9">
        <w:rPr>
          <w:szCs w:val="22"/>
        </w:rPr>
      </w:r>
      <w:r w:rsidR="002219B9">
        <w:rPr>
          <w:szCs w:val="22"/>
        </w:rPr>
        <w:fldChar w:fldCharType="end"/>
      </w:r>
      <w:r w:rsidRPr="00342143">
        <w:rPr>
          <w:szCs w:val="22"/>
        </w:rPr>
      </w:r>
      <w:r w:rsidRPr="00342143">
        <w:rPr>
          <w:szCs w:val="22"/>
        </w:rPr>
        <w:fldChar w:fldCharType="separate"/>
      </w:r>
      <w:r w:rsidR="002219B9">
        <w:rPr>
          <w:noProof/>
          <w:szCs w:val="22"/>
        </w:rPr>
        <w:t>(</w:t>
      </w:r>
      <w:hyperlink w:anchor="_ENREF_61" w:tooltip="Mennechet, 2019 #31" w:history="1">
        <w:r w:rsidR="0027195B">
          <w:rPr>
            <w:noProof/>
            <w:szCs w:val="22"/>
          </w:rPr>
          <w:t>Mennechet et al., 2019b</w:t>
        </w:r>
      </w:hyperlink>
      <w:r w:rsidR="002219B9">
        <w:rPr>
          <w:noProof/>
          <w:szCs w:val="22"/>
        </w:rPr>
        <w:t xml:space="preserve">; </w:t>
      </w:r>
      <w:hyperlink w:anchor="_ENREF_102" w:tooltip="Wurzel, 2014 #32" w:history="1">
        <w:r w:rsidR="0027195B">
          <w:rPr>
            <w:noProof/>
            <w:szCs w:val="22"/>
          </w:rPr>
          <w:t>Wurzel et al., 2014</w:t>
        </w:r>
      </w:hyperlink>
      <w:r w:rsidR="002219B9">
        <w:rPr>
          <w:noProof/>
          <w:szCs w:val="22"/>
        </w:rPr>
        <w:t>)</w:t>
      </w:r>
      <w:r w:rsidRPr="00342143">
        <w:rPr>
          <w:szCs w:val="22"/>
        </w:rPr>
        <w:fldChar w:fldCharType="end"/>
      </w:r>
      <w:r w:rsidRPr="00342143">
        <w:rPr>
          <w:szCs w:val="22"/>
        </w:rPr>
        <w:t xml:space="preserve">. Despite the high prevalence of </w:t>
      </w:r>
      <w:proofErr w:type="spellStart"/>
      <w:r w:rsidRPr="00342143">
        <w:rPr>
          <w:szCs w:val="22"/>
        </w:rPr>
        <w:t>HAdV</w:t>
      </w:r>
      <w:proofErr w:type="spellEnd"/>
      <w:r w:rsidRPr="00342143">
        <w:rPr>
          <w:szCs w:val="22"/>
        </w:rPr>
        <w:t xml:space="preserve">-C in the population, HAdV-C5 vectors have been frequently used in clinical trials as cancer therapies </w:t>
      </w:r>
      <w:r w:rsidR="007E7CF4" w:rsidRPr="00342143">
        <w:rPr>
          <w:szCs w:val="22"/>
        </w:rPr>
        <w:fldChar w:fldCharType="begin">
          <w:fldData xml:space="preserve">PEVuZE5vdGU+PENpdGU+PEF1dGhvcj5TYXRvLURhaGxtYW48L0F1dGhvcj48WWVhcj4yMDIwPC9Z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</w:fldData>
        </w:fldChar>
      </w:r>
      <w:r w:rsidR="000F689C" w:rsidRPr="00342143">
        <w:rPr>
          <w:szCs w:val="22"/>
        </w:rPr>
        <w:instrText xml:space="preserve"> ADDIN EN.CITE </w:instrText>
      </w:r>
      <w:r w:rsidR="000F689C" w:rsidRPr="00342143">
        <w:rPr>
          <w:szCs w:val="22"/>
        </w:rPr>
        <w:fldChar w:fldCharType="begin">
          <w:fldData xml:space="preserve">PEVuZE5vdGU+PENpdGU+PEF1dGhvcj5TYXRvLURhaGxtYW48L0F1dGhvcj48WWVhcj4yMDIwPC9Z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</w:fldData>
        </w:fldChar>
      </w:r>
      <w:r w:rsidR="000F689C" w:rsidRPr="00342143">
        <w:rPr>
          <w:szCs w:val="22"/>
        </w:rPr>
        <w:instrText xml:space="preserve"> ADDIN EN.CITE.DATA </w:instrText>
      </w:r>
      <w:r w:rsidR="000F689C" w:rsidRPr="00342143">
        <w:rPr>
          <w:szCs w:val="22"/>
        </w:rPr>
      </w:r>
      <w:r w:rsidR="000F689C" w:rsidRPr="00342143">
        <w:rPr>
          <w:szCs w:val="22"/>
        </w:rPr>
        <w:fldChar w:fldCharType="end"/>
      </w:r>
      <w:r w:rsidR="007E7CF4" w:rsidRPr="00342143">
        <w:rPr>
          <w:szCs w:val="22"/>
        </w:rPr>
      </w:r>
      <w:r w:rsidR="007E7CF4" w:rsidRPr="00342143">
        <w:rPr>
          <w:szCs w:val="22"/>
        </w:rPr>
        <w:fldChar w:fldCharType="separate"/>
      </w:r>
      <w:r w:rsidR="00AE6FB5" w:rsidRPr="00342143">
        <w:rPr>
          <w:noProof/>
          <w:szCs w:val="22"/>
        </w:rPr>
        <w:t>(</w:t>
      </w:r>
      <w:hyperlink w:anchor="_ENREF_50" w:tooltip="Leikas, 2023 #163" w:history="1">
        <w:r w:rsidR="0027195B" w:rsidRPr="00342143">
          <w:rPr>
            <w:noProof/>
            <w:szCs w:val="22"/>
          </w:rPr>
          <w:t>Leikas et al., 2023a</w:t>
        </w:r>
      </w:hyperlink>
      <w:r w:rsidR="00AE6FB5" w:rsidRPr="00342143">
        <w:rPr>
          <w:noProof/>
          <w:szCs w:val="22"/>
        </w:rPr>
        <w:t xml:space="preserve">; </w:t>
      </w:r>
      <w:hyperlink w:anchor="_ENREF_81" w:tooltip="Sato-Dahlman, 2020 #59" w:history="1">
        <w:r w:rsidR="0027195B" w:rsidRPr="00342143">
          <w:rPr>
            <w:noProof/>
            <w:szCs w:val="22"/>
          </w:rPr>
          <w:t>Sato-Dahlman et al., 2020</w:t>
        </w:r>
      </w:hyperlink>
      <w:r w:rsidR="00AE6FB5" w:rsidRPr="00342143">
        <w:rPr>
          <w:noProof/>
          <w:szCs w:val="22"/>
        </w:rPr>
        <w:t xml:space="preserve">; </w:t>
      </w:r>
      <w:hyperlink w:anchor="_ENREF_83" w:tooltip="Shaw, 2019 #60" w:history="1">
        <w:r w:rsidR="0027195B" w:rsidRPr="00342143">
          <w:rPr>
            <w:noProof/>
            <w:szCs w:val="22"/>
          </w:rPr>
          <w:t>Shaw and Suzuki, 2019</w:t>
        </w:r>
      </w:hyperlink>
      <w:r w:rsidR="00AE6FB5" w:rsidRPr="00342143">
        <w:rPr>
          <w:noProof/>
          <w:szCs w:val="22"/>
        </w:rPr>
        <w:t>)</w:t>
      </w:r>
      <w:r w:rsidR="007E7CF4" w:rsidRPr="00342143">
        <w:rPr>
          <w:szCs w:val="22"/>
        </w:rPr>
        <w:fldChar w:fldCharType="end"/>
      </w:r>
      <w:r w:rsidR="00CD6FBF" w:rsidRPr="00342143">
        <w:rPr>
          <w:szCs w:val="22"/>
        </w:rPr>
        <w:t>.</w:t>
      </w:r>
    </w:p>
    <w:p w14:paraId="13670F59" w14:textId="12A95C98" w:rsidR="00634C1B" w:rsidRPr="00FC51AB" w:rsidRDefault="000A657C" w:rsidP="00FC51AB">
      <w:pPr>
        <w:pStyle w:val="3RARMP"/>
      </w:pPr>
      <w:bookmarkStart w:id="136" w:name="_Ref216339715"/>
      <w:bookmarkStart w:id="137" w:name="_Ref216432270"/>
      <w:bookmarkStart w:id="138" w:name="_Toc226975000"/>
      <w:r w:rsidRPr="00FA0361">
        <w:t>Pathology</w:t>
      </w:r>
      <w:bookmarkEnd w:id="136"/>
      <w:bookmarkEnd w:id="137"/>
      <w:bookmarkEnd w:id="138"/>
    </w:p>
    <w:p w14:paraId="221E72EA" w14:textId="5AD393DC" w:rsidR="00A33F90" w:rsidRPr="00E52B4D" w:rsidRDefault="00A26BD6" w:rsidP="00A33F90">
      <w:pPr>
        <w:pStyle w:val="RARMPnumberedparagraphs"/>
        <w:rPr>
          <w:szCs w:val="22"/>
        </w:rPr>
      </w:pPr>
      <w:r>
        <w:rPr>
          <w:szCs w:val="22"/>
        </w:rPr>
        <w:t>Human adenoviruses</w:t>
      </w:r>
      <w:r w:rsidR="00BB20C2" w:rsidRPr="00E52B4D">
        <w:rPr>
          <w:szCs w:val="22"/>
        </w:rPr>
        <w:t xml:space="preserve"> are common </w:t>
      </w:r>
      <w:r w:rsidR="00203D1E">
        <w:rPr>
          <w:szCs w:val="22"/>
        </w:rPr>
        <w:t xml:space="preserve">human </w:t>
      </w:r>
      <w:r w:rsidR="00BB20C2"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fldData xml:space="preserve">PEVuZE5vdGU+PENpdGU+PEF1dGhvcj5DREM8L0F1dGhvcj48WWVhcj4yMDE5PC9ZZWFyPjxSZWNO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</w:fldData>
        </w:fldChar>
      </w:r>
      <w:r w:rsidR="00AE6FB5">
        <w:rPr>
          <w:szCs w:val="22"/>
        </w:rPr>
        <w:instrText xml:space="preserve"> ADDIN EN.CITE </w:instrText>
      </w:r>
      <w:r w:rsidR="00AE6FB5">
        <w:rPr>
          <w:szCs w:val="22"/>
        </w:rPr>
        <w:fldChar w:fldCharType="begin">
          <w:fldData xml:space="preserve">PEVuZE5vdGU+PENpdGU+PEF1dGhvcj5DREM8L0F1dGhvcj48WWVhcj4yMDE5PC9ZZWFyPjxSZWNO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</w:fldData>
        </w:fldChar>
      </w:r>
      <w:r w:rsidR="00AE6FB5">
        <w:rPr>
          <w:szCs w:val="22"/>
        </w:rPr>
        <w:instrText xml:space="preserve"> ADDIN EN.CITE.DATA </w:instrText>
      </w:r>
      <w:r w:rsidR="00AE6FB5">
        <w:rPr>
          <w:szCs w:val="22"/>
        </w:rPr>
      </w:r>
      <w:r w:rsidR="00AE6FB5">
        <w:rPr>
          <w:szCs w:val="22"/>
        </w:rPr>
        <w:fldChar w:fldCharType="end"/>
      </w:r>
      <w:r w:rsidR="00905693">
        <w:rPr>
          <w:szCs w:val="22"/>
        </w:rPr>
      </w:r>
      <w:r w:rsidR="00905693">
        <w:rPr>
          <w:szCs w:val="22"/>
        </w:rPr>
        <w:fldChar w:fldCharType="separate"/>
      </w:r>
      <w:r w:rsidR="00AE6FB5">
        <w:rPr>
          <w:noProof/>
          <w:szCs w:val="22"/>
        </w:rPr>
        <w:t>(</w:t>
      </w:r>
      <w:hyperlink w:anchor="_ENREF_15" w:tooltip="CDC, 2019 #63" w:history="1">
        <w:r w:rsidR="0027195B">
          <w:rPr>
            <w:noProof/>
            <w:szCs w:val="22"/>
          </w:rPr>
          <w:t>CDC, 2019a</w:t>
        </w:r>
      </w:hyperlink>
      <w:r w:rsidR="00AE6FB5">
        <w:rPr>
          <w:noProof/>
          <w:szCs w:val="22"/>
        </w:rPr>
        <w:t xml:space="preserve">; </w:t>
      </w:r>
      <w:hyperlink w:anchor="_ENREF_50" w:tooltip="Leikas, 2023 #163" w:history="1">
        <w:r w:rsidR="0027195B">
          <w:rPr>
            <w:noProof/>
            <w:szCs w:val="22"/>
          </w:rPr>
          <w:t>Leikas et al., 2023a</w:t>
        </w:r>
      </w:hyperlink>
      <w:r w:rsidR="00AE6FB5">
        <w:rPr>
          <w:noProof/>
          <w:szCs w:val="22"/>
        </w:rPr>
        <w:t xml:space="preserve">; </w:t>
      </w:r>
      <w:hyperlink w:anchor="_ENREF_70" w:tooltip="Public Health Agency of Canada, 2014 #64" w:history="1">
        <w:r w:rsidR="0027195B">
          <w:rPr>
            <w:noProof/>
            <w:szCs w:val="22"/>
          </w:rPr>
          <w:t>Public Health Agency of Canada, 2014</w:t>
        </w:r>
      </w:hyperlink>
      <w:r w:rsidR="00AE6FB5">
        <w:rPr>
          <w:noProof/>
          <w:szCs w:val="22"/>
        </w:rPr>
        <w:t>)</w:t>
      </w:r>
      <w:r w:rsidR="00905693">
        <w:rPr>
          <w:szCs w:val="22"/>
        </w:rPr>
        <w:fldChar w:fldCharType="end"/>
      </w:r>
      <w:r w:rsidR="00BB20C2" w:rsidRPr="00E52B4D">
        <w:rPr>
          <w:szCs w:val="22"/>
        </w:rPr>
        <w:t>.</w:t>
      </w:r>
      <w:r w:rsidR="00570A85" w:rsidRPr="00E52B4D">
        <w:rPr>
          <w:szCs w:val="22"/>
        </w:rPr>
        <w:t xml:space="preserve"> </w:t>
      </w:r>
    </w:p>
    <w:p w14:paraId="1D7FA7E3" w14:textId="21C40B40" w:rsidR="00BB20C2" w:rsidRPr="00E52B4D" w:rsidRDefault="00A26BD6" w:rsidP="00570A85">
      <w:pPr>
        <w:pStyle w:val="RARMPnumberedparagraphs"/>
        <w:rPr>
          <w:szCs w:val="22"/>
        </w:rPr>
      </w:pPr>
      <w:r>
        <w:rPr>
          <w:szCs w:val="22"/>
        </w:rPr>
        <w:t>I</w:t>
      </w:r>
      <w:r w:rsidRPr="00E52B4D">
        <w:rPr>
          <w:szCs w:val="22"/>
        </w:rPr>
        <w:t>nfection</w:t>
      </w:r>
      <w:r>
        <w:rPr>
          <w:szCs w:val="22"/>
        </w:rPr>
        <w:t xml:space="preserve">s with </w:t>
      </w:r>
      <w:proofErr w:type="spellStart"/>
      <w:r w:rsidRPr="00E52B4D">
        <w:rPr>
          <w:szCs w:val="22"/>
        </w:rPr>
        <w:t>HAdV</w:t>
      </w:r>
      <w:proofErr w:type="spellEnd"/>
      <w:r>
        <w:rPr>
          <w:szCs w:val="22"/>
        </w:rPr>
        <w:t xml:space="preserve"> </w:t>
      </w:r>
      <w:r w:rsidR="00371906">
        <w:rPr>
          <w:szCs w:val="22"/>
        </w:rPr>
        <w:t>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9F330D">
        <w:rPr>
          <w:szCs w:val="22"/>
        </w:rPr>
        <w:t>immunocompromised individuals</w:t>
      </w:r>
      <w:r w:rsidR="00206229">
        <w:rPr>
          <w:szCs w:val="22"/>
        </w:rPr>
        <w:t xml:space="preserve"> or </w:t>
      </w:r>
      <w:r>
        <w:rPr>
          <w:szCs w:val="22"/>
        </w:rPr>
        <w:t xml:space="preserve">in </w:t>
      </w:r>
      <w:r w:rsidR="00206229">
        <w:rPr>
          <w:szCs w:val="22"/>
        </w:rPr>
        <w:t>the very young</w:t>
      </w:r>
      <w:r w:rsidR="00D8314F">
        <w:rPr>
          <w:szCs w:val="22"/>
        </w:rPr>
        <w:t xml:space="preserve"> </w:t>
      </w:r>
      <w:r w:rsidR="007E7CF4">
        <w:rPr>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szCs w:val="22"/>
        </w:rPr>
        <w:instrText xml:space="preserve"> ADDIN EN.CITE </w:instrText>
      </w:r>
      <w:r w:rsidR="002219B9">
        <w:rPr>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szCs w:val="22"/>
        </w:rPr>
        <w:instrText xml:space="preserve"> ADDIN EN.CITE.DATA </w:instrText>
      </w:r>
      <w:r w:rsidR="002219B9">
        <w:rPr>
          <w:szCs w:val="22"/>
        </w:rPr>
      </w:r>
      <w:r w:rsidR="002219B9">
        <w:rPr>
          <w:szCs w:val="22"/>
        </w:rPr>
        <w:fldChar w:fldCharType="end"/>
      </w:r>
      <w:r w:rsidR="007E7CF4">
        <w:rPr>
          <w:szCs w:val="22"/>
        </w:rPr>
      </w:r>
      <w:r w:rsidR="007E7CF4">
        <w:rPr>
          <w:szCs w:val="22"/>
        </w:rPr>
        <w:fldChar w:fldCharType="separate"/>
      </w:r>
      <w:r w:rsidR="002219B9">
        <w:rPr>
          <w:noProof/>
          <w:szCs w:val="22"/>
        </w:rPr>
        <w:t>(</w:t>
      </w:r>
      <w:hyperlink w:anchor="_ENREF_50" w:tooltip="Leikas, 2023 #163" w:history="1">
        <w:r w:rsidR="0027195B">
          <w:rPr>
            <w:noProof/>
            <w:szCs w:val="22"/>
          </w:rPr>
          <w:t>Leikas et al., 2023a</w:t>
        </w:r>
      </w:hyperlink>
      <w:r w:rsidR="002219B9">
        <w:rPr>
          <w:noProof/>
          <w:szCs w:val="22"/>
        </w:rPr>
        <w:t xml:space="preserve">; </w:t>
      </w:r>
      <w:hyperlink w:anchor="_ENREF_60" w:tooltip="Mennechet, 2019 #58" w:history="1">
        <w:r w:rsidR="0027195B">
          <w:rPr>
            <w:noProof/>
            <w:szCs w:val="22"/>
          </w:rPr>
          <w:t>Mennechet et al., 2019a</w:t>
        </w:r>
      </w:hyperlink>
      <w:r w:rsidR="002219B9">
        <w:rPr>
          <w:noProof/>
          <w:szCs w:val="22"/>
        </w:rPr>
        <w:t>)</w:t>
      </w:r>
      <w:r w:rsidR="007E7CF4">
        <w:rPr>
          <w:szCs w:val="22"/>
        </w:rPr>
        <w:fldChar w:fldCharType="end"/>
      </w:r>
      <w:r w:rsidR="00570A85" w:rsidRPr="00E52B4D">
        <w:rPr>
          <w:szCs w:val="22"/>
        </w:rPr>
        <w:t xml:space="preserve">. </w:t>
      </w:r>
      <w:r w:rsidR="00BB20C2" w:rsidRPr="00E52B4D">
        <w:rPr>
          <w:szCs w:val="22"/>
        </w:rPr>
        <w:t xml:space="preserve">Overall, </w:t>
      </w:r>
      <w:proofErr w:type="spellStart"/>
      <w:r w:rsidR="005A0A38" w:rsidRPr="00E52B4D">
        <w:rPr>
          <w:szCs w:val="22"/>
        </w:rPr>
        <w:t>H</w:t>
      </w:r>
      <w:r w:rsidR="00F136DB" w:rsidRPr="00E52B4D">
        <w:rPr>
          <w:szCs w:val="22"/>
        </w:rPr>
        <w:t>Ad</w:t>
      </w:r>
      <w:r w:rsidR="009D79A9" w:rsidRPr="00E52B4D">
        <w:rPr>
          <w:szCs w:val="22"/>
        </w:rPr>
        <w:t>V</w:t>
      </w:r>
      <w:proofErr w:type="spellEnd"/>
      <w:r w:rsidR="00BB20C2" w:rsidRPr="00E52B4D">
        <w:rPr>
          <w:szCs w:val="22"/>
        </w:rPr>
        <w:t xml:space="preserve"> infections are responsible for about </w:t>
      </w:r>
      <w:r w:rsidR="005A0A38"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245BC5">
        <w:rPr>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6" w:tooltip="Allard and Vantarakis, 2017 #25" w:history="1">
        <w:r w:rsidR="0027195B">
          <w:rPr>
            <w:noProof/>
            <w:szCs w:val="22"/>
          </w:rPr>
          <w:t>Allard and Vantarakis, 2017</w:t>
        </w:r>
      </w:hyperlink>
      <w:r w:rsidR="00402F97">
        <w:rPr>
          <w:noProof/>
          <w:szCs w:val="22"/>
        </w:rPr>
        <w:t>)</w:t>
      </w:r>
      <w:r w:rsidR="00402F97">
        <w:rPr>
          <w:szCs w:val="22"/>
        </w:rPr>
        <w:fldChar w:fldCharType="end"/>
      </w:r>
      <w:r w:rsidR="004165BA">
        <w:rPr>
          <w:szCs w:val="22"/>
        </w:rPr>
        <w:t xml:space="preserve"> and </w:t>
      </w:r>
      <w:r w:rsidR="00CB0BE4">
        <w:rPr>
          <w:szCs w:val="22"/>
        </w:rPr>
        <w:t xml:space="preserve">are </w:t>
      </w:r>
      <w:r w:rsidR="004165BA">
        <w:rPr>
          <w:szCs w:val="22"/>
        </w:rPr>
        <w:t xml:space="preserve">the most common cause of </w:t>
      </w:r>
      <w:r w:rsidR="00781FDE">
        <w:rPr>
          <w:szCs w:val="22"/>
        </w:rPr>
        <w:t xml:space="preserve">conjunctivitis </w:t>
      </w:r>
      <w:r w:rsidR="004165BA">
        <w:rPr>
          <w:szCs w:val="22"/>
        </w:rPr>
        <w:t xml:space="preserve">in the world </w:t>
      </w:r>
      <w:r w:rsidR="004E20C9">
        <w:rPr>
          <w:szCs w:val="22"/>
        </w:rPr>
        <w:fldChar w:fldCharType="begin"/>
      </w:r>
      <w:r w:rsidR="00824706">
        <w:rPr>
          <w:szCs w:val="22"/>
        </w:rPr>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69" w:tooltip="Pihos, 2013 #66" w:history="1">
        <w:r w:rsidR="0027195B">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0C61230F" w:rsidR="007507C5" w:rsidRDefault="00BB20C2" w:rsidP="00BB20C2">
      <w:pPr>
        <w:pStyle w:val="RARMPnumberedparagraphs"/>
        <w:rPr>
          <w:rFonts w:cs="Calibri"/>
          <w:szCs w:val="22"/>
        </w:rPr>
      </w:pPr>
      <w:r w:rsidRPr="00E52B4D">
        <w:rPr>
          <w:szCs w:val="22"/>
        </w:rPr>
        <w:t xml:space="preserve">Outbreaks of </w:t>
      </w:r>
      <w:proofErr w:type="spellStart"/>
      <w:r w:rsidR="005A0A38" w:rsidRPr="00E52B4D">
        <w:rPr>
          <w:szCs w:val="22"/>
        </w:rPr>
        <w:t>H</w:t>
      </w:r>
      <w:r w:rsidR="00F136DB" w:rsidRPr="00E52B4D">
        <w:rPr>
          <w:szCs w:val="22"/>
        </w:rPr>
        <w:t>Ad</w:t>
      </w:r>
      <w:r w:rsidR="00103AAC" w:rsidRPr="00E52B4D">
        <w:rPr>
          <w:szCs w:val="22"/>
        </w:rPr>
        <w:t>Vs</w:t>
      </w:r>
      <w:proofErr w:type="spellEnd"/>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summer, however infections can occur throughout the year. </w:t>
      </w:r>
      <w:r w:rsidR="006A658B">
        <w:rPr>
          <w:szCs w:val="22"/>
        </w:rPr>
        <w:t xml:space="preserve">After natural </w:t>
      </w:r>
      <w:proofErr w:type="spellStart"/>
      <w:r w:rsidR="006A658B">
        <w:rPr>
          <w:szCs w:val="22"/>
        </w:rPr>
        <w:t>HAdV</w:t>
      </w:r>
      <w:proofErr w:type="spellEnd"/>
      <w:r w:rsidR="006A658B">
        <w:rPr>
          <w:szCs w:val="22"/>
        </w:rPr>
        <w:t xml:space="preserve"> infection, t</w:t>
      </w:r>
      <w:r w:rsidRPr="00E52B4D">
        <w:rPr>
          <w:szCs w:val="22"/>
        </w:rPr>
        <w:t xml:space="preserve">he incubation period of </w:t>
      </w:r>
      <w:proofErr w:type="spellStart"/>
      <w:r w:rsidRPr="00E52B4D">
        <w:rPr>
          <w:szCs w:val="22"/>
        </w:rPr>
        <w:t>HAdVs</w:t>
      </w:r>
      <w:proofErr w:type="spellEnd"/>
      <w:r w:rsidRPr="00E52B4D">
        <w:rPr>
          <w:szCs w:val="22"/>
        </w:rPr>
        <w:t xml:space="preserve"> ranges from 2 days to 2 weeks, depending on the viral </w:t>
      </w:r>
      <w:r w:rsidRPr="00E52B4D">
        <w:rPr>
          <w:szCs w:val="22"/>
        </w:rPr>
        <w:lastRenderedPageBreak/>
        <w:t xml:space="preserve">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245BC5">
        <w:rPr>
          <w:rFonts w:cs="Calibri"/>
          <w:szCs w:val="22"/>
        </w:rPr>
        <w:instrText xml:space="preserve"> ADDIN EN.CITE &lt;EndNote&gt;&lt;Cite&gt;&lt;Author&gt;Allard and Vantarakis&lt;/Author&gt;&lt;Year&gt;2017&lt;/Year&gt;&lt;RecNum&gt;25&lt;/RecNum&gt;&lt;DisplayText&gt;(Allard and Vantarakis, 2017; Public Health Agency of Canada, 2014)&lt;/DisplayText&gt;&lt;record&gt;&lt;rec-number&gt;25&lt;/rec-number&gt;&lt;foreign-keys&gt;&lt;key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5B0F2F">
        <w:rPr>
          <w:rFonts w:cs="Calibri"/>
          <w:noProof/>
          <w:szCs w:val="22"/>
        </w:rPr>
        <w:t>(</w:t>
      </w:r>
      <w:hyperlink w:anchor="_ENREF_6" w:tooltip="Allard and Vantarakis, 2017 #25" w:history="1">
        <w:r w:rsidR="0027195B">
          <w:rPr>
            <w:rFonts w:cs="Calibri"/>
            <w:noProof/>
            <w:szCs w:val="22"/>
          </w:rPr>
          <w:t>Allard and Vantarakis, 2017</w:t>
        </w:r>
      </w:hyperlink>
      <w:r w:rsidR="005B0F2F">
        <w:rPr>
          <w:rFonts w:cs="Calibri"/>
          <w:noProof/>
          <w:szCs w:val="22"/>
        </w:rPr>
        <w:t xml:space="preserve">; </w:t>
      </w:r>
      <w:hyperlink w:anchor="_ENREF_70" w:tooltip="Public Health Agency of Canada, 2014 #64" w:history="1">
        <w:r w:rsidR="0027195B">
          <w:rPr>
            <w:rFonts w:cs="Calibri"/>
            <w:noProof/>
            <w:szCs w:val="22"/>
          </w:rPr>
          <w:t>Public Health Agency of Canada, 2014</w:t>
        </w:r>
      </w:hyperlink>
      <w:r w:rsidR="005B0F2F">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245BC5">
        <w:rPr>
          <w:rFonts w:cs="Calibr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6" w:tooltip="Allard and Vantarakis, 2017 #25" w:history="1">
        <w:r w:rsidR="0027195B">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656E8050" w14:textId="45DE1F68" w:rsidR="00CD6FBF" w:rsidRDefault="00A26BD6" w:rsidP="00B37F6E">
      <w:pPr>
        <w:pStyle w:val="RARMPnumberedparagraphs"/>
        <w:rPr>
          <w:rFonts w:asciiTheme="minorHAnsi" w:hAnsiTheme="minorHAnsi"/>
          <w:szCs w:val="22"/>
        </w:rPr>
      </w:pPr>
      <w:r>
        <w:rPr>
          <w:rFonts w:asciiTheme="minorHAnsi" w:hAnsiTheme="minorHAnsi"/>
          <w:szCs w:val="22"/>
        </w:rPr>
        <w:t xml:space="preserve">The parental species, </w:t>
      </w:r>
      <w:proofErr w:type="spellStart"/>
      <w:r w:rsidR="00CD6FBF">
        <w:rPr>
          <w:rFonts w:asciiTheme="minorHAnsi" w:hAnsiTheme="minorHAnsi"/>
          <w:szCs w:val="22"/>
        </w:rPr>
        <w:t>HAdV</w:t>
      </w:r>
      <w:proofErr w:type="spellEnd"/>
      <w:r w:rsidR="00CD6FBF">
        <w:rPr>
          <w:rFonts w:asciiTheme="minorHAnsi" w:hAnsiTheme="minorHAnsi"/>
          <w:szCs w:val="22"/>
        </w:rPr>
        <w:t>-C</w:t>
      </w:r>
      <w:r>
        <w:rPr>
          <w:rFonts w:asciiTheme="minorHAnsi" w:hAnsiTheme="minorHAnsi"/>
          <w:szCs w:val="22"/>
        </w:rPr>
        <w:t>,</w:t>
      </w:r>
      <w:r w:rsidR="00CD6FBF">
        <w:rPr>
          <w:rFonts w:asciiTheme="minorHAnsi" w:hAnsiTheme="minorHAnsi"/>
          <w:szCs w:val="22"/>
        </w:rPr>
        <w:t xml:space="preserve"> has been mainly associated with acute respiratory tract infections in children and is the most common serotype reported in most populations</w:t>
      </w:r>
      <w:r w:rsidR="003F5A55">
        <w:rPr>
          <w:rFonts w:asciiTheme="minorHAnsi" w:hAnsiTheme="minorHAnsi"/>
          <w:szCs w:val="22"/>
        </w:rPr>
        <w:t>, with ant</w:t>
      </w:r>
      <w:r>
        <w:rPr>
          <w:rFonts w:asciiTheme="minorHAnsi" w:hAnsiTheme="minorHAnsi"/>
          <w:szCs w:val="22"/>
        </w:rPr>
        <w:t>i</w:t>
      </w:r>
      <w:r w:rsidR="003F5A55">
        <w:rPr>
          <w:rFonts w:asciiTheme="minorHAnsi" w:hAnsiTheme="minorHAnsi"/>
          <w:szCs w:val="22"/>
        </w:rPr>
        <w:t>-HAdV</w:t>
      </w:r>
      <w:r w:rsidR="006A1285">
        <w:rPr>
          <w:rFonts w:asciiTheme="minorHAnsi" w:hAnsiTheme="minorHAnsi"/>
          <w:szCs w:val="22"/>
        </w:rPr>
        <w:t>-C5 antibodies detected in almost 85% of the population</w:t>
      </w:r>
      <w:r w:rsidR="00CD6FBF">
        <w:rPr>
          <w:rFonts w:asciiTheme="minorHAnsi" w:hAnsiTheme="minorHAnsi"/>
          <w:szCs w:val="22"/>
        </w:rPr>
        <w:t xml:space="preserve"> </w:t>
      </w:r>
      <w:r w:rsidR="00425C51">
        <w:rPr>
          <w:rFonts w:asciiTheme="minorHAnsi" w:hAnsiTheme="minorHAnsi"/>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rFonts w:asciiTheme="minorHAnsi" w:hAnsiTheme="minorHAnsi"/>
          <w:szCs w:val="22"/>
        </w:rPr>
        <w:instrText xml:space="preserve"> ADDIN EN.CITE </w:instrText>
      </w:r>
      <w:r w:rsidR="002219B9">
        <w:rPr>
          <w:rFonts w:asciiTheme="minorHAnsi" w:hAnsiTheme="minorHAnsi"/>
          <w:szCs w:val="22"/>
        </w:rPr>
        <w:fldChar w:fldCharType="begin">
          <w:fldData xml:space="preserve">PEVuZE5vdGU+PENpdGU+PEF1dGhvcj5NZW5uZWNoZXQ8L0F1dGhvcj48WWVhcj4yMDE5PC9ZZWFy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=
</w:fldData>
        </w:fldChar>
      </w:r>
      <w:r w:rsidR="002219B9">
        <w:rPr>
          <w:rFonts w:asciiTheme="minorHAnsi" w:hAnsiTheme="minorHAnsi"/>
          <w:szCs w:val="22"/>
        </w:rPr>
        <w:instrText xml:space="preserve"> ADDIN EN.CITE.DATA </w:instrText>
      </w:r>
      <w:r w:rsidR="002219B9">
        <w:rPr>
          <w:rFonts w:asciiTheme="minorHAnsi" w:hAnsiTheme="minorHAnsi"/>
          <w:szCs w:val="22"/>
        </w:rPr>
      </w:r>
      <w:r w:rsidR="002219B9">
        <w:rPr>
          <w:rFonts w:asciiTheme="minorHAnsi" w:hAnsiTheme="minorHAnsi"/>
          <w:szCs w:val="22"/>
        </w:rPr>
        <w:fldChar w:fldCharType="end"/>
      </w:r>
      <w:r w:rsidR="00425C51">
        <w:rPr>
          <w:rFonts w:asciiTheme="minorHAnsi" w:hAnsiTheme="minorHAnsi"/>
          <w:szCs w:val="22"/>
        </w:rPr>
      </w:r>
      <w:r w:rsidR="00425C51">
        <w:rPr>
          <w:rFonts w:asciiTheme="minorHAnsi" w:hAnsiTheme="minorHAnsi"/>
          <w:szCs w:val="22"/>
        </w:rPr>
        <w:fldChar w:fldCharType="separate"/>
      </w:r>
      <w:r w:rsidR="002219B9">
        <w:rPr>
          <w:rFonts w:asciiTheme="minorHAnsi" w:hAnsiTheme="minorHAnsi"/>
          <w:noProof/>
          <w:szCs w:val="22"/>
        </w:rPr>
        <w:t>(</w:t>
      </w:r>
      <w:hyperlink w:anchor="_ENREF_50" w:tooltip="Leikas, 2023 #163" w:history="1">
        <w:r w:rsidR="0027195B">
          <w:rPr>
            <w:rFonts w:asciiTheme="minorHAnsi" w:hAnsiTheme="minorHAnsi"/>
            <w:noProof/>
            <w:szCs w:val="22"/>
          </w:rPr>
          <w:t>Leikas et al., 2023a</w:t>
        </w:r>
      </w:hyperlink>
      <w:r w:rsidR="002219B9">
        <w:rPr>
          <w:rFonts w:asciiTheme="minorHAnsi" w:hAnsiTheme="minorHAnsi"/>
          <w:noProof/>
          <w:szCs w:val="22"/>
        </w:rPr>
        <w:t xml:space="preserve">; </w:t>
      </w:r>
      <w:hyperlink w:anchor="_ENREF_60" w:tooltip="Mennechet, 2019 #58" w:history="1">
        <w:r w:rsidR="0027195B">
          <w:rPr>
            <w:rFonts w:asciiTheme="minorHAnsi" w:hAnsiTheme="minorHAnsi"/>
            <w:noProof/>
            <w:szCs w:val="22"/>
          </w:rPr>
          <w:t>Mennechet et al., 2019a</w:t>
        </w:r>
      </w:hyperlink>
      <w:r w:rsidR="002219B9">
        <w:rPr>
          <w:rFonts w:asciiTheme="minorHAnsi" w:hAnsiTheme="minorHAnsi"/>
          <w:noProof/>
          <w:szCs w:val="22"/>
        </w:rPr>
        <w:t>)</w:t>
      </w:r>
      <w:r w:rsidR="00425C51">
        <w:rPr>
          <w:rFonts w:asciiTheme="minorHAnsi" w:hAnsiTheme="minorHAnsi"/>
          <w:szCs w:val="22"/>
        </w:rPr>
        <w:fldChar w:fldCharType="end"/>
      </w:r>
      <w:r w:rsidR="0041114C">
        <w:rPr>
          <w:rFonts w:asciiTheme="minorHAnsi" w:hAnsiTheme="minorHAnsi"/>
          <w:szCs w:val="22"/>
        </w:rPr>
        <w:t xml:space="preserve">. </w:t>
      </w:r>
    </w:p>
    <w:p w14:paraId="40E2A64B" w14:textId="1E766F20" w:rsidR="00922F34" w:rsidRDefault="003534AF" w:rsidP="00FA0361">
      <w:pPr>
        <w:pStyle w:val="3RARMP"/>
      </w:pPr>
      <w:bookmarkStart w:id="139" w:name="_Ref66268738"/>
      <w:bookmarkStart w:id="140" w:name="_Ref66268748"/>
      <w:bookmarkStart w:id="141" w:name="_Toc226975001"/>
      <w:bookmarkStart w:id="142" w:name="_Toc53666209"/>
      <w:bookmarkStart w:id="143" w:name="_Toc53675470"/>
      <w:r>
        <w:t xml:space="preserve">Structure </w:t>
      </w:r>
      <w:r w:rsidRPr="00FA0361">
        <w:t>and</w:t>
      </w:r>
      <w:r>
        <w:t xml:space="preserve"> genomic organisation</w:t>
      </w:r>
      <w:bookmarkEnd w:id="139"/>
      <w:bookmarkEnd w:id="140"/>
      <w:bookmarkEnd w:id="141"/>
      <w:r>
        <w:t xml:space="preserve"> </w:t>
      </w:r>
      <w:bookmarkEnd w:id="142"/>
      <w:bookmarkEnd w:id="143"/>
    </w:p>
    <w:p w14:paraId="04909CFE" w14:textId="2B03C3EC" w:rsidR="00BB20C2" w:rsidRPr="00E52B4D" w:rsidRDefault="00A26BD6" w:rsidP="003534AF">
      <w:pPr>
        <w:pStyle w:val="RARMPnumberedparagraphs"/>
        <w:rPr>
          <w:rFonts w:cs="Calibri"/>
          <w:strike/>
          <w:szCs w:val="22"/>
        </w:rPr>
      </w:pPr>
      <w:r>
        <w:rPr>
          <w:szCs w:val="22"/>
        </w:rPr>
        <w:t>Adenoviruse</w:t>
      </w:r>
      <w:r w:rsidRPr="00E52B4D">
        <w:rPr>
          <w:szCs w:val="22"/>
        </w:rPr>
        <w:t xml:space="preserve">s </w:t>
      </w:r>
      <w:r w:rsidR="000A657C" w:rsidRPr="00E52B4D">
        <w:rPr>
          <w:szCs w:val="22"/>
        </w:rPr>
        <w:t xml:space="preserve">are non-enveloped, double-stranded DNA viruses with an icosahedral </w:t>
      </w:r>
      <w:r w:rsidR="006C1B8E">
        <w:rPr>
          <w:szCs w:val="22"/>
        </w:rPr>
        <w:t xml:space="preserve">capsid comprising of </w:t>
      </w:r>
      <w:r w:rsidR="004B757C">
        <w:rPr>
          <w:szCs w:val="22"/>
        </w:rPr>
        <w:t xml:space="preserve">3 </w:t>
      </w:r>
      <w:r w:rsidR="006C1B8E">
        <w:rPr>
          <w:szCs w:val="22"/>
        </w:rPr>
        <w:t>major (</w:t>
      </w:r>
      <w:proofErr w:type="spellStart"/>
      <w:r w:rsidR="006C1B8E">
        <w:rPr>
          <w:szCs w:val="22"/>
        </w:rPr>
        <w:t>hexon</w:t>
      </w:r>
      <w:proofErr w:type="spellEnd"/>
      <w:r w:rsidR="006C1B8E">
        <w:rPr>
          <w:szCs w:val="22"/>
        </w:rPr>
        <w:t xml:space="preserve">, penton base and </w:t>
      </w:r>
      <w:proofErr w:type="spellStart"/>
      <w:r w:rsidR="006C1B8E">
        <w:rPr>
          <w:szCs w:val="22"/>
        </w:rPr>
        <w:t>fiber</w:t>
      </w:r>
      <w:proofErr w:type="spellEnd"/>
      <w:r w:rsidR="006C1B8E">
        <w:rPr>
          <w:szCs w:val="22"/>
        </w:rPr>
        <w:t xml:space="preserve">) and </w:t>
      </w:r>
      <w:r w:rsidR="004B757C">
        <w:rPr>
          <w:szCs w:val="22"/>
        </w:rPr>
        <w:t xml:space="preserve">4 </w:t>
      </w:r>
      <w:r w:rsidR="006C1B8E">
        <w:rPr>
          <w:szCs w:val="22"/>
        </w:rPr>
        <w:t>minor (protein IX, VIII, IIIa and VI) proteins;</w:t>
      </w:r>
      <w:r w:rsidR="000A657C"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 </w:instrText>
      </w:r>
      <w:r w:rsidR="00824706">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25C51">
        <w:rPr>
          <w:noProof/>
          <w:szCs w:val="22"/>
        </w:rPr>
        <w:t>(</w:t>
      </w:r>
      <w:hyperlink w:anchor="_ENREF_75" w:tooltip="Robinson, 2011 #67" w:history="1">
        <w:r w:rsidR="0027195B">
          <w:rPr>
            <w:noProof/>
            <w:szCs w:val="22"/>
          </w:rPr>
          <w:t>Robinson et al., 2011</w:t>
        </w:r>
      </w:hyperlink>
      <w:r w:rsidR="00425C51">
        <w:rPr>
          <w:noProof/>
          <w:szCs w:val="22"/>
        </w:rPr>
        <w:t xml:space="preserve">; </w:t>
      </w:r>
      <w:hyperlink w:anchor="_ENREF_104" w:tooltip="Yu, 2017 #68" w:history="1">
        <w:r w:rsidR="0027195B">
          <w:rPr>
            <w:noProof/>
            <w:szCs w:val="22"/>
          </w:rPr>
          <w:t>Yu et al., 2017</w:t>
        </w:r>
      </w:hyperlink>
      <w:r w:rsidR="00425C51">
        <w:rPr>
          <w:noProof/>
          <w:szCs w:val="22"/>
        </w:rPr>
        <w:t>)</w:t>
      </w:r>
      <w:r w:rsidR="004E20C9">
        <w:rPr>
          <w:szCs w:val="22"/>
        </w:rPr>
        <w:fldChar w:fldCharType="end"/>
      </w:r>
      <w:r w:rsidR="0075015A">
        <w:rPr>
          <w:szCs w:val="22"/>
        </w:rPr>
        <w:t xml:space="preserve">. </w:t>
      </w:r>
      <w:r w:rsidR="00BB20C2"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00BB20C2" w:rsidRPr="00E52B4D">
        <w:rPr>
          <w:szCs w:val="22"/>
        </w:rPr>
        <w:t xml:space="preserve"> </w:t>
      </w:r>
      <w:r>
        <w:rPr>
          <w:szCs w:val="22"/>
        </w:rPr>
        <w:t>is</w:t>
      </w:r>
      <w:r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5B0F2F">
        <w:rPr>
          <w:szCs w:val="22"/>
        </w:rPr>
        <w:instrText xml:space="preserve"> ADDIN EN.CITE </w:instrText>
      </w:r>
      <w:r w:rsidR="005B0F2F">
        <w:rPr>
          <w:szCs w:val="22"/>
        </w:rPr>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5B0F2F">
        <w:rPr>
          <w:szCs w:val="22"/>
        </w:rPr>
        <w:instrText xml:space="preserve"> ADDIN EN.CITE.DATA </w:instrText>
      </w:r>
      <w:r w:rsidR="005B0F2F">
        <w:rPr>
          <w:szCs w:val="22"/>
        </w:rPr>
      </w:r>
      <w:r w:rsidR="005B0F2F">
        <w:rPr>
          <w:szCs w:val="22"/>
        </w:rPr>
        <w:fldChar w:fldCharType="end"/>
      </w:r>
      <w:r w:rsidR="008E0433">
        <w:rPr>
          <w:szCs w:val="22"/>
        </w:rPr>
      </w:r>
      <w:r w:rsidR="008E0433">
        <w:rPr>
          <w:szCs w:val="22"/>
        </w:rPr>
        <w:fldChar w:fldCharType="separate"/>
      </w:r>
      <w:r w:rsidR="005B0F2F">
        <w:rPr>
          <w:noProof/>
          <w:szCs w:val="22"/>
        </w:rPr>
        <w:t>(</w:t>
      </w:r>
      <w:hyperlink w:anchor="_ENREF_17" w:tooltip="Charman, 2019 #69" w:history="1">
        <w:r w:rsidR="0027195B">
          <w:rPr>
            <w:noProof/>
            <w:szCs w:val="22"/>
          </w:rPr>
          <w:t>Charman et al., 2019</w:t>
        </w:r>
      </w:hyperlink>
      <w:r w:rsidR="005B0F2F">
        <w:rPr>
          <w:noProof/>
          <w:szCs w:val="22"/>
        </w:rPr>
        <w:t xml:space="preserve">; </w:t>
      </w:r>
      <w:hyperlink w:anchor="_ENREF_48" w:tooltip="Lasaro, 2009 #70" w:history="1">
        <w:r w:rsidR="0027195B">
          <w:rPr>
            <w:noProof/>
            <w:szCs w:val="22"/>
          </w:rPr>
          <w:t>Lasaro and Ertl, 2009</w:t>
        </w:r>
      </w:hyperlink>
      <w:r w:rsidR="005B0F2F">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57F51B48" w:rsidR="00311516" w:rsidRPr="00E52B4D" w:rsidRDefault="006968F1" w:rsidP="00C6295B">
      <w:pPr>
        <w:pStyle w:val="RARMPnumberedparagraphs"/>
        <w:rPr>
          <w:szCs w:val="22"/>
        </w:rPr>
      </w:pPr>
      <w:r>
        <w:rPr>
          <w:szCs w:val="22"/>
        </w:rPr>
        <w:t xml:space="preserve">The </w:t>
      </w:r>
      <w:proofErr w:type="spellStart"/>
      <w:r w:rsidR="0023386B" w:rsidRPr="00E52B4D">
        <w:rPr>
          <w:szCs w:val="22"/>
        </w:rPr>
        <w:t>H</w:t>
      </w:r>
      <w:r w:rsidR="00F136DB" w:rsidRPr="00E52B4D">
        <w:rPr>
          <w:szCs w:val="22"/>
        </w:rPr>
        <w:t>Ad</w:t>
      </w:r>
      <w:r w:rsidR="00C309F2" w:rsidRPr="00E52B4D">
        <w:rPr>
          <w:szCs w:val="22"/>
        </w:rPr>
        <w:t>V</w:t>
      </w:r>
      <w:proofErr w:type="spellEnd"/>
      <w:r w:rsidR="009D1B37" w:rsidRPr="00E52B4D">
        <w:rPr>
          <w:szCs w:val="22"/>
        </w:rPr>
        <w:t xml:space="preserve"> genome </w:t>
      </w:r>
      <w:r w:rsidR="000863C7" w:rsidRPr="00E52B4D">
        <w:rPr>
          <w:szCs w:val="22"/>
        </w:rPr>
        <w:t>co</w:t>
      </w:r>
      <w:r w:rsidR="0084682A">
        <w:rPr>
          <w:szCs w:val="22"/>
        </w:rPr>
        <w:t>nsists of</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163EB7">
        <w:rPr>
          <w:szCs w:val="22"/>
        </w:rPr>
        <w:t>Figure 2</w:t>
      </w:r>
      <w:r w:rsidR="00922F34" w:rsidRPr="00BE17CC">
        <w:rPr>
          <w:szCs w:val="22"/>
        </w:rPr>
        <w:t xml:space="preserve">). </w:t>
      </w:r>
      <w:r w:rsidR="0084682A">
        <w:rPr>
          <w:szCs w:val="22"/>
        </w:rPr>
        <w:t>The e</w:t>
      </w:r>
      <w:r w:rsidR="00922F34" w:rsidRPr="00E52B4D">
        <w:rPr>
          <w:szCs w:val="22"/>
        </w:rPr>
        <w:t>arly genes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UmVjTnVtPjcxPC9SZWNOdW0+PERpc3BsYXlUZXh0PihBZmtoYW1pIGV0IGFsLiwgMjAxNjsgTGFz
YXJvIGFuZCBFcnRsLCAyMDA5OyBSb3kgZXQgYWwuLCAyMDA0OyBTYWhhIGFuZCBQYXJrcywgMjAx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5B0F2F">
        <w:rPr>
          <w:szCs w:val="22"/>
        </w:rPr>
        <w:instrText xml:space="preserve"> ADDIN EN.CITE </w:instrText>
      </w:r>
      <w:r w:rsidR="005B0F2F">
        <w:rPr>
          <w:szCs w:val="22"/>
        </w:rPr>
        <w:fldChar w:fldCharType="begin">
          <w:fldData xml:space="preserve">PEVuZE5vdGU+PENpdGU+PEF1dGhvcj5BZmtoYW1pPC9BdXRob3I+PFllYXI+MjAxNjwvWWVhcj48
UmVjTnVtPjcxPC9SZWNOdW0+PERpc3BsYXlUZXh0PihBZmtoYW1pIGV0IGFsLiwgMjAxNjsgTGFz
YXJvIGFuZCBFcnRsLCAyMDA5OyBSb3kgZXQgYWwuLCAyMDA0OyBTYWhhIGFuZCBQYXJrcywgMjAx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5B0F2F">
        <w:rPr>
          <w:szCs w:val="22"/>
        </w:rPr>
        <w:instrText xml:space="preserve"> ADDIN EN.CITE.DATA </w:instrText>
      </w:r>
      <w:r w:rsidR="005B0F2F">
        <w:rPr>
          <w:szCs w:val="22"/>
        </w:rPr>
      </w:r>
      <w:r w:rsidR="005B0F2F">
        <w:rPr>
          <w:szCs w:val="22"/>
        </w:rPr>
        <w:fldChar w:fldCharType="end"/>
      </w:r>
      <w:r w:rsidR="00AE7809">
        <w:rPr>
          <w:szCs w:val="22"/>
        </w:rPr>
      </w:r>
      <w:r w:rsidR="00AE7809">
        <w:rPr>
          <w:szCs w:val="22"/>
        </w:rPr>
        <w:fldChar w:fldCharType="separate"/>
      </w:r>
      <w:r w:rsidR="005B0F2F">
        <w:rPr>
          <w:noProof/>
          <w:szCs w:val="22"/>
        </w:rPr>
        <w:t>(</w:t>
      </w:r>
      <w:hyperlink w:anchor="_ENREF_4" w:tooltip="Afkhami, 2016 #71" w:history="1">
        <w:r w:rsidR="0027195B">
          <w:rPr>
            <w:noProof/>
            <w:szCs w:val="22"/>
          </w:rPr>
          <w:t>Afkhami et al., 2016</w:t>
        </w:r>
      </w:hyperlink>
      <w:r w:rsidR="005B0F2F">
        <w:rPr>
          <w:noProof/>
          <w:szCs w:val="22"/>
        </w:rPr>
        <w:t xml:space="preserve">; </w:t>
      </w:r>
      <w:hyperlink w:anchor="_ENREF_48" w:tooltip="Lasaro, 2009 #70" w:history="1">
        <w:r w:rsidR="0027195B">
          <w:rPr>
            <w:noProof/>
            <w:szCs w:val="22"/>
          </w:rPr>
          <w:t>Lasaro and Ertl, 2009</w:t>
        </w:r>
      </w:hyperlink>
      <w:r w:rsidR="005B0F2F">
        <w:rPr>
          <w:noProof/>
          <w:szCs w:val="22"/>
        </w:rPr>
        <w:t xml:space="preserve">; </w:t>
      </w:r>
      <w:hyperlink w:anchor="_ENREF_76" w:tooltip="Roy, 2004 #73" w:history="1">
        <w:r w:rsidR="0027195B">
          <w:rPr>
            <w:noProof/>
            <w:szCs w:val="22"/>
          </w:rPr>
          <w:t>Roy et al., 2004</w:t>
        </w:r>
      </w:hyperlink>
      <w:r w:rsidR="005B0F2F">
        <w:rPr>
          <w:noProof/>
          <w:szCs w:val="22"/>
        </w:rPr>
        <w:t xml:space="preserve">; </w:t>
      </w:r>
      <w:hyperlink w:anchor="_ENREF_79" w:tooltip="Saha, 2017 #72" w:history="1">
        <w:r w:rsidR="0027195B">
          <w:rPr>
            <w:noProof/>
            <w:szCs w:val="22"/>
          </w:rPr>
          <w:t>Saha and Parks, 2017</w:t>
        </w:r>
      </w:hyperlink>
      <w:r w:rsidR="005B0F2F">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drawing>
          <wp:inline distT="0" distB="0" distL="0" distR="0" wp14:anchorId="1D2013C2" wp14:editId="1609D635">
            <wp:extent cx="5831840" cy="3093085"/>
            <wp:effectExtent l="0" t="0" r="0" b="0"/>
            <wp:docPr id="9" name="Picture 9" descr="Figure 2. Functions, organisation and structure of adenovirus genome (Afkhami et al.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Functions, organisation and structure of adenovirus genome (Afkhami et al. 2016). "/>
                    <pic:cNvPicPr/>
                  </pic:nvPicPr>
                  <pic:blipFill>
                    <a:blip r:embed="rId27"/>
                    <a:stretch>
                      <a:fillRect/>
                    </a:stretch>
                  </pic:blipFill>
                  <pic:spPr>
                    <a:xfrm>
                      <a:off x="0" y="0"/>
                      <a:ext cx="5831840" cy="3093085"/>
                    </a:xfrm>
                    <a:prstGeom prst="rect">
                      <a:avLst/>
                    </a:prstGeom>
                  </pic:spPr>
                </pic:pic>
              </a:graphicData>
            </a:graphic>
          </wp:inline>
        </w:drawing>
      </w:r>
    </w:p>
    <w:p w14:paraId="3ADFF70E" w14:textId="345A055C" w:rsidR="009D1B37" w:rsidRPr="00293759" w:rsidRDefault="002F0258" w:rsidP="006F72AC">
      <w:pPr>
        <w:pStyle w:val="Caption-Figure"/>
      </w:pPr>
      <w:bookmarkStart w:id="144" w:name="_Ref55375993"/>
      <w:r>
        <w:t>Figure</w:t>
      </w:r>
      <w:bookmarkEnd w:id="144"/>
      <w:r w:rsidR="00163EB7">
        <w:t xml:space="preserve"> 2</w:t>
      </w:r>
      <w:r>
        <w:t>:</w:t>
      </w:r>
      <w:r w:rsidR="009D1B37" w:rsidRPr="00293759">
        <w:t xml:space="preserve"> Functions, organisation and structure of adenovirus genome</w:t>
      </w:r>
      <w:r w:rsidR="002C1F94">
        <w:t xml:space="preserve"> </w:t>
      </w:r>
      <w:r w:rsidR="00AE7809">
        <w:fldChar w:fldCharType="begin"/>
      </w:r>
      <w:r w:rsidR="00824706">
        <w:instrText xml:space="preserve"> ADDIN EN.CITE &lt;EndNote&gt;&lt;Cite&gt;&lt;Author&gt;Afkhami&lt;/Author&gt;&lt;Year&gt;2016&lt;/Year&gt;&lt;RecNum&gt;71&lt;/RecNum&gt;&lt;DisplayText&gt;(Afkhami et al., 2016)&lt;/DisplayText&gt;&lt;record&gt;&lt;rec-number&gt;71&lt;/rec-number&gt;&lt;foreign-keys&gt;&lt;key app="EN" db-id="verwe2fxj5fev7epfz8xtdvez025feseze0z" timestamp="1733275116"&gt;71&lt;/key&gt;&lt;/foreign-keys&gt;&lt;ref-type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4" w:tooltip="Afkhami, 2016 #71" w:history="1">
        <w:r w:rsidR="0027195B">
          <w:rPr>
            <w:noProof/>
          </w:rPr>
          <w:t>Afkhami et al., 2016</w:t>
        </w:r>
      </w:hyperlink>
      <w:r w:rsidR="00AE7809">
        <w:rPr>
          <w:noProof/>
        </w:rPr>
        <w:t>)</w:t>
      </w:r>
      <w:r w:rsidR="00AE7809">
        <w:fldChar w:fldCharType="end"/>
      </w:r>
    </w:p>
    <w:p w14:paraId="775A4A32" w14:textId="73B29358" w:rsidR="004D6F30" w:rsidRPr="00E52B4D" w:rsidRDefault="00FB56FB" w:rsidP="004D6F30">
      <w:pPr>
        <w:pStyle w:val="RARMPnumberedparagraphs"/>
        <w:rPr>
          <w:szCs w:val="22"/>
        </w:rPr>
      </w:pPr>
      <w:bookmarkStart w:id="145"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w:t>
      </w:r>
      <w:r w:rsidR="004D6F30" w:rsidRPr="00E52B4D">
        <w:rPr>
          <w:szCs w:val="22"/>
        </w:rPr>
        <w:lastRenderedPageBreak/>
        <w: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w:t>
      </w:r>
      <w:r w:rsidR="00A26BD6">
        <w:rPr>
          <w:szCs w:val="22"/>
        </w:rPr>
        <w:t>,</w:t>
      </w:r>
      <w:r w:rsidR="00C95B9F">
        <w:rPr>
          <w:szCs w:val="22"/>
        </w:rPr>
        <w:t xml:space="preserve">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45"/>
      <w:r w:rsidR="004D6F30" w:rsidRPr="00E52B4D">
        <w:rPr>
          <w:szCs w:val="22"/>
        </w:rPr>
        <w:t xml:space="preserve"> </w:t>
      </w:r>
    </w:p>
    <w:p w14:paraId="30AF70F1" w14:textId="2E975464" w:rsidR="00BB20C2" w:rsidRDefault="004D6F30" w:rsidP="009D1B37">
      <w:pPr>
        <w:pStyle w:val="RARMPnumberedparagraphs"/>
        <w:rPr>
          <w:szCs w:val="22"/>
        </w:rPr>
      </w:pPr>
      <w:bookmarkStart w:id="146" w:name="_Ref63065922"/>
      <w:r w:rsidRPr="00E52B4D">
        <w:rPr>
          <w:szCs w:val="22"/>
        </w:rPr>
        <w:t xml:space="preserve">The E2 </w:t>
      </w:r>
      <w:r w:rsidR="00664285">
        <w:rPr>
          <w:szCs w:val="22"/>
        </w:rPr>
        <w:t>gene</w:t>
      </w:r>
      <w:r w:rsidR="008B1707">
        <w:rPr>
          <w:szCs w:val="22"/>
        </w:rPr>
        <w:t xml:space="preserve"> </w:t>
      </w:r>
      <w:r w:rsidR="00A26BD6">
        <w:rPr>
          <w:szCs w:val="22"/>
        </w:rPr>
        <w:t>consists of</w:t>
      </w:r>
      <w:r w:rsidR="008B1707">
        <w:rPr>
          <w:szCs w:val="22"/>
        </w:rPr>
        <w:t xml:space="preserve"> </w:t>
      </w:r>
      <w:r w:rsidR="00B7319E" w:rsidRPr="00E52B4D">
        <w:rPr>
          <w:szCs w:val="22"/>
        </w:rPr>
        <w:t>E2A and E2B</w:t>
      </w:r>
      <w:r w:rsidR="00C7544A">
        <w:rPr>
          <w:szCs w:val="22"/>
        </w:rPr>
        <w:t>,</w:t>
      </w:r>
      <w:r w:rsidR="00B7319E" w:rsidRPr="00E52B4D">
        <w:rPr>
          <w:szCs w:val="22"/>
        </w:rPr>
        <w:t xml:space="preserve"> that </w:t>
      </w:r>
      <w:r w:rsidR="00FB56FB" w:rsidRPr="00E52B4D">
        <w:rPr>
          <w:szCs w:val="22"/>
        </w:rPr>
        <w:t>encode E2 proteins</w:t>
      </w:r>
      <w:r w:rsidR="00C7544A">
        <w:rPr>
          <w:szCs w:val="22"/>
        </w:rPr>
        <w:t>.</w:t>
      </w:r>
      <w:r w:rsidR="00FB56FB" w:rsidRPr="00E52B4D">
        <w:rPr>
          <w:szCs w:val="22"/>
        </w:rPr>
        <w:t xml:space="preserve"> </w:t>
      </w:r>
      <w:r w:rsidR="00C7544A">
        <w:rPr>
          <w:szCs w:val="22"/>
        </w:rPr>
        <w:t>The E2 proteins</w:t>
      </w:r>
      <w:r w:rsidR="00C7544A" w:rsidRPr="00E52B4D">
        <w:rPr>
          <w:szCs w:val="22"/>
        </w:rPr>
        <w:t xml:space="preserve"> </w:t>
      </w:r>
      <w:r w:rsidR="00FB56FB" w:rsidRPr="00E52B4D">
        <w:rPr>
          <w:szCs w:val="22"/>
        </w:rPr>
        <w:t>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6" w:tooltip="Roy, 2004 #73" w:history="1">
        <w:r w:rsidR="0027195B">
          <w:rPr>
            <w:noProof/>
            <w:szCs w:val="22"/>
          </w:rPr>
          <w:t>Roy et al., 2004</w:t>
        </w:r>
      </w:hyperlink>
      <w:r w:rsidR="00AE7809">
        <w:rPr>
          <w:noProof/>
          <w:szCs w:val="22"/>
        </w:rPr>
        <w:t xml:space="preserve">; </w:t>
      </w:r>
      <w:hyperlink w:anchor="_ENREF_79" w:tooltip="Saha, 2017 #72" w:history="1">
        <w:r w:rsidR="0027195B">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46"/>
    </w:p>
    <w:p w14:paraId="7E2670E7" w14:textId="6FDBDAC4" w:rsidR="0041114C" w:rsidRDefault="0084682A" w:rsidP="0041114C">
      <w:pPr>
        <w:pStyle w:val="RARMPnumberedparagraphs"/>
      </w:pPr>
      <w:r>
        <w:t>I</w:t>
      </w:r>
      <w:r w:rsidR="00425C51">
        <w:t xml:space="preserve">nteractions of proteins encoded by the adenovirus genome </w:t>
      </w:r>
      <w:r>
        <w:t>are</w:t>
      </w:r>
      <w:r w:rsidR="00425C51">
        <w:t xml:space="preserve"> required to form a mature infectious particle. </w:t>
      </w:r>
      <w:r w:rsidR="0041114C">
        <w:t xml:space="preserve">The </w:t>
      </w:r>
      <w:r w:rsidR="00F02A5D">
        <w:t xml:space="preserve">3 </w:t>
      </w:r>
      <w:r w:rsidR="0041114C">
        <w:t>major proteins (</w:t>
      </w:r>
      <w:proofErr w:type="spellStart"/>
      <w:r w:rsidR="0041114C">
        <w:t>hexon</w:t>
      </w:r>
      <w:proofErr w:type="spellEnd"/>
      <w:r w:rsidR="0041114C">
        <w:t xml:space="preserve">, penton and </w:t>
      </w:r>
      <w:proofErr w:type="spellStart"/>
      <w:r w:rsidR="0041114C">
        <w:t>fib</w:t>
      </w:r>
      <w:r w:rsidR="003F6085">
        <w:t>er</w:t>
      </w:r>
      <w:proofErr w:type="spellEnd"/>
      <w:r w:rsidR="0041114C">
        <w:t>) form the external capsid structure and “spikes” of the viral particle. The viral core proteins (V, VII and</w:t>
      </w:r>
      <w:r w:rsidR="003F6085">
        <w:t xml:space="preserve"> Mu</w:t>
      </w:r>
      <w:r w:rsidR="0041114C">
        <w:t xml:space="preserve">) mediate the interactions between the core and the capsid, while the minor proteins (IIIa, VI, VIII and IX) contribute to the structure and stability of the virion by acting as cement proteins, connecting the major structural proteins with each other and </w:t>
      </w:r>
      <w:r w:rsidR="00C7544A">
        <w:t xml:space="preserve">with </w:t>
      </w:r>
      <w:r w:rsidR="0041114C">
        <w:t>the viral core (see Figure 3)</w:t>
      </w:r>
      <w:r w:rsidR="00D130A7">
        <w:t xml:space="preserve"> </w:t>
      </w:r>
      <w:r w:rsidR="00F4140A">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0F689C">
        <w:instrText xml:space="preserve"> ADDIN EN.CITE </w:instrText>
      </w:r>
      <w:r w:rsidR="000F689C">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0F689C">
        <w:instrText xml:space="preserve"> ADDIN EN.CITE.DATA </w:instrText>
      </w:r>
      <w:r w:rsidR="000F689C">
        <w:fldChar w:fldCharType="end"/>
      </w:r>
      <w:r w:rsidR="00F4140A">
        <w:fldChar w:fldCharType="separate"/>
      </w:r>
      <w:r w:rsidR="00F4140A">
        <w:rPr>
          <w:noProof/>
        </w:rPr>
        <w:t>(</w:t>
      </w:r>
      <w:hyperlink w:anchor="_ENREF_55" w:tooltip="Liu, 2010 #74" w:history="1">
        <w:r w:rsidR="0027195B">
          <w:rPr>
            <w:noProof/>
          </w:rPr>
          <w:t>Liu et al., 2010</w:t>
        </w:r>
      </w:hyperlink>
      <w:r w:rsidR="00F4140A">
        <w:rPr>
          <w:noProof/>
        </w:rPr>
        <w:t xml:space="preserve">; </w:t>
      </w:r>
      <w:hyperlink w:anchor="_ENREF_72" w:tooltip="Reddy, 2010 #75" w:history="1">
        <w:r w:rsidR="0027195B">
          <w:rPr>
            <w:noProof/>
          </w:rPr>
          <w:t>Reddy et al., 2010</w:t>
        </w:r>
      </w:hyperlink>
      <w:r w:rsidR="00F4140A">
        <w:rPr>
          <w:noProof/>
        </w:rPr>
        <w:t xml:space="preserve">; </w:t>
      </w:r>
      <w:hyperlink w:anchor="_ENREF_73" w:tooltip="Reddy, 2014 #76" w:history="1">
        <w:r w:rsidR="0027195B">
          <w:rPr>
            <w:noProof/>
          </w:rPr>
          <w:t>Reddy and Nemerow, 2014</w:t>
        </w:r>
      </w:hyperlink>
      <w:r w:rsidR="00F4140A">
        <w:rPr>
          <w:noProof/>
        </w:rPr>
        <w:t>)</w:t>
      </w:r>
      <w:r w:rsidR="00F4140A">
        <w:fldChar w:fldCharType="end"/>
      </w:r>
      <w:r w:rsidR="0041114C">
        <w:t>. These viral core and minor proteins are synthesised as precursors</w:t>
      </w:r>
      <w:r w:rsidR="00C7544A">
        <w:t>, then</w:t>
      </w:r>
      <w:r w:rsidR="0041114C">
        <w:t xml:space="preserve"> processed by adenovirus protease during assembly to form a mature infectious particle. The assembly of the final viral particle is thought to follow a sequential assembly pathway, whereby an empty capsid is formed prior to genome packaging </w:t>
      </w:r>
      <w:r w:rsidR="0041114C">
        <w:fldChar w:fldCharType="begin">
          <w:fldData xml:space="preserve">PEVuZE5vdGU+PENpdGU+PEF1dGhvcj5NYTwvQXV0aG9yPjxZZWFyPjIwMTE8L1llYXI+PFJlY051
bT43NzwvUmVjTnVtPjxEaXNwbGF5VGV4dD4oQWhpIGFuZCBNaXR0YWwsIDIwMTY7IE1hIGFuZCBI
ZWFyaW5nLCAyMDExOyBNYW5nZWwgYW5kIFNhbiBNYXJ0aW4sIDIwMTQ7IFNhbiBNYXJ0aW4sIDIw
MTIpPC9EaXNwbGF5VGV4dD48cmVjb3JkPjxyZWMtbnVtYmVyPjc3PC9yZWMtbnVtYmVyPjxmb3Jl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0F689C">
        <w:instrText xml:space="preserve"> ADDIN EN.CITE </w:instrText>
      </w:r>
      <w:r w:rsidR="000F689C">
        <w:fldChar w:fldCharType="begin">
          <w:fldData xml:space="preserve">PEVuZE5vdGU+PENpdGU+PEF1dGhvcj5NYTwvQXV0aG9yPjxZZWFyPjIwMTE8L1llYXI+PFJlY051
bT43NzwvUmVjTnVtPjxEaXNwbGF5VGV4dD4oQWhpIGFuZCBNaXR0YWwsIDIwMTY7IE1hIGFuZCBI
ZWFyaW5nLCAyMDExOyBNYW5nZWwgYW5kIFNhbiBNYXJ0aW4sIDIwMTQ7IFNhbiBNYXJ0aW4sIDIw
MTIpPC9EaXNwbGF5VGV4dD48cmVjb3JkPjxyZWMtbnVtYmVyPjc3PC9yZWMtbnVtYmVyPjxmb3Jl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0F689C">
        <w:instrText xml:space="preserve"> ADDIN EN.CITE.DATA </w:instrText>
      </w:r>
      <w:r w:rsidR="000F689C">
        <w:fldChar w:fldCharType="end"/>
      </w:r>
      <w:r w:rsidR="0041114C">
        <w:fldChar w:fldCharType="separate"/>
      </w:r>
      <w:r w:rsidR="005B0F2F">
        <w:rPr>
          <w:noProof/>
        </w:rPr>
        <w:t>(</w:t>
      </w:r>
      <w:hyperlink w:anchor="_ENREF_5" w:tooltip="Ahi, 2016 #80" w:history="1">
        <w:r w:rsidR="0027195B">
          <w:rPr>
            <w:noProof/>
          </w:rPr>
          <w:t>Ahi and Mittal, 2016</w:t>
        </w:r>
      </w:hyperlink>
      <w:r w:rsidR="005B0F2F">
        <w:rPr>
          <w:noProof/>
        </w:rPr>
        <w:t xml:space="preserve">; </w:t>
      </w:r>
      <w:hyperlink w:anchor="_ENREF_57" w:tooltip="Ma, 2011 #77" w:history="1">
        <w:r w:rsidR="0027195B">
          <w:rPr>
            <w:noProof/>
          </w:rPr>
          <w:t>Ma and Hearing, 2011</w:t>
        </w:r>
      </w:hyperlink>
      <w:r w:rsidR="005B0F2F">
        <w:rPr>
          <w:noProof/>
        </w:rPr>
        <w:t xml:space="preserve">; </w:t>
      </w:r>
      <w:hyperlink w:anchor="_ENREF_58" w:tooltip="Mangel, 2014 #78" w:history="1">
        <w:r w:rsidR="0027195B">
          <w:rPr>
            <w:noProof/>
          </w:rPr>
          <w:t>Mangel and San Martin, 2014</w:t>
        </w:r>
      </w:hyperlink>
      <w:r w:rsidR="005B0F2F">
        <w:rPr>
          <w:noProof/>
        </w:rPr>
        <w:t xml:space="preserve">; </w:t>
      </w:r>
      <w:hyperlink w:anchor="_ENREF_80" w:tooltip="San Martin, 2012 #79" w:history="1">
        <w:r w:rsidR="0027195B">
          <w:rPr>
            <w:noProof/>
          </w:rPr>
          <w:t>San Martin, 2012</w:t>
        </w:r>
      </w:hyperlink>
      <w:r w:rsidR="005B0F2F">
        <w:rPr>
          <w:noProof/>
        </w:rPr>
        <w:t>)</w:t>
      </w:r>
      <w:r w:rsidR="0041114C">
        <w:fldChar w:fldCharType="end"/>
      </w:r>
      <w:r w:rsidR="0041114C">
        <w:t>.</w:t>
      </w:r>
    </w:p>
    <w:p w14:paraId="355264C1" w14:textId="77777777" w:rsidR="00425C51" w:rsidRDefault="00425C51" w:rsidP="00425C51">
      <w:pPr>
        <w:pStyle w:val="RARMPnumberedparagraphs"/>
        <w:numPr>
          <w:ilvl w:val="0"/>
          <w:numId w:val="0"/>
        </w:numPr>
      </w:pPr>
    </w:p>
    <w:p w14:paraId="19EEFC6C" w14:textId="3FF28756" w:rsidR="0041114C" w:rsidRDefault="0041114C" w:rsidP="0041114C">
      <w:pPr>
        <w:pStyle w:val="RARMPnumberedparagraphs"/>
        <w:numPr>
          <w:ilvl w:val="0"/>
          <w:numId w:val="0"/>
        </w:numPr>
        <w:jc w:val="center"/>
      </w:pPr>
      <w:r>
        <w:rPr>
          <w:noProof/>
        </w:rPr>
        <w:drawing>
          <wp:inline distT="0" distB="0" distL="0" distR="0" wp14:anchorId="541044B8" wp14:editId="2AEC5EF4">
            <wp:extent cx="3688715" cy="2597150"/>
            <wp:effectExtent l="0" t="0" r="6985" b="0"/>
            <wp:docPr id="4" name="Picture 4" descr="Figure 3: Structural model of human adenovirus (Benevento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tructural model of human adenovirus (Benevento et al., 20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715" cy="2597150"/>
                    </a:xfrm>
                    <a:prstGeom prst="rect">
                      <a:avLst/>
                    </a:prstGeom>
                    <a:noFill/>
                  </pic:spPr>
                </pic:pic>
              </a:graphicData>
            </a:graphic>
          </wp:inline>
        </w:drawing>
      </w:r>
    </w:p>
    <w:p w14:paraId="563EBE57" w14:textId="2DEE39AE" w:rsidR="0041114C" w:rsidRPr="0041114C" w:rsidRDefault="0041114C" w:rsidP="0041114C">
      <w:pPr>
        <w:pStyle w:val="Caption-Figure"/>
        <w:rPr>
          <w:szCs w:val="24"/>
        </w:rPr>
      </w:pPr>
      <w:r>
        <w:t xml:space="preserve">Figure 3: Structural model of human adenovirus </w:t>
      </w:r>
      <w:r w:rsidR="00425C51">
        <w:fldChar w:fldCharType="begin"/>
      </w:r>
      <w:r w:rsidR="000F689C">
        <w:instrText xml:space="preserve"> ADDIN EN.CITE &lt;EndNote&gt;&lt;Cite&gt;&lt;Author&gt;Benevento&lt;/Author&gt;&lt;Year&gt;2014&lt;/Year&gt;&lt;RecNum&gt;81&lt;/RecNum&gt;&lt;DisplayText&gt;(Benevento et al., 2014)&lt;/DisplayText&gt;&lt;record&gt;&lt;rec-number&gt;81&lt;/rec-number&gt;&lt;foreign-keys&gt;&lt;key app="EN" db-id="verwe2fxj5fev7epfz8xtdvez025feseze0z" timestamp="1733275116"&gt;81&lt;/key&gt;&lt;/foreign-keys&gt;&lt;ref-type name="Journal Article"&gt;17&lt;/ref-type&gt;&lt;contributors&gt;&lt;authors&gt;&lt;author&gt;Benevento, M.&lt;/author&gt;&lt;author&gt;Di Palma, S.&lt;/author&gt;&lt;author&gt;Snijder, J.&lt;/author&gt;&lt;author&gt;Moyer, C. L.&lt;/author&gt;&lt;author&gt;Reddy, V. S.&lt;/author&gt;&lt;author&gt;Nemerow, G. R.&lt;/author&gt;&lt;author&gt;Heck, A. J.&lt;/author&gt;&lt;/authors&gt;&lt;/contributors&gt;&lt;auth-address&gt;From Biomolecular Mass Spectrometry and Proteomics, Bijvoet Centre for Biomolecular Research and Utrecht Institute for Pharmaceutical Sciences, University of Utrecht, Padualaan 8, 3584 CH Utrecht, The Netherlands.&lt;/auth-address&gt;&lt;titles&gt;&lt;title&gt;Adenovirus composition, proteolysis, and disassembly studied by in-depth qualitative and quantitative proteomics&lt;/title&gt;&lt;secondary-title&gt;J Biol Chem&lt;/secondary-title&gt;&lt;/titles&gt;&lt;periodical&gt;&lt;full-title&gt;J Biol Chem&lt;/full-title&gt;&lt;/periodical&gt;&lt;pages&gt;11421-30&lt;/pages&gt;&lt;volume&gt;289&lt;/volume&gt;&lt;number&gt;16&lt;/number&gt;&lt;edition&gt;2014/03/05&lt;/edition&gt;&lt;keywords&gt;&lt;keyword&gt;Adenoviruses, Human/*physiology/ultrastructure&lt;/keyword&gt;&lt;keyword&gt;Cell Line&lt;/keyword&gt;&lt;keyword&gt;Humans&lt;/keyword&gt;&lt;keyword&gt;*Proteomics&lt;/keyword&gt;&lt;keyword&gt;Viral Proteins/*metabolism&lt;/keyword&gt;&lt;keyword&gt;Virus Assembly/*physiology&lt;/keyword&gt;&lt;keyword&gt;Adenovirus&lt;/keyword&gt;&lt;keyword&gt;Mass Spectrometry (MS)&lt;/keyword&gt;&lt;keyword&gt;Proteomics&lt;/keyword&gt;&lt;keyword&gt;Virus Entry&lt;/keyword&gt;&lt;keyword&gt;Virus Structure&lt;/keyword&gt;&lt;/keywords&gt;&lt;dates&gt;&lt;year&gt;2014&lt;/year&gt;&lt;pub-dates&gt;&lt;date&gt;Apr 18&lt;/date&gt;&lt;/pub-dates&gt;&lt;/dates&gt;&lt;isbn&gt;1083-351X (Electronic)&amp;#xD;0021-9258 (Linking)&lt;/isbn&gt;&lt;accession-num&gt;24591515&lt;/accession-num&gt;&lt;urls&gt;&lt;related-urls&gt;&lt;url&gt;https://www.ncbi.nlm.nih.gov/pubmed/24591515&lt;/url&gt;&lt;/related-urls&gt;&lt;/urls&gt;&lt;custom2&gt;PMC4036278&lt;/custom2&gt;&lt;electronic-resource-num&gt;10.1074/jbc.M113.537498&lt;/electronic-resource-num&gt;&lt;/record&gt;&lt;/Cite&gt;&lt;/EndNote&gt;</w:instrText>
      </w:r>
      <w:r w:rsidR="00425C51">
        <w:fldChar w:fldCharType="separate"/>
      </w:r>
      <w:r w:rsidR="00425C51">
        <w:rPr>
          <w:noProof/>
        </w:rPr>
        <w:t>(</w:t>
      </w:r>
      <w:hyperlink w:anchor="_ENREF_9" w:tooltip="Benevento, 2014 #81" w:history="1">
        <w:r w:rsidR="0027195B">
          <w:rPr>
            <w:noProof/>
          </w:rPr>
          <w:t>Benevento et al., 2014</w:t>
        </w:r>
      </w:hyperlink>
      <w:r w:rsidR="00425C51">
        <w:rPr>
          <w:noProof/>
        </w:rPr>
        <w:t>)</w:t>
      </w:r>
      <w:r w:rsidR="00425C51">
        <w:fldChar w:fldCharType="end"/>
      </w:r>
    </w:p>
    <w:p w14:paraId="441C20BC" w14:textId="5F32C2E9" w:rsidR="003534AF" w:rsidRDefault="007032F0" w:rsidP="00FA0361">
      <w:pPr>
        <w:pStyle w:val="3RARMP"/>
      </w:pPr>
      <w:bookmarkStart w:id="147" w:name="_Toc226975002"/>
      <w:r>
        <w:t xml:space="preserve">Viral </w:t>
      </w:r>
      <w:r w:rsidRPr="00FA0361">
        <w:t>infection</w:t>
      </w:r>
      <w:r>
        <w:t xml:space="preserve"> and r</w:t>
      </w:r>
      <w:r w:rsidR="003534AF">
        <w:t>eplication</w:t>
      </w:r>
      <w:bookmarkEnd w:id="147"/>
    </w:p>
    <w:p w14:paraId="028DCEB3" w14:textId="4BC87813" w:rsidR="004970D0" w:rsidRPr="00E52B4D" w:rsidRDefault="00C7544A" w:rsidP="004970D0">
      <w:pPr>
        <w:pStyle w:val="RARMPnumberedparagraphs"/>
        <w:rPr>
          <w:rFonts w:cs="Calibri"/>
          <w:szCs w:val="22"/>
        </w:rPr>
      </w:pPr>
      <w:bookmarkStart w:id="148" w:name="_Ref63065900"/>
      <w:r>
        <w:rPr>
          <w:szCs w:val="22"/>
        </w:rPr>
        <w:t>Adenoviruse</w:t>
      </w:r>
      <w:r w:rsidRPr="00E52B4D">
        <w:rPr>
          <w:szCs w:val="22"/>
        </w:rPr>
        <w:t xml:space="preserve">s </w:t>
      </w:r>
      <w:r w:rsidR="007032F0" w:rsidRPr="00E52B4D">
        <w:rPr>
          <w:szCs w:val="22"/>
        </w:rPr>
        <w:t>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proofErr w:type="spellStart"/>
      <w:r w:rsidR="00F84347" w:rsidRPr="00E52B4D">
        <w:rPr>
          <w:szCs w:val="22"/>
        </w:rPr>
        <w:t>AdVs</w:t>
      </w:r>
      <w:proofErr w:type="spellEnd"/>
      <w:r w:rsidR="00F84347" w:rsidRPr="00E52B4D">
        <w:rPr>
          <w:szCs w:val="22"/>
        </w:rPr>
        <w:t xml:space="preserve"> most frequently infect epithelia of the upper or lower respiratory tract, </w:t>
      </w:r>
      <w:r w:rsidR="00F84347">
        <w:rPr>
          <w:szCs w:val="22"/>
        </w:rPr>
        <w:t>eyes</w:t>
      </w:r>
      <w:r w:rsidR="00F84347" w:rsidRPr="00E52B4D">
        <w:rPr>
          <w:szCs w:val="22"/>
        </w:rPr>
        <w:t>, gastrointestinal and urinary tract</w:t>
      </w:r>
      <w:r w:rsidR="00F84347">
        <w:rPr>
          <w:szCs w:val="22"/>
        </w:rPr>
        <w:t xml:space="preserve"> tissues</w:t>
      </w:r>
      <w:r w:rsidR="00F84347" w:rsidRPr="00E52B4D">
        <w:rPr>
          <w:szCs w:val="22"/>
        </w:rPr>
        <w:t xml:space="preserve">. </w:t>
      </w:r>
      <w:r w:rsidR="00CE4088">
        <w:rPr>
          <w:szCs w:val="22"/>
        </w:rPr>
        <w:t xml:space="preserve">The tropism of </w:t>
      </w:r>
      <w:proofErr w:type="spellStart"/>
      <w:r w:rsidR="00CE4088">
        <w:rPr>
          <w:szCs w:val="22"/>
        </w:rPr>
        <w:t>AdVs</w:t>
      </w:r>
      <w:proofErr w:type="spellEnd"/>
      <w:r w:rsidR="00CE4088">
        <w:rPr>
          <w:szCs w:val="22"/>
        </w:rPr>
        <w:t xml:space="preserve"> is </w:t>
      </w:r>
      <w:r w:rsidR="003E762D">
        <w:rPr>
          <w:szCs w:val="22"/>
        </w:rPr>
        <w:t>largely dependent on the species</w:t>
      </w:r>
      <w:r w:rsidR="00350576">
        <w:rPr>
          <w:szCs w:val="22"/>
        </w:rPr>
        <w:t>;</w:t>
      </w:r>
      <w:r w:rsidR="003E762D">
        <w:rPr>
          <w:szCs w:val="22"/>
        </w:rPr>
        <w:t xml:space="preserve"> species A, F and G infecting gastr</w:t>
      </w:r>
      <w:r w:rsidR="00083F92">
        <w:rPr>
          <w:szCs w:val="22"/>
        </w:rPr>
        <w:t xml:space="preserve">ointestinal cells, species C, E and </w:t>
      </w:r>
      <w:r w:rsidR="00062EAC">
        <w:rPr>
          <w:szCs w:val="22"/>
        </w:rPr>
        <w:t>some B species infecting the respiratory tract</w:t>
      </w:r>
      <w:r w:rsidR="00F9110C">
        <w:rPr>
          <w:szCs w:val="22"/>
        </w:rPr>
        <w:t>,</w:t>
      </w:r>
      <w:r w:rsidR="00062EAC">
        <w:rPr>
          <w:szCs w:val="22"/>
        </w:rPr>
        <w:t xml:space="preserve"> </w:t>
      </w:r>
      <w:r w:rsidR="0073285B">
        <w:rPr>
          <w:szCs w:val="22"/>
        </w:rPr>
        <w:t>the rest of species B infecting the urinary tract</w:t>
      </w:r>
      <w:r w:rsidR="00B61503">
        <w:rPr>
          <w:szCs w:val="22"/>
        </w:rPr>
        <w:t xml:space="preserve"> </w:t>
      </w:r>
      <w:r w:rsidR="00F9110C">
        <w:rPr>
          <w:szCs w:val="22"/>
        </w:rPr>
        <w:t xml:space="preserve">and species D infecting </w:t>
      </w:r>
      <w:r w:rsidR="00B67837">
        <w:rPr>
          <w:szCs w:val="22"/>
        </w:rPr>
        <w:t>the conjunctiva</w:t>
      </w:r>
      <w:r w:rsidR="001C4A94">
        <w:rPr>
          <w:szCs w:val="22"/>
        </w:rPr>
        <w:t xml:space="preserve"> of the eye</w:t>
      </w:r>
      <w:r w:rsidR="00B67837">
        <w:rPr>
          <w:szCs w:val="22"/>
        </w:rPr>
        <w:t xml:space="preserve"> </w:t>
      </w:r>
      <w:r w:rsidR="00215382">
        <w:rPr>
          <w:szCs w:val="22"/>
        </w:rPr>
        <w:fldChar w:fldCharType="begin"/>
      </w:r>
      <w:r w:rsidR="00AE6FB5">
        <w:rPr>
          <w:szCs w:val="22"/>
        </w:rPr>
        <w:instrText xml:space="preserve"> ADDIN EN.CITE &lt;EndNote&gt;&lt;Cite&gt;&lt;Author&gt;Leikas&lt;/Author&gt;&lt;Year&gt;2023&lt;/Year&gt;&lt;RecNum&gt;163&lt;/RecNum&gt;&lt;DisplayText&gt;(Leikas et al., 2023a)&lt;/DisplayText&gt;&lt;record&gt;&lt;rec-number&gt;163&lt;/rec-number&gt;&lt;foreign-keys&gt;&lt;key app="EN" db-id="verwe2fxj5fev7epfz8xtdvez025feseze0z" timestamp="1733275393"&gt;163&lt;/key&gt;&lt;/foreign-keys&gt;&lt;ref-type name="Journal Article"&gt;17&lt;/ref-type&gt;&lt;contributors&gt;&lt;authors&gt;&lt;author&gt;Leikas, Aleksi J&lt;/author&gt;&lt;author&gt;Ylä-Herttuala, Seppo&lt;/author&gt;&lt;author&gt;Hartikainen, Juha EK&lt;/author&gt;&lt;/authors&gt;&lt;/contributors&gt;&lt;titles&gt;&lt;title&gt;Adenoviral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urls&gt;&lt;/urls&gt;&lt;/record&gt;&lt;/Cite&gt;&lt;/EndNote&gt;</w:instrText>
      </w:r>
      <w:r w:rsidR="00215382">
        <w:rPr>
          <w:szCs w:val="22"/>
        </w:rPr>
        <w:fldChar w:fldCharType="separate"/>
      </w:r>
      <w:r w:rsidR="00AE6FB5">
        <w:rPr>
          <w:noProof/>
          <w:szCs w:val="22"/>
        </w:rPr>
        <w:t>(</w:t>
      </w:r>
      <w:hyperlink w:anchor="_ENREF_50" w:tooltip="Leikas, 2023 #163" w:history="1">
        <w:r w:rsidR="0027195B">
          <w:rPr>
            <w:noProof/>
            <w:szCs w:val="22"/>
          </w:rPr>
          <w:t>Leikas et al., 2023a</w:t>
        </w:r>
      </w:hyperlink>
      <w:r w:rsidR="00AE6FB5">
        <w:rPr>
          <w:noProof/>
          <w:szCs w:val="22"/>
        </w:rPr>
        <w:t>)</w:t>
      </w:r>
      <w:r w:rsidR="00215382">
        <w:rPr>
          <w:szCs w:val="22"/>
        </w:rPr>
        <w:fldChar w:fldCharType="end"/>
      </w:r>
      <w:r w:rsidR="0073285B">
        <w:rPr>
          <w:szCs w:val="22"/>
        </w:rPr>
        <w:t xml:space="preserve">. </w:t>
      </w:r>
      <w:bookmarkEnd w:id="148"/>
    </w:p>
    <w:p w14:paraId="42CA3219" w14:textId="3451BFCB" w:rsidR="007032F0" w:rsidRPr="00E52B4D" w:rsidRDefault="00C7544A" w:rsidP="007022DE">
      <w:pPr>
        <w:pStyle w:val="RARMPnumberedparagraphs"/>
        <w:rPr>
          <w:rFonts w:cs="Calibri"/>
          <w:szCs w:val="22"/>
        </w:rPr>
      </w:pPr>
      <w:r>
        <w:rPr>
          <w:szCs w:val="22"/>
        </w:rPr>
        <w:t>Human adenoviruse</w:t>
      </w:r>
      <w:r w:rsidRPr="00E52B4D">
        <w:rPr>
          <w:szCs w:val="22"/>
        </w:rPr>
        <w:t xml:space="preserve">s </w:t>
      </w:r>
      <w:r w:rsidR="002D7027">
        <w:rPr>
          <w:szCs w:val="22"/>
        </w:rPr>
        <w:t xml:space="preserve">use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5B0F2F">
        <w:rPr>
          <w:szCs w:val="22"/>
        </w:rPr>
        <w:instrText xml:space="preserve"> ADDIN EN.CITE </w:instrText>
      </w:r>
      <w:r w:rsidR="005B0F2F">
        <w:rPr>
          <w:szCs w:val="22"/>
        </w:rPr>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5B0F2F">
        <w:rPr>
          <w:szCs w:val="22"/>
        </w:rPr>
        <w:instrText xml:space="preserve"> ADDIN EN.CITE.DATA </w:instrText>
      </w:r>
      <w:r w:rsidR="005B0F2F">
        <w:rPr>
          <w:szCs w:val="22"/>
        </w:rPr>
      </w:r>
      <w:r w:rsidR="005B0F2F">
        <w:rPr>
          <w:szCs w:val="22"/>
        </w:rPr>
        <w:fldChar w:fldCharType="end"/>
      </w:r>
      <w:r w:rsidR="00471E29">
        <w:rPr>
          <w:szCs w:val="22"/>
        </w:rPr>
      </w:r>
      <w:r w:rsidR="00471E29">
        <w:rPr>
          <w:szCs w:val="22"/>
        </w:rPr>
        <w:fldChar w:fldCharType="separate"/>
      </w:r>
      <w:r w:rsidR="005B0F2F">
        <w:rPr>
          <w:noProof/>
          <w:szCs w:val="22"/>
        </w:rPr>
        <w:t>(</w:t>
      </w:r>
      <w:hyperlink w:anchor="_ENREF_54" w:tooltip="Lion, 2019 #83" w:history="1">
        <w:r w:rsidR="0027195B">
          <w:rPr>
            <w:noProof/>
            <w:szCs w:val="22"/>
          </w:rPr>
          <w:t>Lion, 2019</w:t>
        </w:r>
      </w:hyperlink>
      <w:r w:rsidR="005B0F2F">
        <w:rPr>
          <w:noProof/>
          <w:szCs w:val="22"/>
        </w:rPr>
        <w:t xml:space="preserve">; </w:t>
      </w:r>
      <w:hyperlink w:anchor="_ENREF_105" w:tooltip="Zhang, 2005 #82" w:history="1">
        <w:r w:rsidR="0027195B">
          <w:rPr>
            <w:noProof/>
            <w:szCs w:val="22"/>
          </w:rPr>
          <w:t>Zhang and Bergelson, 2005</w:t>
        </w:r>
      </w:hyperlink>
      <w:r w:rsidR="005B0F2F">
        <w:rPr>
          <w:noProof/>
          <w:szCs w:val="22"/>
        </w:rPr>
        <w:t>)</w:t>
      </w:r>
      <w:r w:rsidR="00471E29">
        <w:rPr>
          <w:szCs w:val="22"/>
        </w:rPr>
        <w:fldChar w:fldCharType="end"/>
      </w:r>
      <w:r w:rsidR="007032F0" w:rsidRPr="002D7027">
        <w:rPr>
          <w:szCs w:val="22"/>
        </w:rPr>
        <w:t xml:space="preserve">. </w:t>
      </w:r>
      <w:r w:rsidR="00190990" w:rsidRPr="00190990">
        <w:rPr>
          <w:i/>
          <w:szCs w:val="22"/>
        </w:rPr>
        <w:t xml:space="preserve">In vitro </w:t>
      </w:r>
      <w:r w:rsidR="00190990">
        <w:rPr>
          <w:szCs w:val="22"/>
        </w:rPr>
        <w:t xml:space="preserve">studies with </w:t>
      </w:r>
      <w:proofErr w:type="spellStart"/>
      <w:r w:rsidR="00190990">
        <w:rPr>
          <w:szCs w:val="22"/>
        </w:rPr>
        <w:t>HAdV</w:t>
      </w:r>
      <w:proofErr w:type="spellEnd"/>
      <w:r w:rsidR="00190990">
        <w:rPr>
          <w:szCs w:val="22"/>
        </w:rPr>
        <w:t xml:space="preserve">-C also showed that vitamin K-dependent blood factors including Factor X (FX) increases the binding efficiency of </w:t>
      </w:r>
      <w:proofErr w:type="spellStart"/>
      <w:r w:rsidR="00190990">
        <w:rPr>
          <w:szCs w:val="22"/>
        </w:rPr>
        <w:t>HAdV</w:t>
      </w:r>
      <w:proofErr w:type="spellEnd"/>
      <w:r w:rsidR="00190990">
        <w:rPr>
          <w:szCs w:val="22"/>
        </w:rPr>
        <w:t xml:space="preserve">-C to hepatocytes </w:t>
      </w:r>
      <w:r w:rsidR="00D24350">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0F689C">
        <w:rPr>
          <w:szCs w:val="22"/>
        </w:rPr>
        <w:instrText xml:space="preserve"> ADDIN EN.CITE </w:instrText>
      </w:r>
      <w:r w:rsidR="000F689C">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0F689C">
        <w:rPr>
          <w:szCs w:val="22"/>
        </w:rPr>
        <w:instrText xml:space="preserve"> ADDIN EN.CITE.DATA </w:instrText>
      </w:r>
      <w:r w:rsidR="000F689C">
        <w:rPr>
          <w:szCs w:val="22"/>
        </w:rPr>
      </w:r>
      <w:r w:rsidR="000F689C">
        <w:rPr>
          <w:szCs w:val="22"/>
        </w:rPr>
        <w:fldChar w:fldCharType="end"/>
      </w:r>
      <w:r w:rsidR="00D24350">
        <w:rPr>
          <w:szCs w:val="22"/>
        </w:rPr>
      </w:r>
      <w:r w:rsidR="00D24350">
        <w:rPr>
          <w:szCs w:val="22"/>
        </w:rPr>
        <w:fldChar w:fldCharType="separate"/>
      </w:r>
      <w:r w:rsidR="00D24350">
        <w:rPr>
          <w:noProof/>
          <w:szCs w:val="22"/>
        </w:rPr>
        <w:t>(</w:t>
      </w:r>
      <w:hyperlink w:anchor="_ENREF_101" w:tooltip="Weaver, 2011 #85" w:history="1">
        <w:r w:rsidR="0027195B">
          <w:rPr>
            <w:noProof/>
            <w:szCs w:val="22"/>
          </w:rPr>
          <w:t>Weaver et al., 2011</w:t>
        </w:r>
      </w:hyperlink>
      <w:r w:rsidR="00D24350">
        <w:rPr>
          <w:noProof/>
          <w:szCs w:val="22"/>
        </w:rPr>
        <w:t>)</w:t>
      </w:r>
      <w:r w:rsidR="00D24350">
        <w:rPr>
          <w:szCs w:val="22"/>
        </w:rPr>
        <w:fldChar w:fldCharType="end"/>
      </w:r>
      <w:r w:rsidR="00190990">
        <w:rPr>
          <w:szCs w:val="22"/>
        </w:rPr>
        <w:t xml:space="preserve">. </w:t>
      </w:r>
    </w:p>
    <w:p w14:paraId="5BA1C465" w14:textId="7FC2EB83" w:rsidR="00642002" w:rsidRPr="00E52B4D" w:rsidRDefault="00706070" w:rsidP="003E0F12">
      <w:pPr>
        <w:pStyle w:val="RARMPnumberedparagraphs"/>
        <w:rPr>
          <w:szCs w:val="22"/>
        </w:rPr>
      </w:pPr>
      <w:r>
        <w:rPr>
          <w:szCs w:val="22"/>
        </w:rPr>
        <w:t>R</w:t>
      </w:r>
      <w:r w:rsidR="007032F0" w:rsidRPr="00E52B4D">
        <w:rPr>
          <w:szCs w:val="22"/>
        </w:rPr>
        <w:t xml:space="preserve">eplication of </w:t>
      </w:r>
      <w:proofErr w:type="spellStart"/>
      <w:r w:rsidR="007032F0" w:rsidRPr="00E52B4D">
        <w:rPr>
          <w:szCs w:val="22"/>
        </w:rPr>
        <w:t>AdVs</w:t>
      </w:r>
      <w:proofErr w:type="spellEnd"/>
      <w:r w:rsidR="007032F0" w:rsidRPr="00E52B4D">
        <w:rPr>
          <w:szCs w:val="22"/>
        </w:rPr>
        <w:t xml:space="preserve"> </w:t>
      </w:r>
      <w:r>
        <w:rPr>
          <w:szCs w:val="22"/>
        </w:rPr>
        <w:t>occurs</w:t>
      </w:r>
      <w:r w:rsidR="007032F0" w:rsidRPr="00E52B4D">
        <w:rPr>
          <w:szCs w:val="22"/>
        </w:rPr>
        <w:t xml:space="preserve"> in the </w:t>
      </w:r>
      <w:r w:rsidR="00CD4073" w:rsidRPr="00E52B4D">
        <w:rPr>
          <w:szCs w:val="22"/>
        </w:rPr>
        <w:t xml:space="preserve">nucleus of the </w:t>
      </w:r>
      <w:r w:rsidR="007032F0" w:rsidRPr="00E52B4D">
        <w:rPr>
          <w:szCs w:val="22"/>
        </w:rPr>
        <w:t>host</w:t>
      </w:r>
      <w:r w:rsidR="00FA0361" w:rsidRPr="00E52B4D">
        <w:rPr>
          <w:szCs w:val="22"/>
        </w:rPr>
        <w:t xml:space="preserve"> </w:t>
      </w:r>
      <w:r w:rsidR="007032F0" w:rsidRPr="00E52B4D">
        <w:rPr>
          <w:szCs w:val="22"/>
        </w:rPr>
        <w:t>cell</w:t>
      </w:r>
      <w:r>
        <w:rPr>
          <w:szCs w:val="22"/>
        </w:rPr>
        <w:t>,</w:t>
      </w:r>
      <w:r w:rsidR="007032F0" w:rsidRPr="00E52B4D">
        <w:rPr>
          <w:szCs w:val="22"/>
        </w:rPr>
        <w:t xml:space="preserve"> </w:t>
      </w:r>
      <w:r>
        <w:rPr>
          <w:szCs w:val="22"/>
        </w:rPr>
        <w:t>using</w:t>
      </w:r>
      <w:r w:rsidR="00CD4073" w:rsidRPr="00E52B4D">
        <w:rPr>
          <w:szCs w:val="22"/>
        </w:rPr>
        <w:t xml:space="preserve"> the </w:t>
      </w:r>
      <w:r w:rsidR="007032F0" w:rsidRPr="00E52B4D">
        <w:rPr>
          <w:szCs w:val="22"/>
        </w:rPr>
        <w:t>host</w:t>
      </w:r>
      <w:r w:rsidR="00FA0361" w:rsidRPr="00E52B4D">
        <w:rPr>
          <w:szCs w:val="22"/>
        </w:rPr>
        <w:t xml:space="preserve"> </w:t>
      </w:r>
      <w:r w:rsidR="007032F0" w:rsidRPr="00E52B4D">
        <w:rPr>
          <w:szCs w:val="22"/>
        </w:rPr>
        <w:t xml:space="preserve">cell nuclear machinery </w:t>
      </w:r>
      <w:r w:rsidR="004970D0" w:rsidRPr="00E52B4D">
        <w:rPr>
          <w:szCs w:val="22"/>
        </w:rPr>
        <w:t>to make copies of itself</w:t>
      </w:r>
      <w:r w:rsidR="00293759" w:rsidRPr="00E52B4D">
        <w:rPr>
          <w:szCs w:val="22"/>
        </w:rPr>
        <w:t xml:space="preserve"> (</w:t>
      </w:r>
      <w:r w:rsidR="00163EB7">
        <w:rPr>
          <w:szCs w:val="22"/>
        </w:rPr>
        <w:t>Figure 4</w:t>
      </w:r>
      <w:r w:rsidR="00293759" w:rsidRPr="00E52B4D">
        <w:rPr>
          <w:szCs w:val="22"/>
        </w:rPr>
        <w:t>)</w:t>
      </w:r>
      <w:r w:rsidR="007032F0" w:rsidRPr="00E52B4D">
        <w:rPr>
          <w:szCs w:val="22"/>
        </w:rPr>
        <w:t xml:space="preserve">. </w:t>
      </w:r>
      <w:r w:rsidR="00EC4C41">
        <w:rPr>
          <w:szCs w:val="22"/>
        </w:rPr>
        <w:t>Following attachment to cell membrane receptors</w:t>
      </w:r>
      <w:r>
        <w:rPr>
          <w:szCs w:val="22"/>
        </w:rPr>
        <w:t xml:space="preserve"> (</w:t>
      </w:r>
      <w:r w:rsidR="00BE3173">
        <w:rPr>
          <w:szCs w:val="22"/>
        </w:rPr>
        <w:t xml:space="preserve">steps </w:t>
      </w:r>
      <w:r>
        <w:rPr>
          <w:szCs w:val="22"/>
        </w:rPr>
        <w:t>1</w:t>
      </w:r>
      <w:r w:rsidR="00D57B72">
        <w:rPr>
          <w:szCs w:val="22"/>
        </w:rPr>
        <w:t>-3</w:t>
      </w:r>
      <w:r>
        <w:rPr>
          <w:szCs w:val="22"/>
        </w:rPr>
        <w:t>)</w:t>
      </w:r>
      <w:r w:rsidR="00EC4C41">
        <w:rPr>
          <w:szCs w:val="22"/>
        </w:rPr>
        <w:t xml:space="preserve">, </w:t>
      </w:r>
      <w:r w:rsidR="003E0F12" w:rsidRPr="00E52B4D">
        <w:rPr>
          <w:szCs w:val="22"/>
        </w:rPr>
        <w:t xml:space="preserve">the </w:t>
      </w:r>
      <w:proofErr w:type="spellStart"/>
      <w:r w:rsidR="003E0F12" w:rsidRPr="00E52B4D">
        <w:rPr>
          <w:szCs w:val="22"/>
        </w:rPr>
        <w:lastRenderedPageBreak/>
        <w:t>AdV</w:t>
      </w:r>
      <w:proofErr w:type="spellEnd"/>
      <w:r w:rsidR="003E0F12" w:rsidRPr="00E52B4D">
        <w:rPr>
          <w:szCs w:val="22"/>
        </w:rPr>
        <w:t xml:space="preserve"> </w:t>
      </w:r>
      <w:r w:rsidR="00C23D0A">
        <w:rPr>
          <w:szCs w:val="22"/>
        </w:rPr>
        <w:t>enters</w:t>
      </w:r>
      <w:r w:rsidR="00EC4C41">
        <w:rPr>
          <w:szCs w:val="22"/>
        </w:rPr>
        <w:t xml:space="preserve"> the host cell </w:t>
      </w:r>
      <w:r w:rsidR="005C3478">
        <w:rPr>
          <w:szCs w:val="22"/>
        </w:rPr>
        <w:t>and</w:t>
      </w:r>
      <w:r w:rsidR="007022DE" w:rsidRPr="00E52B4D">
        <w:rPr>
          <w:szCs w:val="22"/>
        </w:rPr>
        <w:t xml:space="preserve"> is uncoated </w:t>
      </w:r>
      <w:r w:rsidR="005C3478">
        <w:rPr>
          <w:szCs w:val="22"/>
        </w:rPr>
        <w:t>to</w:t>
      </w:r>
      <w:r w:rsidR="00C95B9F">
        <w:rPr>
          <w:szCs w:val="22"/>
        </w:rPr>
        <w:t xml:space="preserve"> release </w:t>
      </w:r>
      <w:r w:rsidR="00C95B9F" w:rsidRPr="007507C5">
        <w:rPr>
          <w:szCs w:val="22"/>
        </w:rPr>
        <w:t>viral particles</w:t>
      </w:r>
      <w:r w:rsidR="002B3270">
        <w:rPr>
          <w:szCs w:val="22"/>
        </w:rPr>
        <w:t xml:space="preserve"> </w:t>
      </w:r>
      <w:r>
        <w:rPr>
          <w:szCs w:val="22"/>
        </w:rPr>
        <w:t>(</w:t>
      </w:r>
      <w:r w:rsidR="00BE3173">
        <w:rPr>
          <w:szCs w:val="22"/>
        </w:rPr>
        <w:t xml:space="preserve">step </w:t>
      </w:r>
      <w:r>
        <w:rPr>
          <w:szCs w:val="22"/>
        </w:rPr>
        <w:t>4)</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w:t>
      </w:r>
      <w:r>
        <w:rPr>
          <w:szCs w:val="22"/>
        </w:rPr>
        <w:t xml:space="preserve"> (</w:t>
      </w:r>
      <w:r w:rsidR="00BE3173">
        <w:rPr>
          <w:szCs w:val="22"/>
        </w:rPr>
        <w:t xml:space="preserve">step </w:t>
      </w:r>
      <w:r>
        <w:rPr>
          <w:szCs w:val="22"/>
        </w:rPr>
        <w:t>5)</w:t>
      </w:r>
      <w:r w:rsidR="00311516" w:rsidRPr="007507C5">
        <w:rPr>
          <w:szCs w:val="22"/>
        </w:rPr>
        <w:t xml:space="preserve"> where the transcription </w:t>
      </w:r>
      <w:r w:rsidR="004B6FF5" w:rsidRPr="004B6FF5">
        <w:rPr>
          <w:szCs w:val="22"/>
        </w:rPr>
        <w:t xml:space="preserve">of early phase genes </w:t>
      </w:r>
      <w:r w:rsidR="00C95B9F" w:rsidRPr="007507C5">
        <w:rPr>
          <w:szCs w:val="22"/>
        </w:rPr>
        <w:t>occurs</w:t>
      </w:r>
      <w:r w:rsidR="00D57B72">
        <w:rPr>
          <w:szCs w:val="22"/>
        </w:rPr>
        <w:t xml:space="preserve"> (</w:t>
      </w:r>
      <w:r w:rsidR="00BE3173">
        <w:rPr>
          <w:szCs w:val="22"/>
        </w:rPr>
        <w:t xml:space="preserve">step </w:t>
      </w:r>
      <w:r w:rsidR="00D57B72">
        <w:rPr>
          <w:szCs w:val="22"/>
        </w:rPr>
        <w:t>6)</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8E0433">
        <w:rPr>
          <w:noProof/>
          <w:szCs w:val="22"/>
        </w:rPr>
        <w:t>(</w:t>
      </w:r>
      <w:hyperlink w:anchor="_ENREF_17" w:tooltip="Charman, 2019 #69" w:history="1">
        <w:r w:rsidR="0027195B">
          <w:rPr>
            <w:noProof/>
            <w:szCs w:val="22"/>
          </w:rPr>
          <w:t>Charman et al., 2019</w:t>
        </w:r>
      </w:hyperlink>
      <w:r w:rsidR="008E0433">
        <w:rPr>
          <w:noProof/>
          <w:szCs w:val="22"/>
        </w:rPr>
        <w:t>)</w:t>
      </w:r>
      <w:r w:rsidR="008E0433">
        <w:rPr>
          <w:szCs w:val="22"/>
        </w:rPr>
        <w:fldChar w:fldCharType="end"/>
      </w:r>
      <w:r w:rsidR="007032F0" w:rsidRPr="007507C5">
        <w:rPr>
          <w:szCs w:val="22"/>
        </w:rPr>
        <w:t>.</w:t>
      </w:r>
      <w:r w:rsidR="003E0F12" w:rsidRPr="007507C5">
        <w:rPr>
          <w:szCs w:val="22"/>
        </w:rPr>
        <w:t xml:space="preserve"> </w:t>
      </w:r>
      <w:r w:rsidR="003D71FB">
        <w:rPr>
          <w:rFonts w:asciiTheme="minorHAnsi" w:hAnsiTheme="minorHAnsi" w:cstheme="minorHAnsi"/>
          <w:szCs w:val="22"/>
        </w:rPr>
        <w:t>V</w:t>
      </w:r>
      <w:r w:rsidR="00293759" w:rsidRPr="007507C5">
        <w:rPr>
          <w:rFonts w:asciiTheme="minorHAnsi" w:hAnsiTheme="minorHAnsi" w:cstheme="minorHAnsi"/>
          <w:szCs w:val="22"/>
        </w:rPr>
        <w:t xml:space="preserve">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r w:rsidR="00C95B9F" w:rsidRPr="007507C5">
        <w:rPr>
          <w:rFonts w:asciiTheme="minorHAnsi" w:hAnsiTheme="minorHAnsi" w:cstheme="minorHAnsi"/>
          <w:szCs w:val="22"/>
        </w:rPr>
        <w:t>made</w:t>
      </w:r>
      <w:r w:rsidR="003D71FB">
        <w:rPr>
          <w:rFonts w:asciiTheme="minorHAnsi" w:hAnsiTheme="minorHAnsi" w:cstheme="minorHAnsi"/>
          <w:szCs w:val="22"/>
        </w:rPr>
        <w:t xml:space="preserve"> and</w:t>
      </w:r>
      <w:r w:rsidR="003E0F12" w:rsidRPr="007507C5">
        <w:rPr>
          <w:rFonts w:asciiTheme="minorHAnsi" w:hAnsiTheme="minorHAnsi" w:cstheme="minorHAnsi"/>
          <w:szCs w:val="22"/>
        </w:rPr>
        <w:t xml:space="preserv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assembled</w:t>
      </w:r>
      <w:r w:rsidR="00D57B72">
        <w:rPr>
          <w:rFonts w:asciiTheme="minorHAnsi" w:hAnsiTheme="minorHAnsi" w:cstheme="minorHAnsi"/>
          <w:szCs w:val="22"/>
        </w:rPr>
        <w:t xml:space="preserve"> (</w:t>
      </w:r>
      <w:r w:rsidR="00BE3173">
        <w:rPr>
          <w:rFonts w:asciiTheme="minorHAnsi" w:hAnsiTheme="minorHAnsi" w:cstheme="minorHAnsi"/>
          <w:szCs w:val="22"/>
        </w:rPr>
        <w:t xml:space="preserve">steps </w:t>
      </w:r>
      <w:r w:rsidR="00D57B72">
        <w:rPr>
          <w:rFonts w:asciiTheme="minorHAnsi" w:hAnsiTheme="minorHAnsi" w:cstheme="minorHAnsi"/>
          <w:szCs w:val="22"/>
        </w:rPr>
        <w:t>7-9)</w:t>
      </w:r>
      <w:r w:rsidR="003E0F12" w:rsidRPr="007507C5">
        <w:rPr>
          <w:rFonts w:asciiTheme="minorHAnsi" w:hAnsiTheme="minorHAnsi" w:cstheme="minorHAnsi"/>
          <w:szCs w:val="22"/>
        </w:rPr>
        <w:t>.</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w:t>
      </w:r>
      <w:r w:rsidR="00D57B72">
        <w:rPr>
          <w:rFonts w:asciiTheme="minorHAnsi" w:hAnsiTheme="minorHAnsi" w:cstheme="minorHAnsi"/>
          <w:szCs w:val="22"/>
        </w:rPr>
        <w:t xml:space="preserve"> (</w:t>
      </w:r>
      <w:r w:rsidR="00BE3173">
        <w:rPr>
          <w:rFonts w:asciiTheme="minorHAnsi" w:hAnsiTheme="minorHAnsi" w:cstheme="minorHAnsi"/>
          <w:szCs w:val="22"/>
        </w:rPr>
        <w:t xml:space="preserve">step </w:t>
      </w:r>
      <w:r w:rsidR="00D57B72">
        <w:rPr>
          <w:rFonts w:asciiTheme="minorHAnsi" w:hAnsiTheme="minorHAnsi" w:cstheme="minorHAnsi"/>
          <w:szCs w:val="22"/>
        </w:rPr>
        <w:t>10)</w:t>
      </w:r>
      <w:r w:rsidR="00311516" w:rsidRPr="00E52B4D">
        <w:rPr>
          <w:rFonts w:asciiTheme="minorHAnsi" w:hAnsiTheme="minorHAnsi" w:cstheme="minorHAnsi"/>
          <w:szCs w:val="22"/>
        </w:rPr>
        <w:t xml:space="preserve"> </w:t>
      </w:r>
      <w:r w:rsidR="00B80D1A">
        <w:rPr>
          <w:rFonts w:asciiTheme="minorHAnsi" w:hAnsiTheme="minorHAnsi" w:cstheme="minorHAnsi"/>
          <w:szCs w:val="22"/>
        </w:rPr>
        <w:fldChar w:fldCharType="begin"/>
      </w:r>
      <w:r w:rsidR="00B80D1A">
        <w:rPr>
          <w:rFonts w:asciiTheme="minorHAnsi" w:hAnsiTheme="minorHAnsi" w:cstheme="minorHAnsi"/>
          <w:szCs w:val="22"/>
        </w:rPr>
        <w:instrText xml:space="preserve"> ADDIN EN.CITE &lt;EndNote&gt;&lt;Cite&gt;&lt;Author&gt;Waye&lt;/Author&gt;&lt;Year&gt;2010&lt;/Year&gt;&lt;RecNum&gt;104&lt;/RecNum&gt;&lt;DisplayText&gt;(Waye and Sing, 2010)&lt;/DisplayText&gt;&lt;record&gt;&lt;rec-number&gt;104&lt;/rec-number&gt;&lt;foreign-keys&gt;&lt;key app="EN" db-id="verwe2fxj5fev7epfz8xtdvez025feseze0z" timestamp="1733275116"&gt;104&lt;/key&gt;&lt;/foreign-keys&gt;&lt;ref-type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Adenoviruses&lt;/title&gt;&lt;secondary-title&gt;Pharmaceuticals&lt;/secondary-title&gt;&lt;alt-title&gt;Pharmaceuticals (Basel)&lt;/alt-title&gt;&lt;/titles&gt;&lt;periodical&gt;&lt;full-title&gt;Pharmaceuticals&lt;/full-title&gt;&lt;abbr-1&gt;Pharmaceuticals (Basel)&lt;/abbr-1&gt;&lt;/periodical&gt;&lt;alt-periodical&gt;&lt;full-title&gt;Pharmaceuticals&lt;/full-title&gt;&lt;abbr-1&gt;Pharmaceuticals (Basel)&lt;/abbr-1&gt;&lt;/alt-periodical&gt;&lt;pages&gt;3343-3354&lt;/pages&gt;&lt;volume&gt;3&lt;/volume&gt;&lt;number&gt;10&lt;/number&gt;&lt;keywords&gt;&lt;keyword&gt;adenovirus&lt;/keyword&gt;&lt;keyword&gt;pharmaceuticals&lt;/keyword&gt;&lt;keyword&gt;microRNA&lt;/keyword&gt;&lt;/keywords&gt;&lt;dates&gt;&lt;year&gt;2010&lt;/year&gt;&lt;/dates&gt;&lt;publisher&gt;MDPI&lt;/publisher&gt;&lt;isbn&gt;1424-8247&lt;/isbn&gt;&lt;accession-num&gt;PMC4034094&lt;/accession-num&gt;&lt;urls&gt;&lt;related-urls&gt;&lt;url&gt;https://www.ncbi.nlm.nih.gov/pmc/articles/PMC4034094/&lt;/url&gt;&lt;/related-urls&gt;&lt;/urls&gt;&lt;electronic-resource-num&gt;10.3390/ph3103343&lt;/electronic-resource-num&gt;&lt;remote-database-name&gt;PMC&lt;/remote-database-name&gt;&lt;language&gt;eng&lt;/language&gt;&lt;/record&gt;&lt;/Cite&gt;&lt;/EndNote&gt;</w:instrText>
      </w:r>
      <w:r w:rsidR="00B80D1A">
        <w:rPr>
          <w:rFonts w:asciiTheme="minorHAnsi" w:hAnsiTheme="minorHAnsi" w:cstheme="minorHAnsi"/>
          <w:szCs w:val="22"/>
        </w:rPr>
        <w:fldChar w:fldCharType="separate"/>
      </w:r>
      <w:r w:rsidR="00B80D1A">
        <w:rPr>
          <w:rFonts w:asciiTheme="minorHAnsi" w:hAnsiTheme="minorHAnsi" w:cstheme="minorHAnsi"/>
          <w:noProof/>
          <w:szCs w:val="22"/>
        </w:rPr>
        <w:t>(</w:t>
      </w:r>
      <w:hyperlink w:anchor="_ENREF_100" w:tooltip="Waye, 2010 #104" w:history="1">
        <w:r w:rsidR="0027195B">
          <w:rPr>
            <w:rFonts w:asciiTheme="minorHAnsi" w:hAnsiTheme="minorHAnsi" w:cstheme="minorHAnsi"/>
            <w:noProof/>
            <w:szCs w:val="22"/>
          </w:rPr>
          <w:t>Waye and Sing, 2010</w:t>
        </w:r>
      </w:hyperlink>
      <w:r w:rsidR="00B80D1A">
        <w:rPr>
          <w:rFonts w:asciiTheme="minorHAnsi" w:hAnsiTheme="minorHAnsi" w:cstheme="minorHAnsi"/>
          <w:noProof/>
          <w:szCs w:val="22"/>
        </w:rPr>
        <w:t>)</w:t>
      </w:r>
      <w:r w:rsidR="00B80D1A">
        <w:rPr>
          <w:rFonts w:asciiTheme="minorHAnsi" w:hAnsiTheme="minorHAnsi" w:cstheme="minorHAnsi"/>
          <w:szCs w:val="22"/>
        </w:rPr>
        <w:fldChar w:fldCharType="end"/>
      </w:r>
      <w:r w:rsidR="00311516" w:rsidRPr="00E52B4D">
        <w:rPr>
          <w:rFonts w:asciiTheme="minorHAnsi" w:hAnsiTheme="minorHAnsi" w:cstheme="minorHAnsi"/>
          <w:szCs w:val="22"/>
        </w:rPr>
        <w:t xml:space="preserve">. </w:t>
      </w:r>
    </w:p>
    <w:p w14:paraId="09B3269D" w14:textId="77FDD535" w:rsidR="00696C8A" w:rsidRPr="00D76253" w:rsidRDefault="001C33D9" w:rsidP="00293759">
      <w:pPr>
        <w:jc w:val="center"/>
        <w:rPr>
          <w:color w:val="000000" w:themeColor="text1"/>
        </w:rPr>
      </w:pPr>
      <w:r>
        <w:rPr>
          <w:noProof/>
          <w:color w:val="000000" w:themeColor="text1"/>
        </w:rPr>
        <w:drawing>
          <wp:inline distT="0" distB="0" distL="0" distR="0" wp14:anchorId="5FE95BD2" wp14:editId="2D9F1807">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29">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2605A029" w:rsidR="002F0258" w:rsidRPr="006F72AC" w:rsidRDefault="007E3AE5" w:rsidP="006F72AC">
      <w:pPr>
        <w:pStyle w:val="Caption-Figure"/>
      </w:pPr>
      <w:bookmarkStart w:id="149" w:name="_Ref56495625"/>
      <w:r w:rsidRPr="006F72AC">
        <w:t xml:space="preserve">Figure </w:t>
      </w:r>
      <w:r w:rsidR="00706070">
        <w:t>4</w:t>
      </w:r>
      <w:bookmarkEnd w:id="149"/>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 </w:instrText>
      </w:r>
      <w:r w:rsidR="00824706">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EN.CITE.DATA </w:instrText>
      </w:r>
      <w:r w:rsidR="00824706">
        <w:fldChar w:fldCharType="end"/>
      </w:r>
      <w:r w:rsidR="008E0433" w:rsidRPr="006F72AC">
        <w:fldChar w:fldCharType="separate"/>
      </w:r>
      <w:r w:rsidR="008E0433" w:rsidRPr="006F72AC">
        <w:rPr>
          <w:noProof/>
        </w:rPr>
        <w:t>(</w:t>
      </w:r>
      <w:hyperlink w:anchor="_ENREF_17" w:tooltip="Charman, 2019 #69" w:history="1">
        <w:r w:rsidR="0027195B" w:rsidRPr="006F72AC">
          <w:rPr>
            <w:noProof/>
          </w:rPr>
          <w:t>Charman et al., 2019</w:t>
        </w:r>
      </w:hyperlink>
      <w:r w:rsidR="008E0433" w:rsidRPr="006F72AC">
        <w:rPr>
          <w:noProof/>
        </w:rPr>
        <w:t>)</w:t>
      </w:r>
      <w:r w:rsidR="008E0433" w:rsidRPr="006F72AC">
        <w:fldChar w:fldCharType="end"/>
      </w:r>
      <w:r w:rsidR="00696C8A" w:rsidRPr="006F72AC">
        <w:t xml:space="preserve">. </w:t>
      </w:r>
      <w:bookmarkStart w:id="150" w:name="_Ref33532574"/>
      <w:bookmarkStart w:id="151" w:name="_Ref33534091"/>
      <w:bookmarkStart w:id="152" w:name="_Toc53666213"/>
      <w:bookmarkStart w:id="153" w:name="_Toc53675474"/>
      <w:r w:rsidR="00D57B72" w:rsidRPr="00D57B72">
        <w:t>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6D9FBCF7" w14:textId="42CD2A51" w:rsidR="00922F34" w:rsidRPr="00961290" w:rsidRDefault="00922F34" w:rsidP="00FA0361">
      <w:pPr>
        <w:pStyle w:val="3RARMP"/>
      </w:pPr>
      <w:bookmarkStart w:id="154" w:name="_Ref57119116"/>
      <w:bookmarkStart w:id="155" w:name="_Toc226975003"/>
      <w:r>
        <w:t>Mutation and recombination</w:t>
      </w:r>
      <w:bookmarkEnd w:id="150"/>
      <w:bookmarkEnd w:id="151"/>
      <w:bookmarkEnd w:id="152"/>
      <w:bookmarkEnd w:id="153"/>
      <w:bookmarkEnd w:id="154"/>
      <w:bookmarkEnd w:id="155"/>
    </w:p>
    <w:p w14:paraId="33B8D487" w14:textId="442D9EDD" w:rsidR="00AE359A" w:rsidRPr="00F54914" w:rsidRDefault="00C67260" w:rsidP="00F54914">
      <w:pPr>
        <w:pStyle w:val="RARMPnumberedparagraphs"/>
      </w:pPr>
      <w:r>
        <w:rPr>
          <w:rFonts w:cs="Calibri"/>
          <w:szCs w:val="22"/>
        </w:rPr>
        <w:t>Adenovirus</w:t>
      </w:r>
      <w:r w:rsidRPr="00D73A9A">
        <w:rPr>
          <w:rFonts w:cs="Calibri"/>
          <w:szCs w:val="22"/>
        </w:rPr>
        <w:t xml:space="preserve"> </w:t>
      </w:r>
      <w:r w:rsidR="009F1628" w:rsidRPr="00D73A9A">
        <w:rPr>
          <w:rFonts w:cs="Calibri"/>
          <w:szCs w:val="22"/>
        </w:rPr>
        <w:t>DNA is maintained as multiple episomal copies in the cytoplasm of infected cells</w:t>
      </w:r>
      <w:r w:rsidR="009F1628">
        <w:rPr>
          <w:rFonts w:cs="Calibri"/>
          <w:szCs w:val="22"/>
        </w:rPr>
        <w:t xml:space="preserve"> </w:t>
      </w:r>
      <w:r w:rsidR="009F1628">
        <w:rPr>
          <w:rFonts w:cs="Calibri"/>
          <w:szCs w:val="22"/>
        </w:rPr>
        <w:fldChar w:fldCharType="begin"/>
      </w:r>
      <w:r w:rsidR="00824706">
        <w:rPr>
          <w:rFonts w:cs="Calibri"/>
          <w:szCs w:val="22"/>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9F1628">
        <w:rPr>
          <w:rFonts w:cs="Calibri"/>
          <w:szCs w:val="22"/>
        </w:rPr>
        <w:fldChar w:fldCharType="separate"/>
      </w:r>
      <w:r w:rsidR="009F1628">
        <w:rPr>
          <w:rFonts w:cs="Calibri"/>
          <w:noProof/>
          <w:szCs w:val="22"/>
        </w:rPr>
        <w:t>(</w:t>
      </w:r>
      <w:hyperlink w:anchor="_ENREF_34" w:tooltip="Harui, 1999 #87" w:history="1">
        <w:r w:rsidR="0027195B">
          <w:rPr>
            <w:rFonts w:cs="Calibri"/>
            <w:noProof/>
            <w:szCs w:val="22"/>
          </w:rPr>
          <w:t>Harui et al., 1999</w:t>
        </w:r>
      </w:hyperlink>
      <w:r w:rsidR="009F1628">
        <w:rPr>
          <w:rFonts w:cs="Calibri"/>
          <w:noProof/>
          <w:szCs w:val="22"/>
        </w:rPr>
        <w:t>)</w:t>
      </w:r>
      <w:r w:rsidR="009F1628">
        <w:rPr>
          <w:rFonts w:cs="Calibri"/>
          <w:szCs w:val="22"/>
        </w:rPr>
        <w:fldChar w:fldCharType="end"/>
      </w:r>
      <w:r w:rsidR="00F76E47">
        <w:rPr>
          <w:rFonts w:cs="Calibri"/>
          <w:szCs w:val="22"/>
        </w:rPr>
        <w:t xml:space="preserve"> and</w:t>
      </w:r>
      <w:r w:rsidR="009F1628">
        <w:rPr>
          <w:rFonts w:cs="Calibri"/>
          <w:szCs w:val="22"/>
        </w:rPr>
        <w:t xml:space="preserve"> </w:t>
      </w:r>
      <w:proofErr w:type="spellStart"/>
      <w:r w:rsidR="003E0F12" w:rsidRPr="00C61325">
        <w:rPr>
          <w:rFonts w:cs="Calibri"/>
          <w:szCs w:val="22"/>
        </w:rPr>
        <w:t>AdVs</w:t>
      </w:r>
      <w:proofErr w:type="spellEnd"/>
      <w:r w:rsidR="003E0F12" w:rsidRPr="00C61325">
        <w:rPr>
          <w:rFonts w:cs="Calibri"/>
          <w:szCs w:val="22"/>
        </w:rPr>
        <w:t xml:space="preserve">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proofErr w:type="spellStart"/>
      <w:r w:rsidR="00B400CF" w:rsidRPr="00D73A9A">
        <w:rPr>
          <w:rFonts w:cs="Calibri"/>
          <w:szCs w:val="22"/>
        </w:rPr>
        <w:t>AdVs</w:t>
      </w:r>
      <w:proofErr w:type="spellEnd"/>
      <w:r w:rsidR="00B400CF" w:rsidRPr="00D73A9A">
        <w:rPr>
          <w:rFonts w:cs="Calibri"/>
          <w:szCs w:val="22"/>
        </w:rPr>
        <w:t xml:space="preserve"> </w:t>
      </w:r>
      <w:r w:rsidR="00C27641">
        <w:rPr>
          <w:rFonts w:cs="Calibri"/>
          <w:szCs w:val="22"/>
        </w:rPr>
        <w:t>integrati</w:t>
      </w:r>
      <w:r w:rsidR="001455CA">
        <w:rPr>
          <w:rFonts w:cs="Calibri"/>
          <w:szCs w:val="22"/>
        </w:rPr>
        <w:t xml:space="preserve">on </w:t>
      </w:r>
      <w:r w:rsidR="007E09C3">
        <w:rPr>
          <w:rFonts w:cs="Calibri"/>
          <w:szCs w:val="22"/>
        </w:rPr>
        <w:t xml:space="preserve">are considered </w:t>
      </w:r>
      <w:r w:rsidR="00925338" w:rsidRPr="00D73A9A">
        <w:rPr>
          <w:rFonts w:cs="Calibri"/>
          <w:szCs w:val="22"/>
        </w:rPr>
        <w:t>rare</w:t>
      </w:r>
      <w:r w:rsidR="00215382">
        <w:rPr>
          <w:rFonts w:cs="Calibri"/>
          <w:szCs w:val="22"/>
        </w:rPr>
        <w:t xml:space="preserve">, </w:t>
      </w:r>
      <w:r>
        <w:rPr>
          <w:rFonts w:cs="Calibri"/>
          <w:szCs w:val="22"/>
        </w:rPr>
        <w:t xml:space="preserve">and </w:t>
      </w:r>
      <w:r w:rsidR="00215382">
        <w:rPr>
          <w:rFonts w:cs="Calibri"/>
          <w:szCs w:val="22"/>
        </w:rPr>
        <w:t xml:space="preserve">random integration of virus DNA into the host genome has been observed </w:t>
      </w:r>
      <w:r>
        <w:rPr>
          <w:rFonts w:cs="Calibri"/>
          <w:szCs w:val="22"/>
        </w:rPr>
        <w:t xml:space="preserve">only </w:t>
      </w:r>
      <w:r w:rsidR="00215382">
        <w:rPr>
          <w:rFonts w:cs="Calibri"/>
          <w:szCs w:val="22"/>
        </w:rPr>
        <w:t>in very rare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MjAxNWEpPC9EaXNwbGF5VGV4dD48cmVjb3JkPjxyZWMtbnVtYmVyPjg3PC9yZWMtbnVtYmVyPjxm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=
</w:fldData>
        </w:fldChar>
      </w:r>
      <w:r w:rsidR="002219B9">
        <w:rPr>
          <w:rFonts w:cs="Calibri"/>
          <w:szCs w:val="22"/>
        </w:rPr>
        <w:instrText xml:space="preserve"> ADDIN EN.CITE </w:instrText>
      </w:r>
      <w:r w:rsidR="002219B9">
        <w:rPr>
          <w:rFonts w:cs="Calibri"/>
          <w:szCs w:val="22"/>
        </w:rPr>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MjAxNWEpPC9EaXNwbGF5VGV4dD48cmVjb3JkPjxyZWMtbnVtYmVyPjg3PC9yZWMtbnVtYmVyPjxm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=
</w:fldData>
        </w:fldChar>
      </w:r>
      <w:r w:rsidR="002219B9">
        <w:rPr>
          <w:rFonts w:cs="Calibri"/>
          <w:szCs w:val="22"/>
        </w:rPr>
        <w:instrText xml:space="preserve"> ADDIN EN.CITE.DATA </w:instrText>
      </w:r>
      <w:r w:rsidR="002219B9">
        <w:rPr>
          <w:rFonts w:cs="Calibri"/>
          <w:szCs w:val="22"/>
        </w:rPr>
      </w:r>
      <w:r w:rsidR="002219B9">
        <w:rPr>
          <w:rFonts w:cs="Calibri"/>
          <w:szCs w:val="22"/>
        </w:rPr>
        <w:fldChar w:fldCharType="end"/>
      </w:r>
      <w:r w:rsidR="00BD2A96">
        <w:rPr>
          <w:rFonts w:cs="Calibri"/>
          <w:szCs w:val="22"/>
        </w:rPr>
      </w:r>
      <w:r w:rsidR="00BD2A96">
        <w:rPr>
          <w:rFonts w:cs="Calibri"/>
          <w:szCs w:val="22"/>
        </w:rPr>
        <w:fldChar w:fldCharType="separate"/>
      </w:r>
      <w:r w:rsidR="002219B9">
        <w:rPr>
          <w:rFonts w:cs="Calibri"/>
          <w:noProof/>
          <w:szCs w:val="22"/>
        </w:rPr>
        <w:t>(</w:t>
      </w:r>
      <w:hyperlink w:anchor="_ENREF_21" w:tooltip="Dehghan, 2019 #89" w:history="1">
        <w:r w:rsidR="0027195B">
          <w:rPr>
            <w:rFonts w:cs="Calibri"/>
            <w:noProof/>
            <w:szCs w:val="22"/>
          </w:rPr>
          <w:t>Dehghan et al., 2019</w:t>
        </w:r>
      </w:hyperlink>
      <w:r w:rsidR="002219B9">
        <w:rPr>
          <w:rFonts w:cs="Calibri"/>
          <w:noProof/>
          <w:szCs w:val="22"/>
        </w:rPr>
        <w:t xml:space="preserve">; </w:t>
      </w:r>
      <w:hyperlink w:anchor="_ENREF_22" w:tooltip="Desfarges, 2012 #88" w:history="1">
        <w:r w:rsidR="0027195B">
          <w:rPr>
            <w:rFonts w:cs="Calibri"/>
            <w:noProof/>
            <w:szCs w:val="22"/>
          </w:rPr>
          <w:t>Desfarges and Ciuffi, 2012</w:t>
        </w:r>
      </w:hyperlink>
      <w:r w:rsidR="002219B9">
        <w:rPr>
          <w:rFonts w:cs="Calibri"/>
          <w:noProof/>
          <w:szCs w:val="22"/>
        </w:rPr>
        <w:t xml:space="preserve">; </w:t>
      </w:r>
      <w:hyperlink w:anchor="_ENREF_34" w:tooltip="Harui, 1999 #87" w:history="1">
        <w:r w:rsidR="0027195B">
          <w:rPr>
            <w:rFonts w:cs="Calibri"/>
            <w:noProof/>
            <w:szCs w:val="22"/>
          </w:rPr>
          <w:t>Harui et al., 1999</w:t>
        </w:r>
      </w:hyperlink>
      <w:r w:rsidR="002219B9">
        <w:rPr>
          <w:rFonts w:cs="Calibri"/>
          <w:noProof/>
          <w:szCs w:val="22"/>
        </w:rPr>
        <w:t xml:space="preserve">; </w:t>
      </w:r>
      <w:hyperlink w:anchor="_ENREF_37" w:tooltip="Hoppe, 2015 #90" w:history="1">
        <w:r w:rsidR="0027195B">
          <w:rPr>
            <w:rFonts w:cs="Calibri"/>
            <w:noProof/>
            <w:szCs w:val="22"/>
          </w:rPr>
          <w:t>Hoppe et al., 2015a</w:t>
        </w:r>
      </w:hyperlink>
      <w:r w:rsidR="002219B9">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54A6FB5B" w:rsidR="00A0296C" w:rsidRPr="00A27FD2" w:rsidRDefault="002C3C43" w:rsidP="00A27FD2">
      <w:pPr>
        <w:pStyle w:val="RARMPnumberedparagraphs"/>
        <w:rPr>
          <w:rFonts w:cs="Calibri"/>
          <w:szCs w:val="22"/>
        </w:rPr>
      </w:pPr>
      <w:r w:rsidRPr="00D73A9A">
        <w:rPr>
          <w:rFonts w:cs="Calibri"/>
          <w:szCs w:val="22"/>
        </w:rPr>
        <w:t xml:space="preserve">Where a cell is infected by multiple </w:t>
      </w:r>
      <w:proofErr w:type="spellStart"/>
      <w:r w:rsidR="00AF1831" w:rsidRPr="00D73A9A">
        <w:rPr>
          <w:rFonts w:cs="Calibri"/>
          <w:szCs w:val="22"/>
        </w:rPr>
        <w:t>A</w:t>
      </w:r>
      <w:r w:rsidR="007400CF">
        <w:rPr>
          <w:rFonts w:cs="Calibri"/>
          <w:szCs w:val="22"/>
        </w:rPr>
        <w:t>d</w:t>
      </w:r>
      <w:r w:rsidR="00AF1831" w:rsidRPr="00D73A9A">
        <w:rPr>
          <w:rFonts w:cs="Calibri"/>
          <w:szCs w:val="22"/>
        </w:rPr>
        <w:t>Vs</w:t>
      </w:r>
      <w:proofErr w:type="spellEnd"/>
      <w:r w:rsidR="00AF1831" w:rsidRPr="00D73A9A">
        <w:rPr>
          <w:rFonts w:cs="Calibri"/>
          <w:szCs w:val="22"/>
        </w:rPr>
        <w:t xml:space="preserve">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 xml:space="preserve">the molecular evolution of </w:t>
      </w:r>
      <w:proofErr w:type="spellStart"/>
      <w:r w:rsidR="00AF1831" w:rsidRPr="00D73A9A">
        <w:rPr>
          <w:rFonts w:cs="Calibri"/>
          <w:szCs w:val="22"/>
        </w:rPr>
        <w:t>AdVs</w:t>
      </w:r>
      <w:proofErr w:type="spellEnd"/>
      <w:r w:rsidR="008B1707" w:rsidRPr="00D73A9A">
        <w:rPr>
          <w:rFonts w:cs="Calibri"/>
          <w:szCs w:val="22"/>
        </w:rPr>
        <w:t xml:space="preserve"> through </w:t>
      </w:r>
      <w:r w:rsidRPr="00D73A9A">
        <w:rPr>
          <w:rFonts w:cs="Calibri"/>
          <w:szCs w:val="22"/>
        </w:rPr>
        <w:t>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824706">
        <w:rPr>
          <w:rFonts w:cs="Calibri"/>
          <w:szCs w:val="22"/>
        </w:rPr>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6" w:tooltip="Lukashev, 2008 #92" w:history="1">
        <w:r w:rsidR="0027195B">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p>
    <w:p w14:paraId="24A7330B" w14:textId="7A411A6B" w:rsidR="00B412FD" w:rsidRDefault="004D0CE9" w:rsidP="00CC36F3">
      <w:pPr>
        <w:pStyle w:val="RARMPnumberedparagraphs"/>
        <w:rPr>
          <w:rFonts w:cs="Calibri"/>
          <w:szCs w:val="22"/>
        </w:rPr>
      </w:pPr>
      <w:r>
        <w:rPr>
          <w:rFonts w:cs="Calibri"/>
          <w:szCs w:val="22"/>
        </w:rPr>
        <w:t xml:space="preserve">Bioinformatic analysis of </w:t>
      </w:r>
      <w:proofErr w:type="spellStart"/>
      <w:r>
        <w:rPr>
          <w:rFonts w:cs="Calibri"/>
          <w:szCs w:val="22"/>
        </w:rPr>
        <w:t>HAdV</w:t>
      </w:r>
      <w:proofErr w:type="spellEnd"/>
      <w:r>
        <w:rPr>
          <w:rFonts w:cs="Calibri"/>
          <w:szCs w:val="22"/>
        </w:rPr>
        <w:t>-C suggests that homologous recombination in the capsid (</w:t>
      </w:r>
      <w:proofErr w:type="spellStart"/>
      <w:r>
        <w:rPr>
          <w:rFonts w:cs="Calibri"/>
          <w:szCs w:val="22"/>
        </w:rPr>
        <w:t>hexon</w:t>
      </w:r>
      <w:proofErr w:type="spellEnd"/>
      <w:r>
        <w:rPr>
          <w:rFonts w:cs="Calibri"/>
          <w:szCs w:val="22"/>
        </w:rPr>
        <w:t xml:space="preserve">, penton and </w:t>
      </w:r>
      <w:proofErr w:type="spellStart"/>
      <w:r w:rsidRPr="004E271E">
        <w:rPr>
          <w:rFonts w:cs="Calibri"/>
          <w:szCs w:val="22"/>
        </w:rPr>
        <w:t>fiber</w:t>
      </w:r>
      <w:proofErr w:type="spellEnd"/>
      <w:r w:rsidRPr="004E271E">
        <w:rPr>
          <w:rFonts w:cs="Calibri"/>
          <w:szCs w:val="22"/>
        </w:rPr>
        <w:t xml:space="preserve">) and E3 genes </w:t>
      </w:r>
      <w:r w:rsidR="004E271E">
        <w:rPr>
          <w:rFonts w:cs="Calibri"/>
          <w:szCs w:val="22"/>
        </w:rPr>
        <w:t>were</w:t>
      </w:r>
      <w:r w:rsidRPr="004E271E">
        <w:rPr>
          <w:rFonts w:cs="Calibri"/>
          <w:szCs w:val="22"/>
        </w:rPr>
        <w:t xml:space="preserve"> not</w:t>
      </w:r>
      <w:r>
        <w:rPr>
          <w:rFonts w:cs="Calibri"/>
          <w:szCs w:val="22"/>
        </w:rPr>
        <w:t xml:space="preserve"> </w:t>
      </w:r>
      <w:r w:rsidR="0002583C">
        <w:rPr>
          <w:rFonts w:cs="Calibri"/>
          <w:szCs w:val="22"/>
        </w:rPr>
        <w:t xml:space="preserve">common and </w:t>
      </w:r>
      <w:r w:rsidR="00D24350">
        <w:rPr>
          <w:rFonts w:cs="Calibri"/>
          <w:szCs w:val="22"/>
        </w:rPr>
        <w:t>were</w:t>
      </w:r>
      <w:r w:rsidR="004E271E">
        <w:rPr>
          <w:rFonts w:cs="Calibri"/>
          <w:szCs w:val="22"/>
        </w:rPr>
        <w:t xml:space="preserve"> </w:t>
      </w:r>
      <w:r w:rsidR="0002583C">
        <w:rPr>
          <w:rFonts w:cs="Calibri"/>
          <w:szCs w:val="22"/>
        </w:rPr>
        <w:t xml:space="preserve">not </w:t>
      </w:r>
      <w:r>
        <w:rPr>
          <w:rFonts w:cs="Calibri"/>
          <w:szCs w:val="22"/>
        </w:rPr>
        <w:t>major contributor</w:t>
      </w:r>
      <w:r w:rsidR="00D24350">
        <w:rPr>
          <w:rFonts w:cs="Calibri"/>
          <w:szCs w:val="22"/>
        </w:rPr>
        <w:t>s</w:t>
      </w:r>
      <w:r>
        <w:rPr>
          <w:rFonts w:cs="Calibri"/>
          <w:szCs w:val="22"/>
        </w:rPr>
        <w:t xml:space="preserve"> to the diversity seen in </w:t>
      </w:r>
      <w:proofErr w:type="spellStart"/>
      <w:r>
        <w:rPr>
          <w:rFonts w:cs="Calibri"/>
          <w:szCs w:val="22"/>
        </w:rPr>
        <w:t>HAdV</w:t>
      </w:r>
      <w:proofErr w:type="spellEnd"/>
      <w:r>
        <w:rPr>
          <w:rFonts w:cs="Calibri"/>
          <w:szCs w:val="22"/>
        </w:rPr>
        <w:t xml:space="preserve">-C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sidR="00120F6A">
        <w:rPr>
          <w:rFonts w:cs="Calibri"/>
          <w:szCs w:val="22"/>
        </w:rPr>
        <w:t>,</w:t>
      </w:r>
      <w:r w:rsidR="00120F6A" w:rsidRPr="00120F6A">
        <w:rPr>
          <w:rFonts w:cs="Calibri"/>
          <w:szCs w:val="22"/>
        </w:rPr>
        <w:t xml:space="preserve"> </w:t>
      </w:r>
      <w:r w:rsidR="00120F6A">
        <w:rPr>
          <w:rFonts w:cs="Calibri"/>
          <w:szCs w:val="22"/>
        </w:rPr>
        <w:t xml:space="preserve">although </w:t>
      </w:r>
      <w:r w:rsidR="00120F6A" w:rsidRPr="0070333A">
        <w:rPr>
          <w:rFonts w:cs="Calibri"/>
          <w:szCs w:val="22"/>
        </w:rPr>
        <w:t xml:space="preserve">a more recent study </w:t>
      </w:r>
      <w:r w:rsidR="00120F6A">
        <w:rPr>
          <w:rFonts w:cs="Calibri"/>
          <w:szCs w:val="22"/>
        </w:rPr>
        <w:t xml:space="preserve">using </w:t>
      </w:r>
      <w:r w:rsidR="00120F6A" w:rsidRPr="00120F6A">
        <w:rPr>
          <w:rFonts w:cs="Calibri"/>
          <w:szCs w:val="22"/>
        </w:rPr>
        <w:t>phylogenetic analyses</w:t>
      </w:r>
      <w:r w:rsidR="00120F6A">
        <w:rPr>
          <w:rFonts w:cs="Calibri"/>
          <w:szCs w:val="22"/>
        </w:rPr>
        <w:t xml:space="preserve"> demonstrated that</w:t>
      </w:r>
      <w:r w:rsidR="00120F6A" w:rsidRPr="0070333A">
        <w:rPr>
          <w:rFonts w:cs="Calibri"/>
          <w:szCs w:val="22"/>
        </w:rPr>
        <w:t xml:space="preserve"> the E3 </w:t>
      </w:r>
      <w:r w:rsidR="00120F6A">
        <w:rPr>
          <w:rFonts w:cs="Calibri"/>
          <w:szCs w:val="22"/>
        </w:rPr>
        <w:t xml:space="preserve">region </w:t>
      </w:r>
      <w:r w:rsidR="00120F6A" w:rsidRPr="0070333A">
        <w:rPr>
          <w:rFonts w:cs="Calibri"/>
          <w:szCs w:val="22"/>
        </w:rPr>
        <w:t xml:space="preserve">may act as recombination hotspots for </w:t>
      </w:r>
      <w:proofErr w:type="spellStart"/>
      <w:r w:rsidR="00120F6A" w:rsidRPr="0070333A">
        <w:rPr>
          <w:rFonts w:cs="Calibri"/>
          <w:szCs w:val="22"/>
        </w:rPr>
        <w:t>HAdV</w:t>
      </w:r>
      <w:proofErr w:type="spellEnd"/>
      <w:r w:rsidR="00120F6A" w:rsidRPr="0070333A">
        <w:rPr>
          <w:rFonts w:cs="Calibri"/>
          <w:szCs w:val="22"/>
        </w:rPr>
        <w:t xml:space="preserve">-C </w:t>
      </w:r>
      <w:r w:rsidR="00120F6A" w:rsidRPr="0070333A">
        <w:rPr>
          <w:rFonts w:cs="Calibri"/>
          <w:szCs w:val="22"/>
        </w:rPr>
        <w:fldChar w:fldCharType="begin"/>
      </w:r>
      <w:r w:rsidR="00120F6A" w:rsidRPr="0070333A">
        <w:rPr>
          <w:rFonts w:cs="Calibri"/>
          <w:szCs w:val="22"/>
        </w:rPr>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120F6A" w:rsidRPr="0070333A">
        <w:rPr>
          <w:rFonts w:cs="Calibri"/>
          <w:szCs w:val="22"/>
        </w:rPr>
        <w:fldChar w:fldCharType="separate"/>
      </w:r>
      <w:r w:rsidR="00120F6A" w:rsidRPr="0070333A">
        <w:rPr>
          <w:rFonts w:cs="Calibri"/>
          <w:szCs w:val="22"/>
        </w:rPr>
        <w:t>(</w:t>
      </w:r>
      <w:hyperlink w:anchor="_ENREF_26" w:tooltip="Fang, 2024 #92" w:history="1">
        <w:r w:rsidR="0027195B" w:rsidRPr="002219B9">
          <w:rPr>
            <w:rFonts w:cs="Calibri"/>
            <w:szCs w:val="22"/>
          </w:rPr>
          <w:t>Fang et al., 2024</w:t>
        </w:r>
      </w:hyperlink>
      <w:r w:rsidR="00120F6A" w:rsidRPr="0070333A">
        <w:rPr>
          <w:rFonts w:cs="Calibri"/>
          <w:szCs w:val="22"/>
        </w:rPr>
        <w:t>)</w:t>
      </w:r>
      <w:r w:rsidR="00120F6A" w:rsidRPr="0070333A">
        <w:rPr>
          <w:rFonts w:cs="Calibri"/>
          <w:szCs w:val="22"/>
        </w:rPr>
        <w:fldChar w:fldCharType="end"/>
      </w:r>
      <w:r w:rsidR="00805F9C">
        <w:rPr>
          <w:rFonts w:cs="Calibri"/>
          <w:szCs w:val="22"/>
        </w:rPr>
        <w:t>.</w:t>
      </w:r>
      <w:r w:rsidR="00B412FD">
        <w:rPr>
          <w:rFonts w:cs="Calibri"/>
          <w:szCs w:val="22"/>
        </w:rPr>
        <w:t xml:space="preserve"> </w:t>
      </w:r>
      <w:r w:rsidR="00B412FD" w:rsidRPr="00B412FD">
        <w:rPr>
          <w:rFonts w:cs="Calibri"/>
          <w:szCs w:val="22"/>
        </w:rPr>
        <w:t xml:space="preserve">The </w:t>
      </w:r>
      <w:proofErr w:type="spellStart"/>
      <w:r w:rsidR="00B412FD" w:rsidRPr="00B412FD">
        <w:rPr>
          <w:rFonts w:cs="Calibri"/>
          <w:szCs w:val="22"/>
        </w:rPr>
        <w:t>hexon</w:t>
      </w:r>
      <w:proofErr w:type="spellEnd"/>
      <w:r w:rsidR="00B412FD" w:rsidRPr="00B412FD">
        <w:rPr>
          <w:rFonts w:cs="Calibri"/>
          <w:szCs w:val="22"/>
        </w:rPr>
        <w:t xml:space="preserve"> protein is a major constituent of the viral capsid and is suggested to be critical for the development of </w:t>
      </w:r>
      <w:proofErr w:type="spellStart"/>
      <w:r w:rsidR="00C67260">
        <w:rPr>
          <w:rFonts w:cs="Calibri"/>
          <w:szCs w:val="22"/>
        </w:rPr>
        <w:t>AdV</w:t>
      </w:r>
      <w:proofErr w:type="spellEnd"/>
      <w:r w:rsidR="00C67260" w:rsidRPr="00B412FD">
        <w:rPr>
          <w:rFonts w:cs="Calibri"/>
          <w:szCs w:val="22"/>
        </w:rPr>
        <w:t xml:space="preserve"> </w:t>
      </w:r>
      <w:r w:rsidR="00B412FD" w:rsidRPr="00B412FD">
        <w:rPr>
          <w:rFonts w:cs="Calibri"/>
          <w:szCs w:val="22"/>
        </w:rPr>
        <w:t xml:space="preserve">vaccines </w:t>
      </w:r>
      <w:r w:rsidR="003208BB">
        <w:rPr>
          <w:rFonts w:cs="Calibri"/>
          <w:szCs w:val="22"/>
        </w:rPr>
        <w:t xml:space="preserve">or therapeutics </w:t>
      </w:r>
      <w:r w:rsidR="00B412FD" w:rsidRPr="00B412FD">
        <w:rPr>
          <w:rFonts w:cs="Calibri"/>
          <w:szCs w:val="22"/>
        </w:rPr>
        <w:t xml:space="preserve">by forming the serum neutralisation epitope; the penton and </w:t>
      </w:r>
      <w:proofErr w:type="spellStart"/>
      <w:r w:rsidR="00B412FD" w:rsidRPr="00B412FD">
        <w:rPr>
          <w:rFonts w:cs="Calibri"/>
          <w:szCs w:val="22"/>
        </w:rPr>
        <w:t>fib</w:t>
      </w:r>
      <w:r w:rsidR="003F6085">
        <w:rPr>
          <w:rFonts w:cs="Calibri"/>
          <w:szCs w:val="22"/>
        </w:rPr>
        <w:t>er</w:t>
      </w:r>
      <w:proofErr w:type="spellEnd"/>
      <w:r w:rsidR="00B412FD" w:rsidRPr="00B412FD">
        <w:rPr>
          <w:rFonts w:cs="Calibri"/>
          <w:szCs w:val="22"/>
        </w:rPr>
        <w:t xml:space="preserve"> proteins are responsible for host cell binding and internalisation; and the E3 proteins facilitate immune evasion by the virus </w:t>
      </w:r>
      <w:r w:rsidR="00B412FD" w:rsidRPr="00B412FD">
        <w:rPr>
          <w:rFonts w:cs="Calibri"/>
          <w:szCs w:val="22"/>
        </w:rPr>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5B0F2F">
        <w:rPr>
          <w:rFonts w:cs="Calibri"/>
          <w:szCs w:val="22"/>
        </w:rPr>
        <w:instrText xml:space="preserve"> ADDIN EN.CITE </w:instrText>
      </w:r>
      <w:r w:rsidR="005B0F2F">
        <w:rPr>
          <w:rFonts w:cs="Calibri"/>
          <w:szCs w:val="22"/>
        </w:rPr>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B412FD" w:rsidRPr="00B412FD">
        <w:rPr>
          <w:rFonts w:cs="Calibri"/>
          <w:szCs w:val="22"/>
        </w:rPr>
      </w:r>
      <w:r w:rsidR="00B412FD" w:rsidRPr="00B412FD">
        <w:rPr>
          <w:rFonts w:cs="Calibri"/>
          <w:szCs w:val="22"/>
        </w:rPr>
        <w:fldChar w:fldCharType="separate"/>
      </w:r>
      <w:r w:rsidR="005B0F2F">
        <w:rPr>
          <w:rFonts w:cs="Calibri"/>
          <w:noProof/>
          <w:szCs w:val="22"/>
        </w:rPr>
        <w:t>(</w:t>
      </w:r>
      <w:hyperlink w:anchor="_ENREF_42" w:tooltip="Ismail, 2018 #56" w:history="1">
        <w:r w:rsidR="0027195B">
          <w:rPr>
            <w:rFonts w:cs="Calibri"/>
            <w:noProof/>
            <w:szCs w:val="22"/>
          </w:rPr>
          <w:t>Ismail et al., 2018b</w:t>
        </w:r>
      </w:hyperlink>
      <w:r w:rsidR="005B0F2F">
        <w:rPr>
          <w:rFonts w:cs="Calibri"/>
          <w:noProof/>
          <w:szCs w:val="22"/>
        </w:rPr>
        <w:t xml:space="preserve">; </w:t>
      </w:r>
      <w:hyperlink w:anchor="_ENREF_75" w:tooltip="Robinson, 2011 #67" w:history="1">
        <w:r w:rsidR="0027195B">
          <w:rPr>
            <w:rFonts w:cs="Calibri"/>
            <w:noProof/>
            <w:szCs w:val="22"/>
          </w:rPr>
          <w:t>Robinson et al., 2011</w:t>
        </w:r>
      </w:hyperlink>
      <w:r w:rsidR="005B0F2F">
        <w:rPr>
          <w:rFonts w:cs="Calibri"/>
          <w:noProof/>
          <w:szCs w:val="22"/>
        </w:rPr>
        <w:t>)</w:t>
      </w:r>
      <w:r w:rsidR="00B412FD" w:rsidRPr="00B412FD">
        <w:rPr>
          <w:rFonts w:cs="Calibri"/>
          <w:szCs w:val="22"/>
        </w:rPr>
        <w:fldChar w:fldCharType="end"/>
      </w:r>
      <w:r w:rsidR="00B412FD" w:rsidRPr="00B412FD">
        <w:rPr>
          <w:rFonts w:cs="Calibri"/>
          <w:szCs w:val="22"/>
        </w:rPr>
        <w:t xml:space="preserve">. </w:t>
      </w:r>
      <w:r w:rsidR="00B412FD">
        <w:rPr>
          <w:rFonts w:cs="Calibri"/>
          <w:szCs w:val="22"/>
        </w:rPr>
        <w:t xml:space="preserve">The lack </w:t>
      </w:r>
      <w:r w:rsidR="00B412FD">
        <w:rPr>
          <w:rFonts w:cs="Calibri"/>
          <w:szCs w:val="22"/>
        </w:rPr>
        <w:lastRenderedPageBreak/>
        <w:t>of h</w:t>
      </w:r>
      <w:r w:rsidR="00B412FD" w:rsidRPr="00B412FD">
        <w:rPr>
          <w:rFonts w:cs="Calibri"/>
          <w:szCs w:val="22"/>
        </w:rPr>
        <w:t>omologous recombination in the</w:t>
      </w:r>
      <w:r w:rsidR="00C95B9E">
        <w:rPr>
          <w:rFonts w:cs="Calibri"/>
          <w:szCs w:val="22"/>
        </w:rPr>
        <w:t xml:space="preserve"> capsid and E3 genes</w:t>
      </w:r>
      <w:r w:rsidR="00B412FD" w:rsidRPr="00B412FD">
        <w:rPr>
          <w:rFonts w:cs="Calibri"/>
          <w:szCs w:val="22"/>
        </w:rPr>
        <w:t xml:space="preserve"> </w:t>
      </w:r>
      <w:r w:rsidR="00B412FD">
        <w:rPr>
          <w:rFonts w:cs="Calibri"/>
          <w:szCs w:val="22"/>
        </w:rPr>
        <w:t xml:space="preserve">of </w:t>
      </w:r>
      <w:proofErr w:type="spellStart"/>
      <w:r w:rsidR="00B412FD">
        <w:rPr>
          <w:rFonts w:cs="Calibri"/>
          <w:szCs w:val="22"/>
        </w:rPr>
        <w:t>HAdV</w:t>
      </w:r>
      <w:proofErr w:type="spellEnd"/>
      <w:r w:rsidR="00B412FD">
        <w:rPr>
          <w:rFonts w:cs="Calibri"/>
          <w:szCs w:val="22"/>
        </w:rPr>
        <w:t xml:space="preserve">-C reduces the likelihood of </w:t>
      </w:r>
      <w:proofErr w:type="spellStart"/>
      <w:r w:rsidR="00B412FD">
        <w:rPr>
          <w:rFonts w:cs="Calibri"/>
          <w:szCs w:val="22"/>
        </w:rPr>
        <w:t>HAdV</w:t>
      </w:r>
      <w:proofErr w:type="spellEnd"/>
      <w:r w:rsidR="00B412FD">
        <w:rPr>
          <w:rFonts w:cs="Calibri"/>
          <w:szCs w:val="22"/>
        </w:rPr>
        <w:t xml:space="preserve">-C </w:t>
      </w:r>
      <w:r w:rsidR="00B412FD" w:rsidRPr="00B412FD">
        <w:rPr>
          <w:rFonts w:cs="Calibri"/>
          <w:szCs w:val="22"/>
        </w:rPr>
        <w:t>alter</w:t>
      </w:r>
      <w:r w:rsidR="00C67260">
        <w:rPr>
          <w:rFonts w:cs="Calibri"/>
          <w:szCs w:val="22"/>
        </w:rPr>
        <w:t>ing</w:t>
      </w:r>
      <w:r w:rsidR="00B412FD">
        <w:rPr>
          <w:rFonts w:cs="Calibri"/>
          <w:szCs w:val="22"/>
        </w:rPr>
        <w:t xml:space="preserve"> its </w:t>
      </w:r>
      <w:r w:rsidR="00B412FD" w:rsidRPr="00B412FD">
        <w:rPr>
          <w:rFonts w:cs="Calibri"/>
          <w:szCs w:val="22"/>
        </w:rPr>
        <w:t xml:space="preserve">cell tropism </w:t>
      </w:r>
      <w:r w:rsidR="00B412FD">
        <w:rPr>
          <w:rFonts w:cs="Calibri"/>
          <w:szCs w:val="22"/>
        </w:rPr>
        <w:t xml:space="preserve">and </w:t>
      </w:r>
      <w:r w:rsidR="00F725E8">
        <w:rPr>
          <w:rFonts w:cs="Calibri"/>
          <w:szCs w:val="22"/>
        </w:rPr>
        <w:t xml:space="preserve">of </w:t>
      </w:r>
      <w:r w:rsidR="002E113A">
        <w:rPr>
          <w:rFonts w:cs="Calibri"/>
          <w:szCs w:val="22"/>
        </w:rPr>
        <w:t>alter</w:t>
      </w:r>
      <w:r w:rsidR="00F725E8">
        <w:rPr>
          <w:rFonts w:cs="Calibri"/>
          <w:szCs w:val="22"/>
        </w:rPr>
        <w:t>ing</w:t>
      </w:r>
      <w:r w:rsidR="002E113A">
        <w:rPr>
          <w:rFonts w:cs="Calibri"/>
          <w:szCs w:val="22"/>
        </w:rPr>
        <w:t xml:space="preserve"> </w:t>
      </w:r>
      <w:r w:rsidR="00B412FD">
        <w:rPr>
          <w:rFonts w:cs="Calibri"/>
          <w:szCs w:val="22"/>
        </w:rPr>
        <w:t>it</w:t>
      </w:r>
      <w:r w:rsidR="00B412FD" w:rsidRPr="00B412FD">
        <w:rPr>
          <w:rFonts w:cs="Calibri"/>
          <w:szCs w:val="22"/>
        </w:rPr>
        <w:t>s ability to evade the immune system</w:t>
      </w:r>
      <w:r w:rsidR="00B412FD">
        <w:rPr>
          <w:rFonts w:cs="Calibri"/>
          <w:szCs w:val="22"/>
        </w:rPr>
        <w:t>.</w:t>
      </w:r>
    </w:p>
    <w:p w14:paraId="412343FD" w14:textId="613EE1F9" w:rsidR="002B3270" w:rsidRPr="00A27FD2" w:rsidRDefault="00441138" w:rsidP="002B3270">
      <w:pPr>
        <w:pStyle w:val="RARMPnumberedparagraphs"/>
        <w:rPr>
          <w:rFonts w:cs="Calibri"/>
          <w:szCs w:val="22"/>
        </w:rPr>
      </w:pPr>
      <w:r>
        <w:rPr>
          <w:rFonts w:cs="Calibri"/>
          <w:szCs w:val="22"/>
        </w:rPr>
        <w:t xml:space="preserve">In addition, bioinformatic analysis also showed very low sequence diversity in the minor capsid proteins (IIIa, V, VI, VII, VIII and IX), suggesting that these proteins are well conserved between all </w:t>
      </w:r>
      <w:proofErr w:type="spellStart"/>
      <w:r>
        <w:rPr>
          <w:rFonts w:cs="Calibri"/>
          <w:szCs w:val="22"/>
        </w:rPr>
        <w:t>HAdV</w:t>
      </w:r>
      <w:proofErr w:type="spellEnd"/>
      <w:r>
        <w:rPr>
          <w:rFonts w:cs="Calibri"/>
          <w:szCs w:val="22"/>
        </w:rPr>
        <w:t>-C</w:t>
      </w:r>
      <w:r w:rsidR="00F725E8">
        <w:rPr>
          <w:rFonts w:cs="Calibri"/>
          <w:szCs w:val="22"/>
        </w:rPr>
        <w:t xml:space="preserve"> s</w:t>
      </w:r>
      <w:r w:rsidR="00FE220C">
        <w:rPr>
          <w:rFonts w:cs="Calibri"/>
          <w:szCs w:val="22"/>
        </w:rPr>
        <w:t>erotypes</w:t>
      </w:r>
      <w:r>
        <w:rPr>
          <w:rFonts w:cs="Calibri"/>
          <w:szCs w:val="22"/>
        </w:rPr>
        <w:t xml:space="preserve">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 xml:space="preserve">. However, genome analysis of 51 circulating species </w:t>
      </w:r>
      <w:proofErr w:type="spellStart"/>
      <w:r>
        <w:rPr>
          <w:rFonts w:cs="Calibri"/>
          <w:szCs w:val="22"/>
        </w:rPr>
        <w:t>HAdV</w:t>
      </w:r>
      <w:proofErr w:type="spellEnd"/>
      <w:r>
        <w:rPr>
          <w:rFonts w:cs="Calibri"/>
          <w:szCs w:val="22"/>
        </w:rPr>
        <w:t xml:space="preserve">-C revealed that the evolution of </w:t>
      </w:r>
      <w:proofErr w:type="spellStart"/>
      <w:r>
        <w:rPr>
          <w:rFonts w:cs="Calibri"/>
          <w:szCs w:val="22"/>
        </w:rPr>
        <w:t>HAdV</w:t>
      </w:r>
      <w:proofErr w:type="spellEnd"/>
      <w:r>
        <w:rPr>
          <w:rFonts w:cs="Calibri"/>
          <w:szCs w:val="22"/>
        </w:rPr>
        <w:t xml:space="preserve">-C may be the result of recombination events in the early genes (e.g. E1 and E4)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 </w:instrText>
      </w:r>
      <w:r w:rsidR="000F689C">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0F689C">
        <w:rPr>
          <w:rFonts w:cs="Calibri"/>
          <w:szCs w:val="22"/>
        </w:rPr>
        <w:instrText xml:space="preserve"> ADDIN EN.CITE.DATA </w:instrText>
      </w:r>
      <w:r w:rsidR="000F689C">
        <w:rPr>
          <w:rFonts w:cs="Calibri"/>
          <w:szCs w:val="22"/>
        </w:rPr>
      </w:r>
      <w:r w:rsidR="000F689C">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3" w:tooltip="Dhingra, 2019 #94" w:history="1">
        <w:r w:rsidR="0027195B">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w:t>
      </w:r>
      <w:r w:rsidR="00B412FD">
        <w:rPr>
          <w:rFonts w:cs="Calibri"/>
          <w:szCs w:val="22"/>
        </w:rPr>
        <w:t xml:space="preserve"> </w:t>
      </w:r>
      <w:r w:rsidR="002B3270">
        <w:rPr>
          <w:rFonts w:cs="Calibri"/>
          <w:szCs w:val="22"/>
        </w:rPr>
        <w:t>Bio</w:t>
      </w:r>
      <w:r w:rsidR="002B3270" w:rsidRPr="00E52B4D">
        <w:rPr>
          <w:rFonts w:cs="Calibri"/>
          <w:szCs w:val="22"/>
        </w:rPr>
        <w:t>informatic</w:t>
      </w:r>
      <w:r w:rsidR="002B3270">
        <w:rPr>
          <w:rFonts w:cs="Calibri"/>
          <w:szCs w:val="22"/>
        </w:rPr>
        <w:t>s</w:t>
      </w:r>
      <w:r w:rsidR="002B3270" w:rsidRPr="00E52B4D">
        <w:rPr>
          <w:rFonts w:cs="Calibri"/>
          <w:szCs w:val="22"/>
        </w:rPr>
        <w:t xml:space="preserve"> analysis </w:t>
      </w:r>
      <w:r w:rsidR="002B3270">
        <w:rPr>
          <w:rFonts w:cs="Calibri"/>
          <w:szCs w:val="22"/>
        </w:rPr>
        <w:t xml:space="preserve">also </w:t>
      </w:r>
      <w:r w:rsidR="002B3270" w:rsidRPr="00E52B4D">
        <w:rPr>
          <w:rFonts w:cs="Calibri"/>
          <w:szCs w:val="22"/>
        </w:rPr>
        <w:t xml:space="preserve">suggested </w:t>
      </w:r>
      <w:r w:rsidR="002B3270">
        <w:rPr>
          <w:rFonts w:cs="Calibri"/>
          <w:szCs w:val="22"/>
        </w:rPr>
        <w:t xml:space="preserve">that HAdV-E4, a species E </w:t>
      </w:r>
      <w:proofErr w:type="spellStart"/>
      <w:r w:rsidR="002B3270">
        <w:rPr>
          <w:rFonts w:cs="Calibri"/>
          <w:szCs w:val="22"/>
        </w:rPr>
        <w:t>AdV</w:t>
      </w:r>
      <w:proofErr w:type="spellEnd"/>
      <w:r w:rsidR="002B3270">
        <w:rPr>
          <w:rFonts w:cs="Calibri"/>
          <w:szCs w:val="22"/>
        </w:rPr>
        <w:t xml:space="preserve">, was a result of a </w:t>
      </w:r>
      <w:r w:rsidR="002B3270" w:rsidRPr="00E52B4D">
        <w:rPr>
          <w:rFonts w:cs="Calibri"/>
          <w:szCs w:val="22"/>
        </w:rPr>
        <w:t xml:space="preserve">recombination event between species B and </w:t>
      </w:r>
      <w:r w:rsidR="002B3270" w:rsidRPr="00D73A9A">
        <w:rPr>
          <w:rFonts w:cs="Calibri"/>
          <w:szCs w:val="22"/>
        </w:rPr>
        <w:t>C</w:t>
      </w:r>
      <w:r w:rsidR="002B3270">
        <w:rPr>
          <w:rFonts w:cs="Calibri"/>
          <w:szCs w:val="22"/>
        </w:rPr>
        <w:t xml:space="preserve"> </w:t>
      </w:r>
      <w:r w:rsidR="002B3270">
        <w:rPr>
          <w:rFonts w:cs="Calibri"/>
          <w:szCs w:val="22"/>
        </w:rPr>
        <w:fldChar w:fldCharType="begin"/>
      </w:r>
      <w:r w:rsidR="002B3270">
        <w:rPr>
          <w:rFonts w:cs="Calibri"/>
          <w:szCs w:val="22"/>
        </w:rPr>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2B3270">
        <w:rPr>
          <w:rFonts w:cs="Calibri"/>
          <w:szCs w:val="22"/>
        </w:rPr>
        <w:fldChar w:fldCharType="separate"/>
      </w:r>
      <w:r w:rsidR="002B3270">
        <w:rPr>
          <w:rFonts w:cs="Calibri"/>
          <w:noProof/>
          <w:szCs w:val="22"/>
        </w:rPr>
        <w:t>(</w:t>
      </w:r>
      <w:hyperlink w:anchor="_ENREF_33" w:tooltip="Gruber, 1993 #93" w:history="1">
        <w:r w:rsidR="0027195B">
          <w:rPr>
            <w:rFonts w:cs="Calibri"/>
            <w:noProof/>
            <w:szCs w:val="22"/>
          </w:rPr>
          <w:t>Gruber et al., 1993</w:t>
        </w:r>
      </w:hyperlink>
      <w:r w:rsidR="002B3270">
        <w:rPr>
          <w:rFonts w:cs="Calibri"/>
          <w:noProof/>
          <w:szCs w:val="22"/>
        </w:rPr>
        <w:t>)</w:t>
      </w:r>
      <w:r w:rsidR="002B3270">
        <w:rPr>
          <w:rFonts w:cs="Calibri"/>
          <w:szCs w:val="22"/>
        </w:rPr>
        <w:fldChar w:fldCharType="end"/>
      </w:r>
      <w:r w:rsidR="002B3270">
        <w:rPr>
          <w:rFonts w:cs="Calibri"/>
          <w:szCs w:val="22"/>
        </w:rPr>
        <w:t xml:space="preserve">. </w:t>
      </w:r>
    </w:p>
    <w:p w14:paraId="33E3C0D5" w14:textId="54E45D02" w:rsidR="00FA0361" w:rsidRPr="00D73A9A" w:rsidRDefault="00311516" w:rsidP="00FA0361">
      <w:pPr>
        <w:pStyle w:val="3RARMP"/>
      </w:pPr>
      <w:bookmarkStart w:id="156" w:name="_Toc226975004"/>
      <w:bookmarkStart w:id="157" w:name="_Ref32244989"/>
      <w:bookmarkStart w:id="158" w:name="_Ref32507204"/>
      <w:bookmarkStart w:id="159" w:name="_Toc53666214"/>
      <w:bookmarkStart w:id="160" w:name="_Toc53675475"/>
      <w:r w:rsidRPr="00D73A9A">
        <w:t>Epidemiology</w:t>
      </w:r>
      <w:bookmarkStart w:id="161" w:name="_Toc53666217"/>
      <w:bookmarkStart w:id="162" w:name="_Toc53675478"/>
      <w:bookmarkEnd w:id="156"/>
    </w:p>
    <w:p w14:paraId="5F6A9823" w14:textId="2A525716" w:rsidR="00943D21" w:rsidRPr="00D73A9A" w:rsidRDefault="00943D21" w:rsidP="00321D13">
      <w:pPr>
        <w:pStyle w:val="4RARMP"/>
        <w:rPr>
          <w:shd w:val="clear" w:color="auto" w:fill="FFFFFF"/>
        </w:rPr>
      </w:pPr>
      <w:bookmarkStart w:id="163" w:name="_Ref216339978"/>
      <w:r w:rsidRPr="00D73A9A">
        <w:rPr>
          <w:shd w:val="clear" w:color="auto" w:fill="FFFFFF"/>
        </w:rPr>
        <w:t>Host range and transmissibility</w:t>
      </w:r>
      <w:bookmarkEnd w:id="163"/>
    </w:p>
    <w:p w14:paraId="63A94BF9" w14:textId="70E2083A" w:rsidR="00EB20ED" w:rsidRPr="0025285F" w:rsidRDefault="00B92B65" w:rsidP="0025285F">
      <w:pPr>
        <w:pStyle w:val="RARMPnumberedparagraphs"/>
        <w:rPr>
          <w:rFonts w:cs="Calibri"/>
          <w:szCs w:val="22"/>
        </w:rPr>
      </w:pPr>
      <w:r w:rsidRPr="00B92B65">
        <w:rPr>
          <w:szCs w:val="22"/>
        </w:rPr>
        <w:t xml:space="preserve">Humans are the natural host for </w:t>
      </w:r>
      <w:proofErr w:type="spellStart"/>
      <w:r w:rsidRPr="00B92B65">
        <w:rPr>
          <w:szCs w:val="22"/>
        </w:rPr>
        <w:t>HAdVs</w:t>
      </w:r>
      <w:proofErr w:type="spellEnd"/>
      <w:r w:rsidRPr="00B92B65">
        <w:rPr>
          <w:szCs w:val="22"/>
        </w:rPr>
        <w:t xml:space="preserve"> and most do not infect animals via natural routes </w:t>
      </w:r>
      <w:r w:rsidRPr="00B92B65">
        <w:rPr>
          <w:szCs w:val="22"/>
        </w:rPr>
        <w:fldChar w:fldCharType="begin"/>
      </w:r>
      <w:r w:rsidRPr="00B92B65">
        <w:rPr>
          <w:szCs w:val="22"/>
        </w:rPr>
        <w:instrText xml:space="preserve"> ADDIN EN.CITE &lt;EndNote&gt;&lt;Cite&gt;&lt;Author&gt;Liaci&lt;/Author&gt;&lt;Year&gt;2025&lt;/Year&gt;&lt;RecNum&gt;97&lt;/RecNum&gt;&lt;DisplayText&gt;(Liaci et al., 2025)&lt;/DisplayText&gt;&lt;record&gt;&lt;rec-number&gt;97&lt;/rec-number&gt;&lt;foreign-keys&gt;&lt;key app="EN" db-id="pzsxp9tvnxtsa6ead0bp00pydtwzsetz0vv2" timestamp="1761285020"&gt;97&lt;/key&gt;&lt;/foreign-keys&gt;&lt;ref-type name="Journal Article"&gt;17&lt;/ref-type&gt;&lt;contributors&gt;&lt;authors&gt;&lt;author&gt;Liaci, A. Manuel&lt;/author&gt;&lt;author&gt;Chandra, Naresh&lt;/author&gt;&lt;author&gt;Vodnala, Sharvani Munender&lt;/author&gt;&lt;author&gt;Strebl, Michael&lt;/author&gt;&lt;author&gt;Kumar, Pravin&lt;/author&gt;&lt;author&gt;Pfenning, Vanessa&lt;/author&gt;&lt;author&gt;Bachmann, Paul&lt;/author&gt;&lt;author&gt;Caraballo, Rémi&lt;/author&gt;&lt;author&gt;Chai, Wengang&lt;/author&gt;&lt;author&gt;Johansson, Emil&lt;/author&gt;&lt;author&gt;Elofsson, Mikael&lt;/author&gt;&lt;author&gt;Feizi, Ten&lt;/author&gt;&lt;author&gt;Liu, Yan&lt;/author&gt;&lt;author&gt;Stehle, Thilo&lt;/author&gt;&lt;author&gt;Arnberg, Niklas&lt;/author&gt;&lt;/authors&gt;&lt;/contributors&gt;&lt;titles&gt;&lt;title&gt;Extended receptor repertoire of an adenovirus associated with human obesity&lt;/title&gt;&lt;secondary-title&gt;PLOS Pathogens&lt;/secondary-title&gt;&lt;/titles&gt;&lt;periodical&gt;&lt;full-title&gt;PLOS Pathogens&lt;/full-title&gt;&lt;/periodical&gt;&lt;pages&gt;e1012892&lt;/pages&gt;&lt;volume&gt;21&lt;/volume&gt;&lt;number&gt;1&lt;/number&gt;&lt;dates&gt;&lt;year&gt;2025&lt;/year&gt;&lt;/dates&gt;&lt;publisher&gt;Public Library of Science&lt;/publisher&gt;&lt;urls&gt;&lt;related-urls&gt;&lt;url&gt;https://doi.org/10.1371/journal.ppat.1012892&lt;/url&gt;&lt;/related-urls&gt;&lt;/urls&gt;&lt;electronic-resource-num&gt;10.1371/journal.ppat.1012892&lt;/electronic-resource-num&gt;&lt;/record&gt;&lt;/Cite&gt;&lt;/EndNote&gt;</w:instrText>
      </w:r>
      <w:r w:rsidRPr="00B92B65">
        <w:rPr>
          <w:szCs w:val="22"/>
        </w:rPr>
        <w:fldChar w:fldCharType="separate"/>
      </w:r>
      <w:r w:rsidRPr="00B92B65">
        <w:rPr>
          <w:szCs w:val="22"/>
        </w:rPr>
        <w:t>(</w:t>
      </w:r>
      <w:hyperlink w:anchor="_ENREF_52" w:tooltip="Liaci, 2025 #97" w:history="1">
        <w:r w:rsidR="0027195B" w:rsidRPr="002219B9">
          <w:rPr>
            <w:szCs w:val="22"/>
          </w:rPr>
          <w:t>Liaci et al., 2025</w:t>
        </w:r>
      </w:hyperlink>
      <w:r w:rsidRPr="00B92B65">
        <w:rPr>
          <w:szCs w:val="22"/>
        </w:rPr>
        <w:t>)</w:t>
      </w:r>
      <w:r w:rsidRPr="00B92B65">
        <w:rPr>
          <w:szCs w:val="22"/>
        </w:rPr>
        <w:fldChar w:fldCharType="end"/>
      </w:r>
      <w:r w:rsidRPr="00B92B65">
        <w:rPr>
          <w:szCs w:val="22"/>
        </w:rPr>
        <w:t xml:space="preserve">. Although there is evidence to suggest that </w:t>
      </w:r>
      <w:proofErr w:type="spellStart"/>
      <w:r w:rsidRPr="00B92B65">
        <w:rPr>
          <w:szCs w:val="22"/>
        </w:rPr>
        <w:t>AdVs</w:t>
      </w:r>
      <w:proofErr w:type="spellEnd"/>
      <w:r w:rsidRPr="00B92B65">
        <w:rPr>
          <w:szCs w:val="22"/>
        </w:rPr>
        <w:t xml:space="preserve"> have crossed the host species barrier especially between human and non-human primates, this is considered a rare event </w:t>
      </w:r>
      <w:r w:rsidRPr="00B92B65">
        <w:rPr>
          <w:szCs w:val="22"/>
        </w:rPr>
        <w:fldChar w:fldCharType="begin">
          <w:fldData xml:space="preserve">PEVuZE5vdGU+PENpdGU+PEF1dGhvcj5Ib3BwZTwvQXV0aG9yPjxZZWFyPjIwMTU8L1llYXI+PFJl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</w:fldData>
        </w:fldChar>
      </w:r>
      <w:r w:rsidR="002219B9">
        <w:rPr>
          <w:szCs w:val="22"/>
        </w:rPr>
        <w:instrText xml:space="preserve"> ADDIN EN.CITE </w:instrText>
      </w:r>
      <w:r w:rsidR="002219B9">
        <w:rPr>
          <w:szCs w:val="22"/>
        </w:rPr>
        <w:fldChar w:fldCharType="begin">
          <w:fldData xml:space="preserve">PEVuZE5vdGU+PENpdGU+PEF1dGhvcj5Ib3BwZTwvQXV0aG9yPjxZZWFyPjIwMTU8L1llYXI+PFJl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</w:fldData>
        </w:fldChar>
      </w:r>
      <w:r w:rsidR="002219B9">
        <w:rPr>
          <w:szCs w:val="22"/>
        </w:rPr>
        <w:instrText xml:space="preserve"> ADDIN EN.CITE.DATA </w:instrText>
      </w:r>
      <w:r w:rsidR="002219B9">
        <w:rPr>
          <w:szCs w:val="22"/>
        </w:rPr>
      </w:r>
      <w:r w:rsidR="002219B9">
        <w:rPr>
          <w:szCs w:val="22"/>
        </w:rPr>
        <w:fldChar w:fldCharType="end"/>
      </w:r>
      <w:r w:rsidRPr="00B92B65">
        <w:rPr>
          <w:szCs w:val="22"/>
        </w:rPr>
      </w:r>
      <w:r w:rsidRPr="00B92B65">
        <w:rPr>
          <w:szCs w:val="22"/>
        </w:rPr>
        <w:fldChar w:fldCharType="separate"/>
      </w:r>
      <w:r w:rsidR="002219B9">
        <w:rPr>
          <w:noProof/>
          <w:szCs w:val="22"/>
        </w:rPr>
        <w:t>(</w:t>
      </w:r>
      <w:hyperlink w:anchor="_ENREF_13" w:tooltip="Borkenhagen, 2019 #123" w:history="1">
        <w:r w:rsidR="0027195B">
          <w:rPr>
            <w:noProof/>
            <w:szCs w:val="22"/>
          </w:rPr>
          <w:t>Borkenhagen et al., 2019</w:t>
        </w:r>
      </w:hyperlink>
      <w:r w:rsidR="002219B9">
        <w:rPr>
          <w:noProof/>
          <w:szCs w:val="22"/>
        </w:rPr>
        <w:t xml:space="preserve">; </w:t>
      </w:r>
      <w:hyperlink w:anchor="_ENREF_38" w:tooltip="Hoppe, 2015 #84" w:history="1">
        <w:r w:rsidR="0027195B">
          <w:rPr>
            <w:noProof/>
            <w:szCs w:val="22"/>
          </w:rPr>
          <w:t>Hoppe et al., 2015b</w:t>
        </w:r>
      </w:hyperlink>
      <w:r w:rsidR="002219B9">
        <w:rPr>
          <w:noProof/>
          <w:szCs w:val="22"/>
        </w:rPr>
        <w:t>)</w:t>
      </w:r>
      <w:r w:rsidRPr="00B92B65">
        <w:rPr>
          <w:szCs w:val="22"/>
        </w:rPr>
        <w:fldChar w:fldCharType="end"/>
      </w:r>
      <w:r w:rsidRPr="00B92B65">
        <w:rPr>
          <w:szCs w:val="22"/>
        </w:rPr>
        <w:t xml:space="preserve">. Experimentally, mice, cotton rats, hamsters, guinea pigs, tree shrews and rabbits can be infected with </w:t>
      </w:r>
      <w:proofErr w:type="spellStart"/>
      <w:r w:rsidRPr="00B92B65">
        <w:rPr>
          <w:szCs w:val="22"/>
        </w:rPr>
        <w:t>HAdVs</w:t>
      </w:r>
      <w:proofErr w:type="spellEnd"/>
      <w:r w:rsidRPr="00B92B65">
        <w:rPr>
          <w:szCs w:val="22"/>
        </w:rPr>
        <w:t xml:space="preserve"> </w:t>
      </w:r>
      <w:r w:rsidRPr="00B92B65">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Pr="00B92B65">
        <w:rPr>
          <w:szCs w:val="22"/>
        </w:rPr>
        <w:instrText xml:space="preserve"> ADDIN EN.CITE </w:instrText>
      </w:r>
      <w:r w:rsidRPr="00B92B65">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Pr="00B92B65">
        <w:rPr>
          <w:szCs w:val="22"/>
        </w:rPr>
        <w:instrText xml:space="preserve"> ADDIN EN.CITE.DATA </w:instrText>
      </w:r>
      <w:r w:rsidRPr="00B92B65">
        <w:rPr>
          <w:szCs w:val="22"/>
        </w:rPr>
      </w:r>
      <w:r w:rsidRPr="00B92B65">
        <w:rPr>
          <w:szCs w:val="22"/>
        </w:rPr>
        <w:fldChar w:fldCharType="end"/>
      </w:r>
      <w:r w:rsidRPr="00B92B65">
        <w:rPr>
          <w:szCs w:val="22"/>
        </w:rPr>
      </w:r>
      <w:r w:rsidRPr="00B92B65">
        <w:rPr>
          <w:szCs w:val="22"/>
        </w:rPr>
        <w:fldChar w:fldCharType="separate"/>
      </w:r>
      <w:r w:rsidRPr="00B92B65">
        <w:rPr>
          <w:szCs w:val="22"/>
        </w:rPr>
        <w:t>(</w:t>
      </w:r>
      <w:hyperlink w:anchor="_ENREF_10" w:tooltip="Bertzbach, 2021 #120" w:history="1">
        <w:r w:rsidR="0027195B" w:rsidRPr="002219B9">
          <w:rPr>
            <w:szCs w:val="22"/>
          </w:rPr>
          <w:t>Bertzbach et al., 2021</w:t>
        </w:r>
      </w:hyperlink>
      <w:r w:rsidRPr="00B92B65">
        <w:rPr>
          <w:szCs w:val="22"/>
        </w:rPr>
        <w:t xml:space="preserve">; </w:t>
      </w:r>
      <w:hyperlink w:anchor="_ENREF_43" w:tooltip="Ismail, 2019 #95" w:history="1">
        <w:r w:rsidR="0027195B" w:rsidRPr="002219B9">
          <w:rPr>
            <w:szCs w:val="22"/>
          </w:rPr>
          <w:t>Ismail et al., 2019</w:t>
        </w:r>
      </w:hyperlink>
      <w:r w:rsidRPr="00B92B65">
        <w:rPr>
          <w:szCs w:val="22"/>
        </w:rPr>
        <w:t>)</w:t>
      </w:r>
      <w:r w:rsidRPr="00B92B65">
        <w:rPr>
          <w:szCs w:val="22"/>
        </w:rPr>
        <w:fldChar w:fldCharType="end"/>
      </w:r>
      <w:r w:rsidRPr="00B92B65">
        <w:rPr>
          <w:szCs w:val="22"/>
        </w:rPr>
        <w:t xml:space="preserve">. Whereas some animals such as hamsters can be permissive to </w:t>
      </w:r>
      <w:proofErr w:type="spellStart"/>
      <w:r w:rsidRPr="00B92B65">
        <w:rPr>
          <w:szCs w:val="22"/>
        </w:rPr>
        <w:t>HAdV</w:t>
      </w:r>
      <w:proofErr w:type="spellEnd"/>
      <w:r w:rsidRPr="00B92B65">
        <w:rPr>
          <w:szCs w:val="22"/>
        </w:rPr>
        <w:t xml:space="preserve"> replication in experimental conditions </w:t>
      </w:r>
      <w:r w:rsidRPr="00B92B65">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Pr="00B92B65">
        <w:rPr>
          <w:szCs w:val="22"/>
        </w:rPr>
        <w:instrText xml:space="preserve"> ADDIN EN.CITE </w:instrText>
      </w:r>
      <w:r w:rsidRPr="00B92B65">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Pr="00B92B65">
        <w:rPr>
          <w:szCs w:val="22"/>
        </w:rPr>
        <w:instrText xml:space="preserve"> ADDIN EN.CITE.DATA </w:instrText>
      </w:r>
      <w:r w:rsidRPr="00B92B65">
        <w:rPr>
          <w:szCs w:val="22"/>
        </w:rPr>
      </w:r>
      <w:r w:rsidRPr="00B92B65">
        <w:rPr>
          <w:szCs w:val="22"/>
        </w:rPr>
        <w:fldChar w:fldCharType="end"/>
      </w:r>
      <w:r w:rsidRPr="00B92B65">
        <w:rPr>
          <w:szCs w:val="22"/>
        </w:rPr>
      </w:r>
      <w:r w:rsidRPr="00B92B65">
        <w:rPr>
          <w:szCs w:val="22"/>
        </w:rPr>
        <w:fldChar w:fldCharType="separate"/>
      </w:r>
      <w:r w:rsidRPr="00B92B65">
        <w:rPr>
          <w:szCs w:val="22"/>
        </w:rPr>
        <w:t>(</w:t>
      </w:r>
      <w:hyperlink w:anchor="_ENREF_93" w:tooltip="Tollefson, 2017 #122" w:history="1">
        <w:r w:rsidR="0027195B" w:rsidRPr="002219B9">
          <w:rPr>
            <w:szCs w:val="22"/>
          </w:rPr>
          <w:t>Tollefson et al., 2017</w:t>
        </w:r>
      </w:hyperlink>
      <w:r w:rsidRPr="00B92B65">
        <w:rPr>
          <w:szCs w:val="22"/>
        </w:rPr>
        <w:t>)</w:t>
      </w:r>
      <w:r w:rsidRPr="00B92B65">
        <w:rPr>
          <w:szCs w:val="22"/>
        </w:rPr>
        <w:fldChar w:fldCharType="end"/>
      </w:r>
      <w:r w:rsidRPr="00B92B65">
        <w:rPr>
          <w:szCs w:val="22"/>
        </w:rPr>
        <w:t xml:space="preserve">, in most animals, infections with </w:t>
      </w:r>
      <w:proofErr w:type="spellStart"/>
      <w:r w:rsidRPr="00B92B65">
        <w:rPr>
          <w:szCs w:val="22"/>
        </w:rPr>
        <w:t>HAdV</w:t>
      </w:r>
      <w:proofErr w:type="spellEnd"/>
      <w:r w:rsidRPr="00B92B65">
        <w:rPr>
          <w:szCs w:val="22"/>
        </w:rPr>
        <w:t xml:space="preserve"> are abortive even when they induce tissue pathology </w:t>
      </w:r>
      <w:r w:rsidRPr="00B92B65">
        <w:rPr>
          <w:szCs w:val="22"/>
        </w:rPr>
        <w:fldChar w:fldCharType="begin"/>
      </w:r>
      <w:r w:rsidRPr="00B92B65">
        <w:rPr>
          <w:szCs w:val="22"/>
        </w:rPr>
        <w:instrText xml:space="preserve"> ADDIN EN.CITE &lt;EndNote&gt;&lt;Cite&gt;&lt;Author&gt;Jogler&lt;/Author&gt;&lt;Year&gt;2006&lt;/Year&gt;&lt;RecNum&gt;121&lt;/RecNum&gt;&lt;DisplayText&gt;(Jogler et al., 2006)&lt;/DisplayText&gt;&lt;record&gt;&lt;rec-number&gt;121&lt;/rec-number&gt;&lt;foreign-keys&gt;&lt;key app="EN" db-id="pzsxp9tvnxtsa6ead0bp00pydtwzsetz0vv2" timestamp="1761801299"&gt;121&lt;/key&gt;&lt;/foreign-keys&gt;&lt;ref-type name="Journal Article"&gt;17&lt;/ref-type&gt;&lt;contributors&gt;&lt;authors&gt;&lt;author&gt;Christian Jogler&lt;/author&gt;&lt;author&gt;Dennis Hoffmann&lt;/author&gt;&lt;author&gt;Dirk Theegarten&lt;/author&gt;&lt;author&gt;Thomas Grunwald&lt;/author&gt;&lt;author&gt;Klaus Überla&lt;/author&gt;&lt;author&gt;Oliver Wildner&lt;/author&gt;&lt;/authors&gt;&lt;/contributors&gt;&lt;titles&gt;&lt;title&gt;Replication Properties of Human Adenovirus In Vivo and in Cultures of Primary Cells from Different Animal Species&lt;/title&gt;&lt;secondary-title&gt;Journal of Virology&lt;/secondary-title&gt;&lt;/titles&gt;&lt;periodical&gt;&lt;full-title&gt;Journal of Virology&lt;/full-title&gt;&lt;/periodical&gt;&lt;pages&gt;3549-3558&lt;/pages&gt;&lt;volume&gt;80&lt;/volume&gt;&lt;number&gt;7&lt;/number&gt;&lt;dates&gt;&lt;year&gt;2006&lt;/year&gt;&lt;/dates&gt;&lt;urls&gt;&lt;related-urls&gt;&lt;url&gt;https://journals.asm.org/doi/abs/10.1128/jvi.80.7.3549-3558.2006&lt;/url&gt;&lt;/related-urls&gt;&lt;/urls&gt;&lt;electronic-resource-num&gt;doi:10.1128/jvi.80.7.3549-3558.2006&lt;/electronic-resource-num&gt;&lt;/record&gt;&lt;/Cite&gt;&lt;/EndNote&gt;</w:instrText>
      </w:r>
      <w:r w:rsidRPr="00B92B65">
        <w:rPr>
          <w:szCs w:val="22"/>
        </w:rPr>
        <w:fldChar w:fldCharType="separate"/>
      </w:r>
      <w:r w:rsidRPr="00B92B65">
        <w:rPr>
          <w:szCs w:val="22"/>
        </w:rPr>
        <w:t>(</w:t>
      </w:r>
      <w:hyperlink w:anchor="_ENREF_44" w:tooltip="Jogler, 2006 #121" w:history="1">
        <w:r w:rsidR="0027195B" w:rsidRPr="002219B9">
          <w:rPr>
            <w:szCs w:val="22"/>
          </w:rPr>
          <w:t>Jogler et al., 2006</w:t>
        </w:r>
      </w:hyperlink>
      <w:r w:rsidRPr="00B92B65">
        <w:rPr>
          <w:szCs w:val="22"/>
        </w:rPr>
        <w:t>)</w:t>
      </w:r>
      <w:r w:rsidRPr="00B92B65">
        <w:rPr>
          <w:szCs w:val="22"/>
        </w:rPr>
        <w:fldChar w:fldCharType="end"/>
      </w:r>
      <w:r w:rsidRPr="00B92B65">
        <w:rPr>
          <w:szCs w:val="22"/>
        </w:rPr>
        <w:t xml:space="preserve">. HAdV-11p was shown to undergo abortive infection in canine (MDCK), hamster (CHO) and mouse (McCoy and C127) cell lines </w:t>
      </w:r>
      <w:r w:rsidRPr="00B92B65">
        <w:rPr>
          <w:szCs w:val="22"/>
        </w:rPr>
        <w:fldChar w:fldCharType="begin"/>
      </w:r>
      <w:r w:rsidRPr="00B92B65">
        <w:rPr>
          <w:szCs w:val="22"/>
        </w:rPr>
        <w:instrText xml:space="preserve"> ADDIN EN.CITE &lt;EndNote&gt;&lt;Cite&gt;&lt;Author&gt;Gokumakulapalle&lt;/Author&gt;&lt;Year&gt;2021&lt;/Year&gt;&lt;RecNum&gt;118&lt;/RecNum&gt;&lt;DisplayText&gt;(Gokumakulapalle et al., 2021)&lt;/DisplayText&gt;&lt;record&gt;&lt;rec-number&gt;118&lt;/rec-number&gt;&lt;foreign-keys&gt;&lt;key app="EN" db-id="pzsxp9tvnxtsa6ead0bp00pydtwzsetz0vv2" timestamp="1761798655"&gt;118&lt;/key&gt;&lt;/foreign-keys&gt;&lt;ref-type name="Journal Article"&gt;17&lt;/ref-type&gt;&lt;contributors&gt;&lt;authors&gt;&lt;author&gt;Gokumakulapalle, M.&lt;/author&gt;&lt;author&gt;Wang, L.&lt;/author&gt;&lt;author&gt;Mei, Y. F.&lt;/author&gt;&lt;/authors&gt;&lt;/contributors&gt;&lt;auth-address&gt;Department of Clinical Microbiology and Virology, Umeå University, Umeå, Sweden.&lt;/auth-address&gt;&lt;titles&gt;&lt;title&gt;Susceptibility of Dog, Hamster, and Mouse Cells to the Replication-Competent Adenovirus 11p E1/E3 Green Fluorescence Protein Vector Has Implications for the Selection of Animal Vaccine Models&lt;/title&gt;&lt;secondary-title&gt;Front Microbiol&lt;/secondary-title&gt;&lt;/titles&gt;&lt;periodical&gt;&lt;full-title&gt;Front Microbiol&lt;/full-title&gt;&lt;/periodical&gt;&lt;pages&gt;698999&lt;/pages&gt;&lt;volume&gt;12&lt;/volume&gt;&lt;edition&gt;20211027&lt;/edition&gt;&lt;keywords&gt;&lt;keyword&gt;DNA replication&lt;/keyword&gt;&lt;keyword&gt;E1/E3 vector&lt;/keyword&gt;&lt;keyword&gt;GFP expression&lt;/keyword&gt;&lt;keyword&gt;QPCR assay&lt;/keyword&gt;&lt;keyword&gt;RCAd11pGFP&lt;/keyword&gt;&lt;keyword&gt;animal cells&lt;/keyword&gt;&lt;keyword&gt;cytotoxicity&lt;/keyword&gt;&lt;keyword&gt;susceptibility&lt;/keyword&gt;&lt;/keywords&gt;&lt;dates&gt;&lt;year&gt;2021&lt;/year&gt;&lt;/dates&gt;&lt;isbn&gt;1664-302X (Print)&amp;#xD;1664-302x&lt;/isbn&gt;&lt;accession-num&gt;34777270&lt;/accession-num&gt;&lt;urls&gt;&lt;/urls&gt;&lt;custom1&gt;The authors declare that the research was conducted in the absence of any commercial or financial relationships that could be construed as a potential conflict of interest.&lt;/custom1&gt;&lt;custom2&gt;PMC8578929&lt;/custom2&gt;&lt;electronic-resource-num&gt;10.3389/fmicb.2021.698999&lt;/electronic-resource-num&gt;&lt;remote-database-provider&gt;NLM&lt;/remote-database-provider&gt;&lt;language&gt;eng&lt;/language&gt;&lt;/record&gt;&lt;/Cite&gt;&lt;/EndNote&gt;</w:instrText>
      </w:r>
      <w:r w:rsidRPr="00B92B65">
        <w:rPr>
          <w:szCs w:val="22"/>
        </w:rPr>
        <w:fldChar w:fldCharType="separate"/>
      </w:r>
      <w:r w:rsidRPr="00B92B65">
        <w:rPr>
          <w:szCs w:val="22"/>
        </w:rPr>
        <w:t>(</w:t>
      </w:r>
      <w:hyperlink w:anchor="_ENREF_31" w:tooltip="Gokumakulapalle, 2021 #118" w:history="1">
        <w:r w:rsidR="0027195B" w:rsidRPr="002219B9">
          <w:rPr>
            <w:szCs w:val="22"/>
          </w:rPr>
          <w:t>Gokumakulapalle et al., 2021</w:t>
        </w:r>
      </w:hyperlink>
      <w:r w:rsidRPr="00B92B65">
        <w:rPr>
          <w:szCs w:val="22"/>
        </w:rPr>
        <w:t>)</w:t>
      </w:r>
      <w:r w:rsidRPr="00B92B65">
        <w:rPr>
          <w:szCs w:val="22"/>
        </w:rPr>
        <w:fldChar w:fldCharType="end"/>
      </w:r>
      <w:r w:rsidRPr="00B92B65">
        <w:rPr>
          <w:szCs w:val="22"/>
        </w:rPr>
        <w:t xml:space="preserve"> but could productively infect Vero cells (kidney epithelial) from African green monkey </w:t>
      </w:r>
      <w:r w:rsidRPr="00B92B65">
        <w:rPr>
          <w:szCs w:val="22"/>
        </w:rPr>
        <w:fldChar w:fldCharType="begin"/>
      </w:r>
      <w:r w:rsidRPr="00B92B65">
        <w:rPr>
          <w:szCs w:val="22"/>
        </w:rPr>
        <w:instrText xml:space="preserve"> ADDIN EN.CITE &lt;EndNote&gt;&lt;Cite&gt;&lt;Author&gt;Gokumakulapalle&lt;/Author&gt;&lt;Year&gt;2016&lt;/Year&gt;&lt;RecNum&gt;119&lt;/RecNum&gt;&lt;DisplayText&gt;(Gokumakulapalle and Mei, 2016)&lt;/DisplayText&gt;&lt;record&gt;&lt;rec-number&gt;119&lt;/rec-number&gt;&lt;foreign-keys&gt;&lt;key app="EN" db-id="pzsxp9tvnxtsa6ead0bp00pydtwzsetz0vv2" timestamp="1761799415"&gt;119&lt;/key&gt;&lt;/foreign-keys&gt;&lt;ref-type name="Journal Article"&gt;17&lt;/ref-type&gt;&lt;contributors&gt;&lt;authors&gt;&lt;author&gt;Gokumakulapalle, Madhuri&lt;/author&gt;&lt;author&gt;Mei, Ya-Fang&lt;/author&gt;&lt;/authors&gt;&lt;/contributors&gt;&lt;titles&gt;&lt;title&gt;Replication-competent human adenovirus 11p vectors can propagate in Vero cells&lt;/title&gt;&lt;secondary-title&gt;Virology&lt;/secondary-title&gt;&lt;/titles&gt;&lt;periodical&gt;&lt;full-title&gt;Virology&lt;/full-title&gt;&lt;/periodical&gt;&lt;pages&gt;42-51&lt;/pages&gt;&lt;volume&gt;495&lt;/volume&gt;&lt;keywords&gt;&lt;keyword&gt;Propagate&lt;/keyword&gt;&lt;keyword&gt;RCAd11pGFP vectors&lt;/keyword&gt;&lt;keyword&gt;Vero cells&lt;/keyword&gt;&lt;/keywords&gt;&lt;dates&gt;&lt;year&gt;2016&lt;/year&gt;&lt;pub-dates&gt;&lt;date&gt;2016/08/01/&lt;/date&gt;&lt;/pub-dates&gt;&lt;/dates&gt;&lt;isbn&gt;0042-6822&lt;/isbn&gt;&lt;urls&gt;&lt;related-urls&gt;&lt;url&gt;https://www.sciencedirect.com/science/article/pii/S0042682216300964&lt;/url&gt;&lt;/related-urls&gt;&lt;/urls&gt;&lt;electronic-resource-num&gt;https://doi.org/10.1016/j.virol.2016.04.029&lt;/electronic-resource-num&gt;&lt;/record&gt;&lt;/Cite&gt;&lt;/EndNote&gt;</w:instrText>
      </w:r>
      <w:r w:rsidRPr="00B92B65">
        <w:rPr>
          <w:szCs w:val="22"/>
        </w:rPr>
        <w:fldChar w:fldCharType="separate"/>
      </w:r>
      <w:r w:rsidRPr="00B92B65">
        <w:rPr>
          <w:szCs w:val="22"/>
        </w:rPr>
        <w:t>(</w:t>
      </w:r>
      <w:hyperlink w:anchor="_ENREF_30" w:tooltip="Gokumakulapalle, 2016 #119" w:history="1">
        <w:r w:rsidR="0027195B" w:rsidRPr="002219B9">
          <w:rPr>
            <w:szCs w:val="22"/>
          </w:rPr>
          <w:t>Gokumakulapalle and Mei, 2016</w:t>
        </w:r>
      </w:hyperlink>
      <w:r w:rsidRPr="00B92B65">
        <w:rPr>
          <w:szCs w:val="22"/>
        </w:rPr>
        <w:t>)</w:t>
      </w:r>
      <w:r w:rsidRPr="00B92B65">
        <w:rPr>
          <w:szCs w:val="22"/>
        </w:rPr>
        <w:fldChar w:fldCharType="end"/>
      </w:r>
      <w:r w:rsidR="00C71E2B">
        <w:rPr>
          <w:szCs w:val="22"/>
        </w:rPr>
        <w:t>.</w:t>
      </w:r>
    </w:p>
    <w:p w14:paraId="7CDC13C3" w14:textId="7685CAAC" w:rsidR="00834030" w:rsidRPr="00800C63"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proofErr w:type="spellStart"/>
      <w:r w:rsidR="00C71E2B">
        <w:rPr>
          <w:rFonts w:asciiTheme="minorHAnsi" w:hAnsiTheme="minorHAnsi"/>
          <w:szCs w:val="22"/>
        </w:rPr>
        <w:t>H</w:t>
      </w:r>
      <w:r w:rsidRPr="00E52B4D">
        <w:rPr>
          <w:rFonts w:asciiTheme="minorHAnsi" w:hAnsiTheme="minorHAnsi"/>
          <w:szCs w:val="22"/>
        </w:rPr>
        <w:t>AdVs</w:t>
      </w:r>
      <w:proofErr w:type="spellEnd"/>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w:t>
      </w:r>
      <w:r w:rsidR="000B3DDF">
        <w:rPr>
          <w:rFonts w:asciiTheme="minorHAnsi" w:hAnsiTheme="minorHAnsi"/>
          <w:szCs w:val="22"/>
        </w:rPr>
        <w:t xml:space="preserve">respiratory aerosols, </w:t>
      </w:r>
      <w:r w:rsidR="00D22CD7" w:rsidRPr="00E52B4D">
        <w:rPr>
          <w:rFonts w:asciiTheme="minorHAnsi" w:hAnsiTheme="minorHAnsi"/>
          <w:szCs w:val="22"/>
        </w:rPr>
        <w:t xml:space="preserve">conjunctival </w:t>
      </w:r>
      <w:r w:rsidR="0061205C">
        <w:rPr>
          <w:rFonts w:asciiTheme="minorHAnsi" w:hAnsiTheme="minorHAnsi"/>
          <w:szCs w:val="22"/>
        </w:rPr>
        <w:t>secretions</w:t>
      </w:r>
      <w:r w:rsidRPr="00E52B4D">
        <w:rPr>
          <w:rFonts w:asciiTheme="minorHAnsi" w:hAnsiTheme="minorHAnsi"/>
          <w:szCs w:val="22"/>
        </w:rPr>
        <w:t xml:space="preserve"> </w:t>
      </w:r>
      <w:r w:rsidR="00D22CD7" w:rsidRPr="00E52B4D">
        <w:rPr>
          <w:rFonts w:asciiTheme="minorHAnsi" w:hAnsiTheme="minorHAnsi"/>
          <w:szCs w:val="22"/>
        </w:rPr>
        <w:t xml:space="preserve">or </w:t>
      </w:r>
      <w:r w:rsidR="00F725E8">
        <w:rPr>
          <w:rFonts w:asciiTheme="minorHAnsi" w:hAnsiTheme="minorHAnsi"/>
          <w:szCs w:val="22"/>
        </w:rPr>
        <w:t xml:space="preserve">via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OyBMZWlrYXMgZXQgYWwuLCAyMDIzYSk8L0Rpc3BsYXlUZXh0PjxyZWNvcmQ+PHJlYy1udW1iZXI+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=
</w:fldData>
        </w:fldChar>
      </w:r>
      <w:r w:rsidR="00AE6FB5">
        <w:rPr>
          <w:rFonts w:asciiTheme="minorHAnsi" w:hAnsiTheme="minorHAnsi"/>
          <w:szCs w:val="22"/>
        </w:rPr>
        <w:instrText xml:space="preserve"> ADDIN EN.CITE </w:instrText>
      </w:r>
      <w:r w:rsidR="00AE6FB5">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OyBMZWlrYXMgZXQgYWwuLCAyMDIzYSk8L0Rpc3BsYXlUZXh0PjxyZWNvcmQ+PHJlYy1udW1iZXI+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=
</w:fldData>
        </w:fldChar>
      </w:r>
      <w:r w:rsidR="00AE6FB5">
        <w:rPr>
          <w:rFonts w:asciiTheme="minorHAnsi" w:hAnsiTheme="minorHAnsi"/>
          <w:szCs w:val="22"/>
        </w:rPr>
        <w:instrText xml:space="preserve"> ADDIN EN.CITE.DATA </w:instrText>
      </w:r>
      <w:r w:rsidR="00AE6FB5">
        <w:rPr>
          <w:rFonts w:asciiTheme="minorHAnsi" w:hAnsiTheme="minorHAnsi"/>
          <w:szCs w:val="22"/>
        </w:rPr>
      </w:r>
      <w:r w:rsidR="00AE6FB5">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AE6FB5">
        <w:rPr>
          <w:rFonts w:asciiTheme="minorHAnsi" w:hAnsiTheme="minorHAnsi"/>
          <w:noProof/>
          <w:szCs w:val="22"/>
        </w:rPr>
        <w:t>(</w:t>
      </w:r>
      <w:hyperlink w:anchor="_ENREF_6" w:tooltip="Allard and Vantarakis, 2017 #25" w:history="1">
        <w:r w:rsidR="0027195B">
          <w:rPr>
            <w:rFonts w:asciiTheme="minorHAnsi" w:hAnsiTheme="minorHAnsi"/>
            <w:noProof/>
            <w:szCs w:val="22"/>
          </w:rPr>
          <w:t>Allard and Vantarakis, 2017</w:t>
        </w:r>
      </w:hyperlink>
      <w:r w:rsidR="00AE6FB5">
        <w:rPr>
          <w:rFonts w:asciiTheme="minorHAnsi" w:hAnsiTheme="minorHAnsi"/>
          <w:noProof/>
          <w:szCs w:val="22"/>
        </w:rPr>
        <w:t xml:space="preserve">; </w:t>
      </w:r>
      <w:hyperlink w:anchor="_ENREF_16" w:tooltip="CDC, 2019 #101" w:history="1">
        <w:r w:rsidR="0027195B">
          <w:rPr>
            <w:rFonts w:asciiTheme="minorHAnsi" w:hAnsiTheme="minorHAnsi"/>
            <w:noProof/>
            <w:szCs w:val="22"/>
          </w:rPr>
          <w:t>CDC, 2019b</w:t>
        </w:r>
      </w:hyperlink>
      <w:r w:rsidR="00AE6FB5">
        <w:rPr>
          <w:rFonts w:asciiTheme="minorHAnsi" w:hAnsiTheme="minorHAnsi"/>
          <w:noProof/>
          <w:szCs w:val="22"/>
        </w:rPr>
        <w:t xml:space="preserve">; </w:t>
      </w:r>
      <w:hyperlink w:anchor="_ENREF_32" w:tooltip="Gray, 2018 #100" w:history="1">
        <w:r w:rsidR="0027195B">
          <w:rPr>
            <w:rFonts w:asciiTheme="minorHAnsi" w:hAnsiTheme="minorHAnsi"/>
            <w:noProof/>
            <w:szCs w:val="22"/>
          </w:rPr>
          <w:t>Gray and Erdman, 2018</w:t>
        </w:r>
      </w:hyperlink>
      <w:r w:rsidR="00AE6FB5">
        <w:rPr>
          <w:rFonts w:asciiTheme="minorHAnsi" w:hAnsiTheme="minorHAnsi"/>
          <w:noProof/>
          <w:szCs w:val="22"/>
        </w:rPr>
        <w:t xml:space="preserve">; </w:t>
      </w:r>
      <w:hyperlink w:anchor="_ENREF_45" w:tooltip="Khanal, 2018 #99" w:history="1">
        <w:r w:rsidR="0027195B">
          <w:rPr>
            <w:rFonts w:asciiTheme="minorHAnsi" w:hAnsiTheme="minorHAnsi"/>
            <w:noProof/>
            <w:szCs w:val="22"/>
          </w:rPr>
          <w:t>Khanal et al., 2018</w:t>
        </w:r>
      </w:hyperlink>
      <w:r w:rsidR="00AE6FB5">
        <w:rPr>
          <w:rFonts w:asciiTheme="minorHAnsi" w:hAnsiTheme="minorHAnsi"/>
          <w:noProof/>
          <w:szCs w:val="22"/>
        </w:rPr>
        <w:t xml:space="preserve">; </w:t>
      </w:r>
      <w:hyperlink w:anchor="_ENREF_50" w:tooltip="Leikas, 2023 #163" w:history="1">
        <w:r w:rsidR="0027195B">
          <w:rPr>
            <w:rFonts w:asciiTheme="minorHAnsi" w:hAnsiTheme="minorHAnsi"/>
            <w:noProof/>
            <w:szCs w:val="22"/>
          </w:rPr>
          <w:t>Leikas et al., 2023a</w:t>
        </w:r>
      </w:hyperlink>
      <w:r w:rsidR="00AE6FB5">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245BC5">
        <w:rPr>
          <w:rFonts w:asciiTheme="minorHAnsi" w:hAnsi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6" w:tooltip="Allard and Vantarakis, 2017 #25" w:history="1">
        <w:r w:rsidR="0027195B">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r w:rsidR="00901505" w:rsidRPr="00800C63">
        <w:rPr>
          <w:rFonts w:asciiTheme="minorHAnsi" w:hAnsiTheme="minorHAnsi"/>
          <w:szCs w:val="22"/>
        </w:rPr>
        <w:t>T</w:t>
      </w:r>
      <w:r w:rsidR="0094001D" w:rsidRPr="00800C63">
        <w:rPr>
          <w:rFonts w:asciiTheme="minorHAnsi" w:hAnsiTheme="minorHAnsi"/>
          <w:szCs w:val="22"/>
        </w:rPr>
        <w:t xml:space="preserve">he infectious dose for </w:t>
      </w:r>
      <w:proofErr w:type="spellStart"/>
      <w:r w:rsidR="0094001D" w:rsidRPr="00800C63">
        <w:rPr>
          <w:rFonts w:asciiTheme="minorHAnsi" w:hAnsiTheme="minorHAnsi"/>
          <w:szCs w:val="22"/>
        </w:rPr>
        <w:t>AdV</w:t>
      </w:r>
      <w:proofErr w:type="spellEnd"/>
      <w:r w:rsidR="0094001D" w:rsidRPr="00800C63">
        <w:rPr>
          <w:rFonts w:asciiTheme="minorHAnsi" w:hAnsiTheme="minorHAnsi"/>
          <w:szCs w:val="22"/>
        </w:rPr>
        <w:t xml:space="preserve"> serotype 7 is more than 150 viral units, administered as nasal drops, but inhalation of as few as 5 </w:t>
      </w:r>
      <w:proofErr w:type="spellStart"/>
      <w:r w:rsidR="0094001D" w:rsidRPr="00800C63">
        <w:rPr>
          <w:rFonts w:asciiTheme="minorHAnsi" w:hAnsiTheme="minorHAnsi"/>
          <w:szCs w:val="22"/>
        </w:rPr>
        <w:t>AdV</w:t>
      </w:r>
      <w:proofErr w:type="spellEnd"/>
      <w:r w:rsidR="0094001D" w:rsidRPr="00800C63">
        <w:rPr>
          <w:rFonts w:asciiTheme="minorHAnsi" w:hAnsiTheme="minorHAnsi"/>
          <w:szCs w:val="22"/>
        </w:rPr>
        <w:t xml:space="preserve"> particles can cause disease in susceptible individuals</w:t>
      </w:r>
      <w:r w:rsidR="00901505" w:rsidRPr="00800C63">
        <w:rPr>
          <w:rFonts w:asciiTheme="minorHAnsi" w:hAnsiTheme="minorHAnsi"/>
          <w:szCs w:val="22"/>
        </w:rPr>
        <w:t xml:space="preserve"> </w:t>
      </w:r>
      <w:r w:rsidR="000F689C" w:rsidRPr="00800C63">
        <w:rPr>
          <w:rFonts w:cs="Calibri"/>
          <w:szCs w:val="22"/>
          <w:lang w:val="en-US"/>
        </w:rPr>
        <w:fldChar w:fldCharType="begin">
          <w:fldData xml:space="preserve">PEVuZE5vdGU+PENpdGU+PEF1dGhvcj5QdWJsaWMgSGVhbHRoIEFnZW5jeSBvZiBDYW5hZGE8L0F1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</w:fldData>
        </w:fldChar>
      </w:r>
      <w:r w:rsidR="000F689C" w:rsidRPr="00800C63">
        <w:rPr>
          <w:rFonts w:cs="Calibri"/>
          <w:szCs w:val="22"/>
          <w:lang w:val="en-US"/>
        </w:rPr>
        <w:instrText xml:space="preserve"> ADDIN EN.CITE </w:instrText>
      </w:r>
      <w:r w:rsidR="000F689C" w:rsidRPr="00800C63">
        <w:rPr>
          <w:rFonts w:cs="Calibri"/>
          <w:szCs w:val="22"/>
          <w:lang w:val="en-US"/>
        </w:rPr>
        <w:fldChar w:fldCharType="begin">
          <w:fldData xml:space="preserve">PEVuZE5vdGU+PENpdGU+PEF1dGhvcj5QdWJsaWMgSGVhbHRoIEFnZW5jeSBvZiBDYW5hZGE8L0F1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</w:fldData>
        </w:fldChar>
      </w:r>
      <w:r w:rsidR="000F689C" w:rsidRPr="00800C63">
        <w:rPr>
          <w:rFonts w:cs="Calibri"/>
          <w:szCs w:val="22"/>
          <w:lang w:val="en-US"/>
        </w:rPr>
        <w:instrText xml:space="preserve"> ADDIN EN.CITE.DATA </w:instrText>
      </w:r>
      <w:r w:rsidR="000F689C" w:rsidRPr="00800C63">
        <w:rPr>
          <w:rFonts w:cs="Calibri"/>
          <w:szCs w:val="22"/>
          <w:lang w:val="en-US"/>
        </w:rPr>
      </w:r>
      <w:r w:rsidR="000F689C" w:rsidRPr="00800C63">
        <w:rPr>
          <w:rFonts w:cs="Calibri"/>
          <w:szCs w:val="22"/>
          <w:lang w:val="en-US"/>
        </w:rPr>
        <w:fldChar w:fldCharType="end"/>
      </w:r>
      <w:r w:rsidR="000F689C" w:rsidRPr="00800C63">
        <w:rPr>
          <w:rFonts w:cs="Calibri"/>
          <w:szCs w:val="22"/>
          <w:lang w:val="en-US"/>
        </w:rPr>
      </w:r>
      <w:r w:rsidR="000F689C" w:rsidRPr="00800C63">
        <w:rPr>
          <w:rFonts w:cs="Calibri"/>
          <w:szCs w:val="22"/>
          <w:lang w:val="en-US"/>
        </w:rPr>
        <w:fldChar w:fldCharType="separate"/>
      </w:r>
      <w:r w:rsidR="000F689C" w:rsidRPr="00800C63">
        <w:rPr>
          <w:rFonts w:cs="Calibri"/>
          <w:noProof/>
          <w:szCs w:val="22"/>
          <w:lang w:val="en-US"/>
        </w:rPr>
        <w:t>(</w:t>
      </w:r>
      <w:hyperlink w:anchor="_ENREF_62" w:tooltip="Musher, 2003 #2" w:history="1">
        <w:r w:rsidR="0027195B" w:rsidRPr="00800C63">
          <w:rPr>
            <w:rFonts w:cs="Calibri"/>
            <w:noProof/>
            <w:szCs w:val="22"/>
            <w:lang w:val="en-US"/>
          </w:rPr>
          <w:t>Musher, 2003</w:t>
        </w:r>
      </w:hyperlink>
      <w:r w:rsidR="000F689C" w:rsidRPr="00800C63">
        <w:rPr>
          <w:rFonts w:cs="Calibri"/>
          <w:noProof/>
          <w:szCs w:val="22"/>
          <w:lang w:val="en-US"/>
        </w:rPr>
        <w:t xml:space="preserve">; </w:t>
      </w:r>
      <w:hyperlink w:anchor="_ENREF_70" w:tooltip="Public Health Agency of Canada, 2014 #64" w:history="1">
        <w:r w:rsidR="0027195B" w:rsidRPr="00800C63">
          <w:rPr>
            <w:rFonts w:cs="Calibri"/>
            <w:noProof/>
            <w:szCs w:val="22"/>
            <w:lang w:val="en-US"/>
          </w:rPr>
          <w:t>Public Health Agency of Canada, 2014</w:t>
        </w:r>
      </w:hyperlink>
      <w:r w:rsidR="000F689C" w:rsidRPr="00800C63">
        <w:rPr>
          <w:rFonts w:cs="Calibri"/>
          <w:noProof/>
          <w:szCs w:val="22"/>
          <w:lang w:val="en-US"/>
        </w:rPr>
        <w:t>)</w:t>
      </w:r>
      <w:r w:rsidR="000F689C" w:rsidRPr="00800C63">
        <w:rPr>
          <w:rFonts w:cs="Calibri"/>
          <w:szCs w:val="22"/>
          <w:lang w:val="en-US"/>
        </w:rPr>
        <w:fldChar w:fldCharType="end"/>
      </w:r>
      <w:r w:rsidR="0094001D" w:rsidRPr="00800C63">
        <w:rPr>
          <w:rFonts w:asciiTheme="minorHAnsi" w:hAnsiTheme="minorHAnsi"/>
          <w:szCs w:val="22"/>
        </w:rPr>
        <w:t>.</w:t>
      </w:r>
    </w:p>
    <w:p w14:paraId="03B3FB9C" w14:textId="23A35BEE" w:rsidR="00E33419" w:rsidRPr="00EE412C" w:rsidRDefault="0069638E" w:rsidP="00321D13">
      <w:pPr>
        <w:pStyle w:val="4RARMP"/>
        <w:rPr>
          <w:shd w:val="clear" w:color="auto" w:fill="FFFFFF"/>
        </w:rPr>
      </w:pPr>
      <w:bookmarkStart w:id="164" w:name="_Ref68594447"/>
      <w:r>
        <w:rPr>
          <w:shd w:val="clear" w:color="auto" w:fill="FFFFFF"/>
        </w:rPr>
        <w:t>Bio-distribution and s</w:t>
      </w:r>
      <w:r w:rsidR="00E33419" w:rsidRPr="00EE412C">
        <w:rPr>
          <w:shd w:val="clear" w:color="auto" w:fill="FFFFFF"/>
        </w:rPr>
        <w:t>hedding</w:t>
      </w:r>
      <w:bookmarkEnd w:id="164"/>
      <w:r w:rsidR="00E33419" w:rsidRPr="00EE412C">
        <w:rPr>
          <w:shd w:val="clear" w:color="auto" w:fill="FFFFFF"/>
        </w:rPr>
        <w:t xml:space="preserve"> </w:t>
      </w:r>
      <w:r w:rsidR="00307A0C">
        <w:rPr>
          <w:shd w:val="clear" w:color="auto" w:fill="FFFFFF"/>
        </w:rPr>
        <w:t xml:space="preserve">  </w:t>
      </w:r>
    </w:p>
    <w:p w14:paraId="3EA57A43" w14:textId="6B5CFBFE"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proofErr w:type="spellStart"/>
      <w:r w:rsidR="00667373">
        <w:rPr>
          <w:szCs w:val="22"/>
        </w:rPr>
        <w:t>HAdV</w:t>
      </w:r>
      <w:proofErr w:type="spellEnd"/>
      <w:r w:rsidR="00667373">
        <w:rPr>
          <w:szCs w:val="22"/>
        </w:rPr>
        <w:t>-</w:t>
      </w:r>
      <w:r w:rsidR="00134BE0">
        <w:rPr>
          <w:szCs w:val="22"/>
        </w:rPr>
        <w:t>C</w:t>
      </w:r>
      <w:r w:rsidRPr="00E52B4D">
        <w:rPr>
          <w:szCs w:val="22"/>
        </w:rPr>
        <w:t xml:space="preserve"> </w:t>
      </w:r>
      <w:r w:rsidR="001955D8" w:rsidRPr="00E52B4D">
        <w:rPr>
          <w:szCs w:val="22"/>
        </w:rPr>
        <w:t xml:space="preserve">is </w:t>
      </w:r>
      <w:r w:rsidR="00134BE0">
        <w:rPr>
          <w:szCs w:val="22"/>
        </w:rPr>
        <w:t xml:space="preserve">the respiratory tract and </w:t>
      </w:r>
      <w:r w:rsidR="009729F0">
        <w:rPr>
          <w:szCs w:val="22"/>
        </w:rPr>
        <w:t xml:space="preserve">it </w:t>
      </w:r>
      <w:r w:rsidR="00134BE0">
        <w:rPr>
          <w:szCs w:val="22"/>
        </w:rPr>
        <w:t>cause</w:t>
      </w:r>
      <w:r w:rsidR="009729F0">
        <w:rPr>
          <w:szCs w:val="22"/>
        </w:rPr>
        <w:t>s</w:t>
      </w:r>
      <w:r w:rsidR="00134BE0">
        <w:rPr>
          <w:szCs w:val="22"/>
        </w:rPr>
        <w:t xml:space="preserve"> a significant proportion of acute respiratory tract infections in children</w:t>
      </w:r>
      <w:r w:rsidR="009F1628">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szCs w:val="22"/>
        </w:rPr>
        <w:instrText xml:space="preserve"> ADDIN EN.CITE </w:instrText>
      </w:r>
      <w:r w:rsidR="002219B9">
        <w:rPr>
          <w:szCs w:val="22"/>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szCs w:val="22"/>
        </w:rPr>
        <w:instrText xml:space="preserve"> ADDIN EN.CITE.DATA </w:instrText>
      </w:r>
      <w:r w:rsidR="002219B9">
        <w:rPr>
          <w:szCs w:val="22"/>
        </w:rPr>
      </w:r>
      <w:r w:rsidR="002219B9">
        <w:rPr>
          <w:szCs w:val="22"/>
        </w:rPr>
        <w:fldChar w:fldCharType="end"/>
      </w:r>
      <w:r w:rsidR="004E20C9">
        <w:rPr>
          <w:szCs w:val="22"/>
        </w:rPr>
      </w:r>
      <w:r w:rsidR="004E20C9">
        <w:rPr>
          <w:szCs w:val="22"/>
        </w:rPr>
        <w:fldChar w:fldCharType="separate"/>
      </w:r>
      <w:r w:rsidR="002219B9">
        <w:rPr>
          <w:noProof/>
          <w:szCs w:val="22"/>
        </w:rPr>
        <w:t>(</w:t>
      </w:r>
      <w:hyperlink w:anchor="_ENREF_60" w:tooltip="Mennechet, 2019 #58" w:history="1">
        <w:r w:rsidR="0027195B">
          <w:rPr>
            <w:noProof/>
            <w:szCs w:val="22"/>
          </w:rPr>
          <w:t>Mennechet et al., 2019a</w:t>
        </w:r>
      </w:hyperlink>
      <w:r w:rsidR="002219B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proofErr w:type="spellStart"/>
      <w:r w:rsidR="00345F59" w:rsidRPr="0069638E">
        <w:rPr>
          <w:szCs w:val="22"/>
        </w:rPr>
        <w:t>HAdV</w:t>
      </w:r>
      <w:proofErr w:type="spellEnd"/>
      <w:r w:rsidR="00345F59" w:rsidRPr="0069638E">
        <w:rPr>
          <w:szCs w:val="22"/>
        </w:rPr>
        <w:t xml:space="preserve"> </w:t>
      </w:r>
      <w:r w:rsidR="00834030" w:rsidRPr="0069638E">
        <w:rPr>
          <w:szCs w:val="22"/>
        </w:rPr>
        <w:t>infection, virus particles are shed via respiratory</w:t>
      </w:r>
      <w:r w:rsidR="00070D95">
        <w:rPr>
          <w:szCs w:val="22"/>
        </w:rPr>
        <w:t xml:space="preserve"> secretions</w:t>
      </w:r>
      <w:r w:rsidR="00834030" w:rsidRPr="0069638E">
        <w:rPr>
          <w:szCs w:val="22"/>
        </w:rPr>
        <w:t xml:space="preserve">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824706">
        <w:rPr>
          <w:rFonts w:eastAsiaTheme="minorHAnsi"/>
          <w:szCs w:val="22"/>
        </w:rPr>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39" w:tooltip="Huh, 2019 #102" w:history="1">
        <w:r w:rsidR="0027195B"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proofErr w:type="spellStart"/>
      <w:r w:rsidR="00DF015F" w:rsidRPr="0069638E">
        <w:rPr>
          <w:rFonts w:eastAsiaTheme="minorHAnsi"/>
          <w:szCs w:val="22"/>
        </w:rPr>
        <w:t>H</w:t>
      </w:r>
      <w:r w:rsidR="00462394" w:rsidRPr="0069638E">
        <w:rPr>
          <w:rFonts w:eastAsiaTheme="minorHAnsi"/>
          <w:szCs w:val="22"/>
        </w:rPr>
        <w:t>AdV</w:t>
      </w:r>
      <w:proofErr w:type="spellEnd"/>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6" w:tooltip="Allard and Vantarakis, 2017 #25" w:history="1">
        <w:r w:rsidR="0027195B"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55D12A82" w:rsidR="00A2318D" w:rsidRPr="00A2318D" w:rsidRDefault="001C26D7" w:rsidP="00A2318D">
      <w:pPr>
        <w:pStyle w:val="RARMPnumberedparagraphs"/>
        <w:rPr>
          <w:rFonts w:eastAsiaTheme="minorHAnsi"/>
          <w:szCs w:val="22"/>
        </w:rPr>
      </w:pPr>
      <w:proofErr w:type="spellStart"/>
      <w:r w:rsidRPr="00E52B4D">
        <w:rPr>
          <w:rFonts w:eastAsiaTheme="minorHAnsi"/>
          <w:szCs w:val="22"/>
        </w:rPr>
        <w:t>HAdV</w:t>
      </w:r>
      <w:proofErr w:type="spellEnd"/>
      <w:r w:rsidRPr="00E52B4D">
        <w:rPr>
          <w:rFonts w:eastAsiaTheme="minorHAnsi"/>
          <w:szCs w:val="22"/>
        </w:rPr>
        <w:t xml:space="preserve">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proofErr w:type="spellStart"/>
      <w:r w:rsidR="00462394">
        <w:rPr>
          <w:rFonts w:eastAsiaTheme="minorHAnsi"/>
          <w:szCs w:val="22"/>
        </w:rPr>
        <w:t>AdV</w:t>
      </w:r>
      <w:proofErr w:type="spellEnd"/>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6" w:tooltip="Allard and Vantarakis, 2017 #25" w:history="1">
        <w:r w:rsidR="0027195B">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65" w:name="_Ref61526584"/>
      <w:bookmarkEnd w:id="161"/>
      <w:bookmarkEnd w:id="162"/>
      <w:r>
        <w:rPr>
          <w:shd w:val="clear" w:color="auto" w:fill="FFFFFF"/>
        </w:rPr>
        <w:t>P</w:t>
      </w:r>
      <w:r w:rsidR="0077488B">
        <w:rPr>
          <w:shd w:val="clear" w:color="auto" w:fill="FFFFFF"/>
        </w:rPr>
        <w:t>revalence</w:t>
      </w:r>
      <w:bookmarkEnd w:id="165"/>
    </w:p>
    <w:p w14:paraId="68721BD3" w14:textId="0D273C23" w:rsidR="003C69BB" w:rsidRPr="003C69BB" w:rsidRDefault="00B2605C" w:rsidP="00DF5A57">
      <w:pPr>
        <w:pStyle w:val="RARMPnumberedparagraphs"/>
      </w:pPr>
      <w:r w:rsidRPr="00B2605C">
        <w:rPr>
          <w:rFonts w:eastAsiaTheme="minorHAnsi"/>
        </w:rPr>
        <w:t xml:space="preserve">An estimation of the seroprevalence for different </w:t>
      </w:r>
      <w:proofErr w:type="spellStart"/>
      <w:r w:rsidRPr="00B2605C">
        <w:rPr>
          <w:rFonts w:eastAsiaTheme="minorHAnsi"/>
        </w:rPr>
        <w:t>HAdV</w:t>
      </w:r>
      <w:proofErr w:type="spellEnd"/>
      <w:r w:rsidRPr="00B2605C">
        <w:rPr>
          <w:rFonts w:eastAsiaTheme="minorHAnsi"/>
        </w:rPr>
        <w:t xml:space="preserve"> has been drawn from published literature. Seroprevalence in different countries ranges from 2%-96%. The highest worldwide seroprevalence is for HAdV4, 5 and 6 belonging to groups C and E </w:t>
      </w:r>
      <w:r w:rsidRPr="00B2605C">
        <w:rPr>
          <w:rFonts w:eastAsiaTheme="minorHAnsi"/>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Pr="00B2605C">
        <w:rPr>
          <w:rFonts w:eastAsiaTheme="minorHAnsi"/>
        </w:rPr>
        <w:instrText xml:space="preserve"> ADDIN EN.CITE </w:instrText>
      </w:r>
      <w:r w:rsidRPr="00B2605C">
        <w:rPr>
          <w:rFonts w:eastAsiaTheme="minorHAnsi"/>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Pr="00B2605C">
        <w:rPr>
          <w:rFonts w:eastAsiaTheme="minorHAnsi"/>
        </w:rPr>
        <w:instrText xml:space="preserve"> ADDIN EN.CITE.DATA </w:instrText>
      </w:r>
      <w:r w:rsidRPr="00B2605C">
        <w:rPr>
          <w:rFonts w:eastAsiaTheme="minorHAnsi"/>
        </w:rPr>
      </w:r>
      <w:r w:rsidRPr="00B2605C">
        <w:rPr>
          <w:rFonts w:eastAsiaTheme="minorHAnsi"/>
        </w:rPr>
        <w:fldChar w:fldCharType="end"/>
      </w:r>
      <w:r w:rsidRPr="00B2605C">
        <w:rPr>
          <w:rFonts w:eastAsiaTheme="minorHAnsi"/>
        </w:rPr>
      </w:r>
      <w:r w:rsidRPr="00B2605C">
        <w:rPr>
          <w:rFonts w:eastAsiaTheme="minorHAnsi"/>
        </w:rPr>
        <w:fldChar w:fldCharType="separate"/>
      </w:r>
      <w:r w:rsidRPr="00B2605C">
        <w:rPr>
          <w:rFonts w:eastAsiaTheme="minorHAnsi"/>
        </w:rPr>
        <w:t>(</w:t>
      </w:r>
      <w:hyperlink w:anchor="_ENREF_36" w:tooltip="Hong, 2025 #54" w:history="1">
        <w:r w:rsidR="0027195B" w:rsidRPr="0027195B">
          <w:rPr>
            <w:rFonts w:eastAsiaTheme="minorHAnsi"/>
          </w:rPr>
          <w:t>Hong et al., 2025</w:t>
        </w:r>
      </w:hyperlink>
      <w:r w:rsidRPr="00B2605C">
        <w:rPr>
          <w:rFonts w:eastAsiaTheme="minorHAnsi"/>
        </w:rPr>
        <w:t>)</w:t>
      </w:r>
      <w:r w:rsidRPr="00B2605C">
        <w:rPr>
          <w:rFonts w:eastAsiaTheme="minorHAnsi"/>
        </w:rPr>
        <w:fldChar w:fldCharType="end"/>
      </w:r>
      <w:r>
        <w:rPr>
          <w:rFonts w:eastAsiaTheme="minorHAnsi"/>
        </w:rPr>
        <w:t xml:space="preserve">. </w:t>
      </w:r>
      <w:r w:rsidR="00E11988">
        <w:rPr>
          <w:rFonts w:eastAsiaTheme="minorHAnsi"/>
        </w:rPr>
        <w:t>An</w:t>
      </w:r>
      <w:r w:rsidR="009672AF">
        <w:rPr>
          <w:rFonts w:eastAsiaTheme="minorHAnsi"/>
        </w:rPr>
        <w:t xml:space="preserve"> estimation of </w:t>
      </w:r>
      <w:r w:rsidR="00E11988">
        <w:rPr>
          <w:rFonts w:eastAsiaTheme="minorHAnsi"/>
        </w:rPr>
        <w:t xml:space="preserve">the </w:t>
      </w:r>
      <w:proofErr w:type="spellStart"/>
      <w:r w:rsidR="00E11988">
        <w:rPr>
          <w:rFonts w:eastAsiaTheme="minorHAnsi"/>
        </w:rPr>
        <w:t>seroprevalance</w:t>
      </w:r>
      <w:proofErr w:type="spellEnd"/>
      <w:r w:rsidR="00E11988">
        <w:rPr>
          <w:rFonts w:eastAsiaTheme="minorHAnsi"/>
        </w:rPr>
        <w:t xml:space="preserve"> of </w:t>
      </w:r>
      <w:r w:rsidR="009672AF">
        <w:rPr>
          <w:rFonts w:eastAsiaTheme="minorHAnsi"/>
        </w:rPr>
        <w:t>H</w:t>
      </w:r>
      <w:r w:rsidR="009672AF" w:rsidRPr="009672AF">
        <w:rPr>
          <w:rFonts w:eastAsiaTheme="minorHAnsi"/>
        </w:rPr>
        <w:t>A</w:t>
      </w:r>
      <w:r w:rsidR="00E11988">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sidR="00E11988">
        <w:rPr>
          <w:rFonts w:eastAsiaTheme="minorHAnsi"/>
        </w:rPr>
        <w:t>in the clinic</w:t>
      </w:r>
      <w:r w:rsidR="00427B17">
        <w:rPr>
          <w:rFonts w:eastAsiaTheme="minorHAnsi"/>
        </w:rPr>
        <w:t xml:space="preserve">s or </w:t>
      </w:r>
      <w:r w:rsidR="00427B17">
        <w:rPr>
          <w:rFonts w:eastAsiaTheme="minorHAnsi"/>
        </w:rPr>
        <w:lastRenderedPageBreak/>
        <w:t>used in clinical/pre-clinical trials</w:t>
      </w:r>
      <w:r w:rsidR="0077488B">
        <w:rPr>
          <w:rFonts w:eastAsiaTheme="minorHAnsi"/>
        </w:rPr>
        <w:t>)</w:t>
      </w:r>
      <w:r w:rsidR="009672AF">
        <w:rPr>
          <w:rFonts w:eastAsiaTheme="minorHAnsi"/>
        </w:rPr>
        <w:t xml:space="preserve"> </w:t>
      </w:r>
      <w:r w:rsidR="00E11988">
        <w:rPr>
          <w:rFonts w:eastAsiaTheme="minorHAnsi"/>
        </w:rPr>
        <w:t xml:space="preserve">is shown in Figure </w:t>
      </w:r>
      <w:r w:rsidR="00F725E8">
        <w:rPr>
          <w:rFonts w:eastAsiaTheme="minorHAnsi"/>
        </w:rPr>
        <w:t xml:space="preserve">5, </w:t>
      </w:r>
      <w:r w:rsidR="009672AF">
        <w:rPr>
          <w:rFonts w:eastAsiaTheme="minorHAnsi"/>
        </w:rPr>
        <w:t>based on approximately 30 studies published over the past 20 years</w:t>
      </w:r>
      <w:r w:rsidR="00E11988">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rFonts w:eastAsiaTheme="minorHAnsi"/>
        </w:rPr>
        <w:instrText xml:space="preserve"> ADDIN EN.CITE </w:instrText>
      </w:r>
      <w:r w:rsidR="002219B9">
        <w:rPr>
          <w:rFonts w:eastAsiaTheme="minorHAnsi"/>
        </w:rPr>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rPr>
          <w:rFonts w:eastAsiaTheme="minorHAnsi"/>
        </w:rPr>
        <w:instrText xml:space="preserve"> ADDIN EN.CITE.DATA </w:instrText>
      </w:r>
      <w:r w:rsidR="002219B9">
        <w:rPr>
          <w:rFonts w:eastAsiaTheme="minorHAnsi"/>
        </w:rPr>
      </w:r>
      <w:r w:rsidR="002219B9">
        <w:rPr>
          <w:rFonts w:eastAsiaTheme="minorHAnsi"/>
        </w:rPr>
        <w:fldChar w:fldCharType="end"/>
      </w:r>
      <w:r w:rsidR="004E20C9">
        <w:rPr>
          <w:rFonts w:eastAsiaTheme="minorHAnsi"/>
        </w:rPr>
      </w:r>
      <w:r w:rsidR="004E20C9">
        <w:rPr>
          <w:rFonts w:eastAsiaTheme="minorHAnsi"/>
        </w:rPr>
        <w:fldChar w:fldCharType="separate"/>
      </w:r>
      <w:r w:rsidR="002219B9">
        <w:rPr>
          <w:rFonts w:eastAsiaTheme="minorHAnsi"/>
          <w:noProof/>
        </w:rPr>
        <w:t>(</w:t>
      </w:r>
      <w:hyperlink w:anchor="_ENREF_60" w:tooltip="Mennechet, 2019 #58" w:history="1">
        <w:r w:rsidR="0027195B">
          <w:rPr>
            <w:rFonts w:eastAsiaTheme="minorHAnsi"/>
            <w:noProof/>
          </w:rPr>
          <w:t>Mennechet et al., 2019a</w:t>
        </w:r>
      </w:hyperlink>
      <w:r w:rsidR="002219B9">
        <w:rPr>
          <w:rFonts w:eastAsiaTheme="minorHAnsi"/>
          <w:noProof/>
        </w:rPr>
        <w:t>)</w:t>
      </w:r>
      <w:r w:rsidR="004E20C9">
        <w:rPr>
          <w:rFonts w:eastAsiaTheme="minorHAnsi"/>
        </w:rPr>
        <w:fldChar w:fldCharType="end"/>
      </w:r>
      <w:r w:rsidR="00E11988">
        <w:rPr>
          <w:rFonts w:eastAsiaTheme="minorHAnsi"/>
        </w:rPr>
        <w:t>.</w:t>
      </w:r>
      <w:r w:rsidR="009672AF">
        <w:rPr>
          <w:rFonts w:eastAsiaTheme="minorHAnsi"/>
        </w:rPr>
        <w:t xml:space="preserve"> </w:t>
      </w:r>
      <w:r w:rsidR="001C1B28">
        <w:rPr>
          <w:rFonts w:eastAsiaTheme="minorHAnsi"/>
        </w:rPr>
        <w:t>HAdV-</w:t>
      </w:r>
      <w:r w:rsidR="00F7219B">
        <w:rPr>
          <w:rFonts w:eastAsiaTheme="minorHAnsi"/>
        </w:rPr>
        <w:t>C</w:t>
      </w:r>
      <w:r w:rsidR="001C1B28">
        <w:rPr>
          <w:rFonts w:eastAsiaTheme="minorHAnsi"/>
        </w:rPr>
        <w:t xml:space="preserve">5 is the most widely reported and has the highest </w:t>
      </w:r>
      <w:proofErr w:type="spellStart"/>
      <w:r w:rsidR="001C1B28">
        <w:rPr>
          <w:rFonts w:eastAsiaTheme="minorHAnsi"/>
        </w:rPr>
        <w:t>seroprevalance</w:t>
      </w:r>
      <w:proofErr w:type="spellEnd"/>
      <w:r w:rsidR="001C1B28">
        <w:rPr>
          <w:rFonts w:eastAsiaTheme="minorHAnsi"/>
        </w:rPr>
        <w:t xml:space="preserve"> global</w:t>
      </w:r>
      <w:r w:rsidR="001B3441">
        <w:rPr>
          <w:rFonts w:eastAsiaTheme="minorHAnsi"/>
        </w:rPr>
        <w:t xml:space="preserve">ly. </w:t>
      </w:r>
    </w:p>
    <w:p w14:paraId="7AB29338" w14:textId="25BB6222" w:rsidR="00094AEB" w:rsidRPr="00800C63" w:rsidRDefault="001B3441" w:rsidP="00DF5A57">
      <w:pPr>
        <w:pStyle w:val="RARMPnumberedparagraphs"/>
      </w:pPr>
      <w:r>
        <w:rPr>
          <w:rFonts w:eastAsiaTheme="minorHAnsi"/>
        </w:rPr>
        <w:t xml:space="preserve">In Australia, </w:t>
      </w:r>
      <w:r w:rsidR="003C69BB">
        <w:rPr>
          <w:rFonts w:eastAsiaTheme="minorHAnsi"/>
        </w:rPr>
        <w:t>the Laboratory Virology and Serology (</w:t>
      </w:r>
      <w:proofErr w:type="spellStart"/>
      <w:r w:rsidR="003C69BB">
        <w:rPr>
          <w:rFonts w:eastAsiaTheme="minorHAnsi"/>
        </w:rPr>
        <w:t>LabVISE</w:t>
      </w:r>
      <w:proofErr w:type="spellEnd"/>
      <w:r w:rsidR="003C69BB">
        <w:rPr>
          <w:rFonts w:eastAsiaTheme="minorHAnsi"/>
        </w:rPr>
        <w:t xml:space="preserve">) reports from </w:t>
      </w:r>
      <w:r w:rsidR="009F1628">
        <w:rPr>
          <w:rFonts w:eastAsiaTheme="minorHAnsi"/>
        </w:rPr>
        <w:t xml:space="preserve">the Department of Health </w:t>
      </w:r>
      <w:r w:rsidR="00070D95">
        <w:rPr>
          <w:rFonts w:eastAsiaTheme="minorHAnsi"/>
        </w:rPr>
        <w:t xml:space="preserve">and Aged Care </w:t>
      </w:r>
      <w:r w:rsidR="009F1628">
        <w:rPr>
          <w:rFonts w:eastAsiaTheme="minorHAnsi"/>
        </w:rPr>
        <w:t>(1991-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infection </w:t>
      </w:r>
      <w:r w:rsidR="0077488B">
        <w:rPr>
          <w:rFonts w:eastAsiaTheme="minorHAnsi"/>
        </w:rPr>
        <w:t xml:space="preserve">per year over 10 years </w:t>
      </w:r>
      <w:r w:rsidR="004E20C9">
        <w:rPr>
          <w:rFonts w:eastAsiaTheme="minorHAnsi"/>
        </w:rPr>
        <w:fldChar w:fldCharType="begin"/>
      </w:r>
      <w:r w:rsidR="00824706">
        <w:rPr>
          <w:rFonts w:eastAsiaTheme="minorHAnsi"/>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86" w:tooltip="Spencer, 2002 #103" w:history="1">
        <w:r w:rsidR="0027195B">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xml:space="preserve">. It is important to note that </w:t>
      </w:r>
      <w:r w:rsidR="001B3D5A">
        <w:rPr>
          <w:rFonts w:eastAsiaTheme="minorHAnsi"/>
        </w:rPr>
        <w:t xml:space="preserve">the </w:t>
      </w:r>
      <w:r w:rsidR="0077488B">
        <w:rPr>
          <w:rFonts w:eastAsiaTheme="minorHAnsi"/>
        </w:rPr>
        <w:t xml:space="preserve">majority of </w:t>
      </w:r>
      <w:r w:rsidR="00F725E8">
        <w:rPr>
          <w:rFonts w:eastAsiaTheme="minorHAnsi"/>
        </w:rPr>
        <w:t xml:space="preserve">reported </w:t>
      </w:r>
      <w:proofErr w:type="spellStart"/>
      <w:r w:rsidR="00F725E8">
        <w:rPr>
          <w:rFonts w:eastAsiaTheme="minorHAnsi"/>
        </w:rPr>
        <w:t>AdV</w:t>
      </w:r>
      <w:proofErr w:type="spellEnd"/>
      <w:r w:rsidR="00F725E8">
        <w:rPr>
          <w:rFonts w:eastAsiaTheme="minorHAnsi"/>
        </w:rPr>
        <w:t xml:space="preserve"> </w:t>
      </w:r>
      <w:r w:rsidR="0077488B">
        <w:rPr>
          <w:rFonts w:eastAsiaTheme="minorHAnsi"/>
        </w:rPr>
        <w:t>infection</w:t>
      </w:r>
      <w:r w:rsidR="00F725E8">
        <w:rPr>
          <w:rFonts w:eastAsiaTheme="minorHAnsi"/>
        </w:rPr>
        <w:t>s</w:t>
      </w:r>
      <w:r w:rsidR="0077488B">
        <w:rPr>
          <w:rFonts w:eastAsiaTheme="minorHAnsi"/>
        </w:rPr>
        <w:t xml:space="preserve"> have not been serotyped</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However, these numbers </w:t>
      </w:r>
      <w:r w:rsidR="004C3A74" w:rsidRPr="00800C63">
        <w:rPr>
          <w:rFonts w:eastAsiaTheme="minorHAnsi"/>
        </w:rPr>
        <w:t xml:space="preserve">indicate that </w:t>
      </w:r>
      <w:proofErr w:type="spellStart"/>
      <w:r w:rsidR="004C3A74" w:rsidRPr="00800C63">
        <w:rPr>
          <w:rFonts w:eastAsiaTheme="minorHAnsi"/>
        </w:rPr>
        <w:t>HAdVs</w:t>
      </w:r>
      <w:proofErr w:type="spellEnd"/>
      <w:r w:rsidR="004C3A74" w:rsidRPr="00800C63">
        <w:rPr>
          <w:rFonts w:eastAsiaTheme="minorHAnsi"/>
        </w:rPr>
        <w:t xml:space="preserve"> are present in the Australian environment</w:t>
      </w:r>
      <w:r w:rsidR="0077488B" w:rsidRPr="00800C63">
        <w:rPr>
          <w:rFonts w:eastAsiaTheme="minorHAnsi"/>
        </w:rPr>
        <w:t xml:space="preserve">. </w:t>
      </w:r>
      <w:r w:rsidR="00015850" w:rsidRPr="00015850">
        <w:rPr>
          <w:rFonts w:eastAsiaTheme="minorHAnsi"/>
        </w:rPr>
        <w:t xml:space="preserve">In 2025, </w:t>
      </w:r>
      <w:r w:rsidR="002B0CA5">
        <w:rPr>
          <w:rFonts w:eastAsiaTheme="minorHAnsi"/>
        </w:rPr>
        <w:t xml:space="preserve">the </w:t>
      </w:r>
      <w:r w:rsidR="00015850" w:rsidRPr="00015850">
        <w:rPr>
          <w:rFonts w:eastAsiaTheme="minorHAnsi"/>
        </w:rPr>
        <w:t>Australian Respiratory Surveillance Report</w:t>
      </w:r>
      <w:r w:rsidR="00015850">
        <w:rPr>
          <w:rFonts w:eastAsiaTheme="minorHAnsi"/>
        </w:rPr>
        <w:t xml:space="preserve"> showed that</w:t>
      </w:r>
      <w:r w:rsidR="00015850" w:rsidRPr="00015850">
        <w:rPr>
          <w:rFonts w:eastAsiaTheme="minorHAnsi"/>
        </w:rPr>
        <w:t xml:space="preserve"> adenovirus was identified in 4.7% of samples tested for respiratory pathogens among people with influenza-like illness attending general practice sites (</w:t>
      </w:r>
      <w:hyperlink r:id="rId30" w:history="1">
        <w:r w:rsidR="00015850" w:rsidRPr="00015850">
          <w:rPr>
            <w:rStyle w:val="Hyperlink"/>
            <w:rFonts w:eastAsiaTheme="minorHAnsi"/>
          </w:rPr>
          <w:t>Australian Respiratory Surveillance Report 2025</w:t>
        </w:r>
      </w:hyperlink>
      <w:r w:rsidR="00015850" w:rsidRPr="00015850">
        <w:rPr>
          <w:rFonts w:eastAsiaTheme="minorHAnsi"/>
        </w:rPr>
        <w:t>, accessed November 2025).</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drawing>
          <wp:inline distT="0" distB="0" distL="0" distR="0" wp14:anchorId="2B5EFB3C" wp14:editId="5F9ABE13">
            <wp:extent cx="4310742" cy="2357176"/>
            <wp:effectExtent l="0" t="0" r="0" b="5080"/>
            <wp:docPr id="3" name="Picture 3" descr="Figure 5: Seroprevalance for adenovirus types used in the clinic (Mennechet et al., 20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eroprevalance for adenovirus types used in the clinic (Mennechet et al., 2019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5B85691B" w:rsidR="00E11988" w:rsidRPr="00340E83" w:rsidRDefault="00E11988" w:rsidP="00340E83">
      <w:pPr>
        <w:pStyle w:val="figure"/>
      </w:pPr>
      <w:r w:rsidRPr="00340E83">
        <w:t xml:space="preserve">Figure </w:t>
      </w:r>
      <w:r w:rsidR="00D14885">
        <w:t>5</w:t>
      </w:r>
      <w:r w:rsidRPr="00340E83">
        <w:t xml:space="preserve">: </w:t>
      </w:r>
      <w:proofErr w:type="spellStart"/>
      <w:r w:rsidRPr="00340E83">
        <w:t>Seroprevalance</w:t>
      </w:r>
      <w:proofErr w:type="spellEnd"/>
      <w:r w:rsidRPr="00340E83">
        <w:t xml:space="preserve"> for adenovirus types used in the clinic </w:t>
      </w:r>
      <w:r w:rsidR="004E20C9">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instrText xml:space="preserve"> ADDIN EN.CITE </w:instrText>
      </w:r>
      <w:r w:rsidR="002219B9">
        <w:fldChar w:fldCharType="begin">
          <w:fldData xml:space="preserve">PEVuZE5vdGU+PENpdGU+PEF1dGhvcj5NZW5uZWNoZXQ8L0F1dGhvcj48WWVhcj4yMDE5PC9ZZWFy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</w:fldData>
        </w:fldChar>
      </w:r>
      <w:r w:rsidR="002219B9">
        <w:instrText xml:space="preserve"> ADDIN EN.CITE.DATA </w:instrText>
      </w:r>
      <w:r w:rsidR="002219B9">
        <w:fldChar w:fldCharType="end"/>
      </w:r>
      <w:r w:rsidR="004E20C9">
        <w:fldChar w:fldCharType="separate"/>
      </w:r>
      <w:r w:rsidR="002219B9">
        <w:rPr>
          <w:noProof/>
        </w:rPr>
        <w:t>(</w:t>
      </w:r>
      <w:hyperlink w:anchor="_ENREF_60" w:tooltip="Mennechet, 2019 #58" w:history="1">
        <w:r w:rsidR="0027195B">
          <w:rPr>
            <w:noProof/>
          </w:rPr>
          <w:t>Mennechet et al., 2019a</w:t>
        </w:r>
      </w:hyperlink>
      <w:r w:rsidR="002219B9">
        <w:rPr>
          <w:noProof/>
        </w:rPr>
        <w:t>)</w:t>
      </w:r>
      <w:r w:rsidR="004E20C9">
        <w:fldChar w:fldCharType="end"/>
      </w:r>
    </w:p>
    <w:p w14:paraId="124A0BCF" w14:textId="3CE65F58" w:rsidR="00E97F86" w:rsidRPr="00E97F86" w:rsidRDefault="00AC1027" w:rsidP="00321D13">
      <w:pPr>
        <w:pStyle w:val="4RARMP"/>
      </w:pPr>
      <w:bookmarkStart w:id="166" w:name="_Ref57107869"/>
      <w:bookmarkStart w:id="167" w:name="_Ref32930850"/>
      <w:bookmarkStart w:id="168" w:name="_Toc53666215"/>
      <w:bookmarkStart w:id="169" w:name="_Toc53675476"/>
      <w:bookmarkEnd w:id="157"/>
      <w:bookmarkEnd w:id="158"/>
      <w:bookmarkEnd w:id="159"/>
      <w:bookmarkEnd w:id="160"/>
      <w:r>
        <w:rPr>
          <w:shd w:val="clear" w:color="auto" w:fill="FFFFFF"/>
        </w:rPr>
        <w:t>Control, e</w:t>
      </w:r>
      <w:r w:rsidR="00922F34" w:rsidRPr="00E97F86">
        <w:rPr>
          <w:shd w:val="clear" w:color="auto" w:fill="FFFFFF"/>
        </w:rPr>
        <w:t>nvironmental stability and decontamination methods</w:t>
      </w:r>
      <w:bookmarkEnd w:id="166"/>
      <w:r w:rsidR="00922F34" w:rsidRPr="00E97F86">
        <w:rPr>
          <w:shd w:val="clear" w:color="auto" w:fill="FFFFFF"/>
        </w:rPr>
        <w:t xml:space="preserve"> </w:t>
      </w:r>
      <w:bookmarkEnd w:id="167"/>
      <w:bookmarkEnd w:id="168"/>
      <w:bookmarkEnd w:id="169"/>
    </w:p>
    <w:p w14:paraId="6E186446" w14:textId="194AF632" w:rsidR="00AC1027" w:rsidRPr="00785BD8" w:rsidRDefault="00E26A08" w:rsidP="00785BD8">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proofErr w:type="spellStart"/>
      <w:r w:rsidR="00462394">
        <w:rPr>
          <w:rFonts w:cs="Calibri"/>
          <w:szCs w:val="22"/>
        </w:rPr>
        <w:t>H</w:t>
      </w:r>
      <w:r w:rsidR="00496952" w:rsidRPr="00E52B4D">
        <w:rPr>
          <w:rFonts w:cs="Calibri"/>
          <w:szCs w:val="22"/>
        </w:rPr>
        <w:t>AdV</w:t>
      </w:r>
      <w:proofErr w:type="spellEnd"/>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w:t>
      </w:r>
      <w:proofErr w:type="spellStart"/>
      <w:r w:rsidR="005C6F06">
        <w:rPr>
          <w:rFonts w:cs="Calibri"/>
          <w:szCs w:val="22"/>
        </w:rPr>
        <w:t>Ribavarin</w:t>
      </w:r>
      <w:proofErr w:type="spellEnd"/>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B80D1A">
        <w:rPr>
          <w:rFonts w:cs="Calibri"/>
          <w:szCs w:val="22"/>
        </w:rPr>
        <w:instrText xml:space="preserve"> ADDIN EN.CITE </w:instrText>
      </w:r>
      <w:r w:rsidR="00B80D1A">
        <w:rPr>
          <w:rFonts w:cs="Calibri"/>
          <w:szCs w:val="22"/>
        </w:rPr>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B80D1A">
        <w:rPr>
          <w:rFonts w:cs="Calibri"/>
          <w:szCs w:val="22"/>
        </w:rPr>
        <w:instrText xml:space="preserve"> ADDIN EN.CITE.DATA </w:instrText>
      </w:r>
      <w:r w:rsidR="00B80D1A">
        <w:rPr>
          <w:rFonts w:cs="Calibri"/>
          <w:szCs w:val="22"/>
        </w:rPr>
      </w:r>
      <w:r w:rsidR="00B80D1A">
        <w:rPr>
          <w:rFonts w:cs="Calibri"/>
          <w:szCs w:val="22"/>
        </w:rPr>
        <w:fldChar w:fldCharType="end"/>
      </w:r>
      <w:r w:rsidR="005C6F06">
        <w:rPr>
          <w:rFonts w:cs="Calibri"/>
          <w:szCs w:val="22"/>
        </w:rPr>
      </w:r>
      <w:r w:rsidR="005C6F06">
        <w:rPr>
          <w:rFonts w:cs="Calibri"/>
          <w:szCs w:val="22"/>
        </w:rPr>
        <w:fldChar w:fldCharType="separate"/>
      </w:r>
      <w:r w:rsidR="00B80D1A">
        <w:rPr>
          <w:rFonts w:cs="Calibri"/>
          <w:noProof/>
          <w:szCs w:val="22"/>
        </w:rPr>
        <w:t>(</w:t>
      </w:r>
      <w:hyperlink w:anchor="_ENREF_15" w:tooltip="CDC, 2019 #63" w:history="1">
        <w:r w:rsidR="0027195B">
          <w:rPr>
            <w:rFonts w:cs="Calibri"/>
            <w:noProof/>
            <w:szCs w:val="22"/>
          </w:rPr>
          <w:t>CDC, 2019a</w:t>
        </w:r>
      </w:hyperlink>
      <w:r w:rsidR="00B80D1A">
        <w:rPr>
          <w:rFonts w:cs="Calibri"/>
          <w:noProof/>
          <w:szCs w:val="22"/>
        </w:rPr>
        <w:t xml:space="preserve">; </w:t>
      </w:r>
      <w:hyperlink w:anchor="_ENREF_54" w:tooltip="Lion, 2019 #83" w:history="1">
        <w:r w:rsidR="0027195B">
          <w:rPr>
            <w:rFonts w:cs="Calibri"/>
            <w:noProof/>
            <w:szCs w:val="22"/>
          </w:rPr>
          <w:t>Lion, 2019</w:t>
        </w:r>
      </w:hyperlink>
      <w:r w:rsidR="00B80D1A">
        <w:rPr>
          <w:rFonts w:cs="Calibri"/>
          <w:noProof/>
          <w:szCs w:val="22"/>
        </w:rPr>
        <w:t xml:space="preserve">; </w:t>
      </w:r>
      <w:hyperlink w:anchor="_ENREF_100" w:tooltip="Waye, 2010 #104" w:history="1">
        <w:r w:rsidR="0027195B">
          <w:rPr>
            <w:rFonts w:cs="Calibri"/>
            <w:noProof/>
            <w:szCs w:val="22"/>
          </w:rPr>
          <w:t>Waye and Sing, 2010</w:t>
        </w:r>
      </w:hyperlink>
      <w:r w:rsidR="00B80D1A">
        <w:rPr>
          <w:rFonts w:cs="Calibri"/>
          <w:noProof/>
          <w:szCs w:val="22"/>
        </w:rPr>
        <w:t>)</w:t>
      </w:r>
      <w:r w:rsidR="005C6F06">
        <w:rPr>
          <w:rFonts w:cs="Calibri"/>
          <w:szCs w:val="22"/>
        </w:rPr>
        <w:fldChar w:fldCharType="end"/>
      </w:r>
      <w:r w:rsidR="005C6F06" w:rsidRPr="0011547C">
        <w:rPr>
          <w:rFonts w:cs="Calibri"/>
          <w:szCs w:val="22"/>
        </w:rPr>
        <w:t>.</w:t>
      </w:r>
      <w:r w:rsidR="00785BD8">
        <w:rPr>
          <w:rFonts w:cs="Calibri"/>
          <w:szCs w:val="22"/>
        </w:rPr>
        <w:t xml:space="preserve"> </w:t>
      </w:r>
      <w:r w:rsidR="00425D4D" w:rsidRPr="00785BD8">
        <w:rPr>
          <w:rFonts w:cs="Calibri"/>
          <w:szCs w:val="22"/>
        </w:rPr>
        <w:t>T</w:t>
      </w:r>
      <w:r w:rsidR="00AC1027" w:rsidRPr="00785BD8">
        <w:rPr>
          <w:rFonts w:cs="Calibri"/>
          <w:szCs w:val="22"/>
        </w:rPr>
        <w:t xml:space="preserve">here are currently no </w:t>
      </w:r>
      <w:proofErr w:type="spellStart"/>
      <w:r w:rsidR="00F725E8">
        <w:rPr>
          <w:rFonts w:cs="Calibri"/>
          <w:szCs w:val="22"/>
        </w:rPr>
        <w:t>AdV</w:t>
      </w:r>
      <w:proofErr w:type="spellEnd"/>
      <w:r w:rsidR="00AC1027" w:rsidRPr="00785BD8">
        <w:rPr>
          <w:rFonts w:cs="Calibri"/>
          <w:szCs w:val="22"/>
        </w:rPr>
        <w:t>-</w:t>
      </w:r>
      <w:r w:rsidR="009D13DF" w:rsidRPr="00785BD8">
        <w:rPr>
          <w:rFonts w:cs="Calibri"/>
          <w:szCs w:val="22"/>
        </w:rPr>
        <w:t xml:space="preserve">specific drugs </w:t>
      </w:r>
      <w:r w:rsidR="005C6F06" w:rsidRPr="00785BD8">
        <w:rPr>
          <w:rFonts w:cs="Calibri"/>
          <w:szCs w:val="22"/>
        </w:rPr>
        <w:t>to treat infection</w:t>
      </w:r>
      <w:r w:rsidR="00471E29" w:rsidRPr="00785BD8">
        <w:rPr>
          <w:rFonts w:cs="Calibri"/>
          <w:szCs w:val="22"/>
        </w:rPr>
        <w:t xml:space="preserve"> </w:t>
      </w:r>
      <w:r w:rsidR="00B80D1A">
        <w:rPr>
          <w:rFonts w:cs="Calibri"/>
          <w:szCs w:val="22"/>
        </w:rPr>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B80D1A">
        <w:rPr>
          <w:rFonts w:cs="Calibri"/>
          <w:szCs w:val="22"/>
        </w:rPr>
        <w:instrText xml:space="preserve"> ADDIN EN.CITE </w:instrText>
      </w:r>
      <w:r w:rsidR="00B80D1A">
        <w:rPr>
          <w:rFonts w:cs="Calibri"/>
          <w:szCs w:val="22"/>
        </w:rPr>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B80D1A">
        <w:rPr>
          <w:rFonts w:cs="Calibri"/>
          <w:szCs w:val="22"/>
        </w:rPr>
        <w:instrText xml:space="preserve"> ADDIN EN.CITE.DATA </w:instrText>
      </w:r>
      <w:r w:rsidR="00B80D1A">
        <w:rPr>
          <w:rFonts w:cs="Calibri"/>
          <w:szCs w:val="22"/>
        </w:rPr>
      </w:r>
      <w:r w:rsidR="00B80D1A">
        <w:rPr>
          <w:rFonts w:cs="Calibri"/>
          <w:szCs w:val="22"/>
        </w:rPr>
        <w:fldChar w:fldCharType="end"/>
      </w:r>
      <w:r w:rsidR="00B80D1A">
        <w:rPr>
          <w:rFonts w:cs="Calibri"/>
          <w:szCs w:val="22"/>
        </w:rPr>
      </w:r>
      <w:r w:rsidR="00B80D1A">
        <w:rPr>
          <w:rFonts w:cs="Calibri"/>
          <w:szCs w:val="22"/>
        </w:rPr>
        <w:fldChar w:fldCharType="separate"/>
      </w:r>
      <w:r w:rsidR="00B80D1A">
        <w:rPr>
          <w:rFonts w:cs="Calibri"/>
          <w:noProof/>
          <w:szCs w:val="22"/>
        </w:rPr>
        <w:t>(</w:t>
      </w:r>
      <w:hyperlink w:anchor="_ENREF_15" w:tooltip="CDC, 2019 #63" w:history="1">
        <w:r w:rsidR="0027195B">
          <w:rPr>
            <w:rFonts w:cs="Calibri"/>
            <w:noProof/>
            <w:szCs w:val="22"/>
          </w:rPr>
          <w:t>CDC, 2019a</w:t>
        </w:r>
      </w:hyperlink>
      <w:r w:rsidR="00B80D1A">
        <w:rPr>
          <w:rFonts w:cs="Calibri"/>
          <w:noProof/>
          <w:szCs w:val="22"/>
        </w:rPr>
        <w:t xml:space="preserve">; </w:t>
      </w:r>
      <w:hyperlink w:anchor="_ENREF_100" w:tooltip="Waye, 2010 #104" w:history="1">
        <w:r w:rsidR="0027195B">
          <w:rPr>
            <w:rFonts w:cs="Calibri"/>
            <w:noProof/>
            <w:szCs w:val="22"/>
          </w:rPr>
          <w:t>Waye and Sing, 2010</w:t>
        </w:r>
      </w:hyperlink>
      <w:r w:rsidR="00B80D1A">
        <w:rPr>
          <w:rFonts w:cs="Calibri"/>
          <w:noProof/>
          <w:szCs w:val="22"/>
        </w:rPr>
        <w:t>)</w:t>
      </w:r>
      <w:r w:rsidR="00B80D1A">
        <w:rPr>
          <w:rFonts w:cs="Calibri"/>
          <w:szCs w:val="22"/>
        </w:rPr>
        <w:fldChar w:fldCharType="end"/>
      </w:r>
      <w:r w:rsidR="00AC1027" w:rsidRPr="00785BD8">
        <w:rPr>
          <w:rFonts w:cs="Calibri"/>
          <w:szCs w:val="22"/>
        </w:rPr>
        <w:t>.</w:t>
      </w:r>
      <w:r w:rsidR="00C61325" w:rsidRPr="00785BD8">
        <w:rPr>
          <w:rFonts w:cs="Calibri"/>
          <w:szCs w:val="22"/>
        </w:rPr>
        <w:t xml:space="preserve"> </w:t>
      </w:r>
    </w:p>
    <w:p w14:paraId="3826B29E" w14:textId="6A03780A" w:rsidR="00F74DB8" w:rsidRPr="00D73A9A" w:rsidRDefault="00F725E8" w:rsidP="00F74DB8">
      <w:pPr>
        <w:pStyle w:val="RARMPnumberedparagraphs"/>
        <w:rPr>
          <w:rFonts w:eastAsiaTheme="minorHAnsi" w:cs="Calibri"/>
          <w:szCs w:val="22"/>
        </w:rPr>
      </w:pPr>
      <w:r>
        <w:rPr>
          <w:rFonts w:cs="Calibri"/>
          <w:szCs w:val="22"/>
        </w:rPr>
        <w:t xml:space="preserve">Adenoviruses </w:t>
      </w:r>
      <w:r w:rsidR="000E6783" w:rsidRPr="00D73A9A">
        <w:rPr>
          <w:rFonts w:cs="Calibri"/>
          <w:szCs w:val="22"/>
        </w:rPr>
        <w:t xml:space="preserve">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5B0F2F">
        <w:rPr>
          <w:rFonts w:cs="Calibri"/>
          <w:szCs w:val="22"/>
        </w:rPr>
        <w:instrText xml:space="preserve"> ADDIN EN.CITE </w:instrText>
      </w:r>
      <w:r w:rsidR="005B0F2F">
        <w:rPr>
          <w:rFonts w:cs="Calibri"/>
          <w:szCs w:val="22"/>
        </w:rPr>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225DE1">
        <w:rPr>
          <w:rFonts w:cs="Calibri"/>
          <w:szCs w:val="22"/>
        </w:rPr>
      </w:r>
      <w:r w:rsidR="00225DE1">
        <w:rPr>
          <w:rFonts w:cs="Calibri"/>
          <w:szCs w:val="22"/>
        </w:rPr>
        <w:fldChar w:fldCharType="separate"/>
      </w:r>
      <w:r w:rsidR="005B0F2F">
        <w:rPr>
          <w:rFonts w:cs="Calibri"/>
          <w:noProof/>
          <w:szCs w:val="22"/>
        </w:rPr>
        <w:t>(</w:t>
      </w:r>
      <w:hyperlink w:anchor="_ENREF_32" w:tooltip="Gray, 2018 #100" w:history="1">
        <w:r w:rsidR="0027195B">
          <w:rPr>
            <w:rFonts w:cs="Calibri"/>
            <w:noProof/>
            <w:szCs w:val="22"/>
          </w:rPr>
          <w:t>Gray and Erdman, 2018</w:t>
        </w:r>
      </w:hyperlink>
      <w:r w:rsidR="005B0F2F">
        <w:rPr>
          <w:rFonts w:cs="Calibri"/>
          <w:noProof/>
          <w:szCs w:val="22"/>
        </w:rPr>
        <w:t xml:space="preserve">; </w:t>
      </w:r>
      <w:hyperlink w:anchor="_ENREF_70" w:tooltip="Public Health Agency of Canada, 2014 #64" w:history="1">
        <w:r w:rsidR="0027195B">
          <w:rPr>
            <w:rFonts w:cs="Calibri"/>
            <w:noProof/>
            <w:szCs w:val="22"/>
          </w:rPr>
          <w:t>Public Health Agency of Canada, 2014</w:t>
        </w:r>
      </w:hyperlink>
      <w:r w:rsidR="005B0F2F">
        <w:rPr>
          <w:rFonts w:cs="Calibri"/>
          <w:noProof/>
          <w:szCs w:val="22"/>
        </w:rPr>
        <w:t xml:space="preserve">; </w:t>
      </w:r>
      <w:hyperlink w:anchor="_ENREF_77" w:tooltip="Rutala, 2006 #105" w:history="1">
        <w:r w:rsidR="0027195B">
          <w:rPr>
            <w:rFonts w:cs="Calibri"/>
            <w:noProof/>
            <w:szCs w:val="22"/>
          </w:rPr>
          <w:t>Rutala et al., 2006</w:t>
        </w:r>
      </w:hyperlink>
      <w:r w:rsidR="005B0F2F">
        <w:rPr>
          <w:rFonts w:cs="Calibri"/>
          <w:noProof/>
          <w:szCs w:val="22"/>
        </w:rPr>
        <w:t>)</w:t>
      </w:r>
      <w:r w:rsidR="00225DE1">
        <w:rPr>
          <w:rFonts w:cs="Calibri"/>
          <w:szCs w:val="22"/>
        </w:rPr>
        <w:fldChar w:fldCharType="end"/>
      </w:r>
      <w:r w:rsidR="000E6783" w:rsidRPr="00D73A9A">
        <w:rPr>
          <w:rFonts w:cs="Calibri"/>
          <w:szCs w:val="22"/>
        </w:rPr>
        <w:t xml:space="preserve">. </w:t>
      </w:r>
      <w:r>
        <w:rPr>
          <w:rFonts w:cs="Calibri"/>
          <w:szCs w:val="22"/>
        </w:rPr>
        <w:t>They</w:t>
      </w:r>
      <w:r w:rsidRPr="00D73A9A">
        <w:rPr>
          <w:rFonts w:cs="Calibri"/>
          <w:szCs w:val="22"/>
        </w:rPr>
        <w:t xml:space="preserve"> </w:t>
      </w:r>
      <w:r w:rsidR="000E6783" w:rsidRPr="00D73A9A">
        <w:rPr>
          <w:rFonts w:cs="Calibri"/>
          <w:szCs w:val="22"/>
        </w:rPr>
        <w:t>are also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 </w:instrText>
      </w:r>
      <w:r w:rsidR="00824706">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91" w:tooltip="Thompson, 2003 #106" w:history="1">
        <w:r w:rsidR="0027195B">
          <w:rPr>
            <w:rFonts w:cs="Calibri"/>
            <w:noProof/>
            <w:szCs w:val="22"/>
          </w:rPr>
          <w:t>Thompson et al., 2003</w:t>
        </w:r>
      </w:hyperlink>
      <w:r w:rsidR="00225DE1">
        <w:rPr>
          <w:rFonts w:cs="Calibri"/>
          <w:noProof/>
          <w:szCs w:val="22"/>
        </w:rPr>
        <w:t xml:space="preserve">; </w:t>
      </w:r>
      <w:hyperlink w:anchor="_ENREF_92" w:tooltip="Thurston-Enriquez, 2003 #107" w:history="1">
        <w:r w:rsidR="0027195B">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w:t>
      </w:r>
      <w:r w:rsidR="004F565D">
        <w:rPr>
          <w:rFonts w:cs="Calibri"/>
          <w:szCs w:val="22"/>
        </w:rPr>
        <w:t>s</w:t>
      </w:r>
      <w:r w:rsidR="00922F34" w:rsidRPr="00D73A9A">
        <w:rPr>
          <w:rFonts w:cs="Calibri"/>
          <w:szCs w:val="22"/>
        </w:rPr>
        <w:t>, ocean</w:t>
      </w:r>
      <w:r w:rsidR="004F565D">
        <w:rPr>
          <w:rFonts w:cs="Calibri"/>
          <w:szCs w:val="22"/>
        </w:rPr>
        <w:t>s,</w:t>
      </w:r>
      <w:r w:rsidR="00922F34" w:rsidRPr="00D73A9A">
        <w:rPr>
          <w:rFonts w:cs="Calibri"/>
          <w:szCs w:val="22"/>
        </w:rPr>
        <w:t xml:space="preserve"> swimming pool</w:t>
      </w:r>
      <w:r w:rsidR="004F565D">
        <w:rPr>
          <w:rFonts w:cs="Calibri"/>
          <w:szCs w:val="22"/>
        </w:rPr>
        <w:t>s</w:t>
      </w:r>
      <w:r w:rsidR="00922F34" w:rsidRPr="00D73A9A">
        <w:rPr>
          <w:rFonts w:cs="Calibri"/>
          <w:szCs w:val="22"/>
        </w:rPr>
        <w:t xml:space="preserve"> w</w:t>
      </w:r>
      <w:r w:rsidR="00F74DB8" w:rsidRPr="00D73A9A">
        <w:rPr>
          <w:rFonts w:cs="Calibri"/>
          <w:szCs w:val="22"/>
        </w:rPr>
        <w:t xml:space="preserve">ater </w:t>
      </w:r>
      <w:r w:rsidR="004F565D">
        <w:rPr>
          <w:rFonts w:cs="Calibri"/>
          <w:szCs w:val="22"/>
        </w:rPr>
        <w:t>and</w:t>
      </w:r>
      <w:r w:rsidR="00F74DB8" w:rsidRPr="00D73A9A">
        <w:rPr>
          <w:rFonts w:cs="Calibri"/>
          <w:szCs w:val="22"/>
        </w:rPr>
        <w:t xml:space="preserve"> drinking water</w:t>
      </w:r>
      <w:r w:rsidR="00225DE1">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70" w:tooltip="Public Health Agency of Canada, 2014 #64" w:history="1">
        <w:r w:rsidR="0027195B">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4D19FF2E" w:rsidR="00496952" w:rsidRPr="001B3441" w:rsidRDefault="00F725E8" w:rsidP="00496952">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584437">
        <w:rPr>
          <w:rFonts w:cs="Calibri"/>
          <w:szCs w:val="22"/>
          <w:vertAlign w:val="superscript"/>
        </w:rPr>
        <w:t>°</w:t>
      </w:r>
      <w:r w:rsidR="00496952" w:rsidRPr="00584437">
        <w:rPr>
          <w:rFonts w:cs="Calibri"/>
          <w:szCs w:val="22"/>
        </w:rPr>
        <w:t>C</w:t>
      </w:r>
      <w:r w:rsidR="00931ED2">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74" w:tooltip="Rexroad, 2006 #108" w:history="1">
        <w:r w:rsidR="0027195B">
          <w:rPr>
            <w:rFonts w:cs="Calibri"/>
            <w:noProof/>
            <w:szCs w:val="22"/>
          </w:rPr>
          <w:t>Rexroad et al., 2006</w:t>
        </w:r>
      </w:hyperlink>
      <w:r w:rsidR="00D22400">
        <w:rPr>
          <w:rFonts w:cs="Calibri"/>
          <w:noProof/>
          <w:szCs w:val="22"/>
        </w:rPr>
        <w:t>)</w:t>
      </w:r>
      <w:r w:rsidR="00D22400">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proofErr w:type="spellStart"/>
      <w:r w:rsidR="00496952" w:rsidRPr="007507C5">
        <w:rPr>
          <w:rFonts w:cs="Calibri"/>
          <w:szCs w:val="22"/>
          <w:lang w:val="en-US"/>
        </w:rPr>
        <w:t>Ad</w:t>
      </w:r>
      <w:r w:rsidR="00225DE1">
        <w:rPr>
          <w:rFonts w:cs="Calibri"/>
          <w:szCs w:val="22"/>
          <w:lang w:val="en-US"/>
        </w:rPr>
        <w:t>V</w:t>
      </w:r>
      <w:proofErr w:type="spellEnd"/>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824706">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70" w:tooltip="Public Health Agency of Canada, 2014 #64" w:history="1">
        <w:r w:rsidR="0027195B">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lastRenderedPageBreak/>
        <w:t>AdVs</w:t>
      </w:r>
      <w:proofErr w:type="spellEnd"/>
      <w:r w:rsidR="00917D8D">
        <w:rPr>
          <w:rFonts w:cs="Calibri"/>
          <w:szCs w:val="22"/>
          <w:lang w:val="en-US"/>
        </w:rPr>
        <w:t xml:space="preserve"> survival time depends on the relative humidity, temperature and on the type of surface </w:t>
      </w:r>
      <w:r w:rsidR="000D67F4">
        <w:rPr>
          <w:rFonts w:cs="Calibri"/>
          <w:szCs w:val="22"/>
          <w:lang w:val="en-US"/>
        </w:rPr>
        <w:fldChar w:fldCharType="begin"/>
      </w:r>
      <w:r w:rsidR="000F689C">
        <w:rPr>
          <w:rFonts w:cs="Calibri"/>
          <w:szCs w:val="22"/>
          <w:lang w:val="en-US"/>
        </w:rPr>
        <w:instrText xml:space="preserve"> ADDIN EN.CITE &lt;EndNote&gt;&lt;Cite&gt;&lt;Author&gt;Abad&lt;/Author&gt;&lt;Year&gt;1994&lt;/Year&gt;&lt;RecNum&gt;109&lt;/RecNum&gt;&lt;DisplayText&gt;(Abad et al., 1994)&lt;/DisplayText&gt;&lt;record&gt;&lt;rec-number&gt;109&lt;/rec-number&gt;&lt;foreign-keys&gt;&lt;key app="EN" db-id="verwe2fxj5fev7epfz8xtdvez025feseze0z" timestamp="1733275117"&gt;109&lt;/key&gt;&lt;/foreign-keys&gt;&lt;ref-type name="Journal Article"&gt;17&lt;/ref-type&gt;&lt;contributors&gt;&lt;authors&gt;&lt;author&gt;Abad, F. X.&lt;/author&gt;&lt;author&gt;Pintó, R. M.&lt;/author&gt;&lt;author&gt;Bosch, A.&lt;/author&gt;&lt;/authors&gt;&lt;/contributors&gt;&lt;titles&gt;&lt;title&gt;Survival of enteric viruses on environmental fomites&lt;/title&gt;&lt;secondary-title&gt;Applied and environmental microbiology&lt;/secondary-title&gt;&lt;alt-title&gt;Appl Environ Microbiol&lt;/alt-title&gt;&lt;/titles&gt;&lt;periodical&gt;&lt;full-title&gt;Applied and environmental microbiology&lt;/full-title&gt;&lt;/periodical&gt;&lt;pages&gt;3704-3710&lt;/pages&gt;&lt;volume&gt;60&lt;/volume&gt;&lt;number&gt;10&lt;/number&gt;&lt;keywords&gt;&lt;keyword&gt;Adenoviruses,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dates&gt;&lt;isbn&gt;0099-2240&amp;#xD;1098-5336&lt;/isbn&gt;&lt;accession-num&gt;7986043&lt;/accession-num&gt;&lt;urls&gt;&lt;related-urls&gt;&lt;url&gt;https://pubmed.ncbi.nlm.nih.gov/7986043&lt;/url&gt;&lt;url&gt;https://www.ncbi.nlm.nih.gov/pmc/articles/PMC201876/&lt;/url&gt;&lt;/related-urls&gt;&lt;/urls&gt;&lt;electronic-resource-num&gt;10.1128/AEM.60.10.3704-3710.1994&lt;/electronic-resource-num&gt;&lt;remote-database-name&gt;PubMed&lt;/remote-database-name&gt;&lt;language&gt;eng&lt;/language&gt;&lt;/record&gt;&lt;/Cite&gt;&lt;/EndNote&gt;</w:instrText>
      </w:r>
      <w:r w:rsidR="000D67F4">
        <w:rPr>
          <w:rFonts w:cs="Calibri"/>
          <w:szCs w:val="22"/>
          <w:lang w:val="en-US"/>
        </w:rPr>
        <w:fldChar w:fldCharType="separate"/>
      </w:r>
      <w:r w:rsidR="000D67F4">
        <w:rPr>
          <w:rFonts w:cs="Calibri"/>
          <w:noProof/>
          <w:szCs w:val="22"/>
          <w:lang w:val="en-US"/>
        </w:rPr>
        <w:t>(</w:t>
      </w:r>
      <w:hyperlink w:anchor="_ENREF_1" w:tooltip="Abad, 1994 #109" w:history="1">
        <w:r w:rsidR="0027195B">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6773142A" w:rsidR="001B3441" w:rsidRPr="001B3441" w:rsidRDefault="0027586D" w:rsidP="001B3441">
      <w:pPr>
        <w:pStyle w:val="RARMPnumberedparagraphs"/>
        <w:rPr>
          <w:rFonts w:eastAsiaTheme="minorHAnsi"/>
          <w:szCs w:val="22"/>
        </w:rPr>
      </w:pPr>
      <w:r>
        <w:rPr>
          <w:szCs w:val="22"/>
        </w:rPr>
        <w:t>W</w:t>
      </w:r>
      <w:r w:rsidRPr="00E52B4D">
        <w:rPr>
          <w:szCs w:val="22"/>
        </w:rPr>
        <w:t>orldwide</w:t>
      </w:r>
      <w:r>
        <w:rPr>
          <w:szCs w:val="22"/>
        </w:rPr>
        <w:t xml:space="preserve">, </w:t>
      </w:r>
      <w:proofErr w:type="spellStart"/>
      <w:r w:rsidR="001B3441">
        <w:rPr>
          <w:szCs w:val="22"/>
        </w:rPr>
        <w:t>H</w:t>
      </w:r>
      <w:r w:rsidR="001B3441" w:rsidRPr="00E52B4D">
        <w:rPr>
          <w:szCs w:val="22"/>
        </w:rPr>
        <w:t>AdVs</w:t>
      </w:r>
      <w:proofErr w:type="spellEnd"/>
      <w:r w:rsidR="001B3441" w:rsidRPr="00E52B4D">
        <w:rPr>
          <w:szCs w:val="22"/>
        </w:rPr>
        <w:t xml:space="preserve"> have been detected in water</w:t>
      </w:r>
      <w:r>
        <w:rPr>
          <w:szCs w:val="22"/>
        </w:rPr>
        <w:t xml:space="preserve"> sample</w:t>
      </w:r>
      <w:r w:rsidR="001B3441" w:rsidRPr="00E52B4D">
        <w:rPr>
          <w:szCs w:val="22"/>
        </w:rPr>
        <w:t xml:space="preserve">s </w:t>
      </w:r>
      <w:r>
        <w:rPr>
          <w:szCs w:val="22"/>
        </w:rPr>
        <w:t xml:space="preserve">of different kinds </w:t>
      </w:r>
      <w:r w:rsidR="001B3441" w:rsidRPr="00E52B4D">
        <w:rPr>
          <w:szCs w:val="22"/>
        </w:rPr>
        <w:t>including wastewater, river water, drinking water, ocean and swimming pools</w:t>
      </w:r>
      <w:r w:rsidR="001B3441">
        <w:rPr>
          <w:szCs w:val="22"/>
        </w:rPr>
        <w:t xml:space="preserve"> </w:t>
      </w:r>
      <w:r w:rsidR="001B3441">
        <w:rPr>
          <w:szCs w:val="22"/>
        </w:rPr>
        <w:fldChar w:fldCharType="begin"/>
      </w:r>
      <w:r w:rsidR="00245BC5">
        <w:rPr>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szCs w:val="22"/>
        </w:rPr>
        <w:fldChar w:fldCharType="separate"/>
      </w:r>
      <w:r w:rsidR="001B3441">
        <w:rPr>
          <w:noProof/>
          <w:szCs w:val="22"/>
        </w:rPr>
        <w:t>(</w:t>
      </w:r>
      <w:hyperlink w:anchor="_ENREF_6" w:tooltip="Allard and Vantarakis, 2017 #25" w:history="1">
        <w:r w:rsidR="0027195B">
          <w:rPr>
            <w:noProof/>
            <w:szCs w:val="22"/>
          </w:rPr>
          <w:t>Allard and Vantarakis, 2017</w:t>
        </w:r>
      </w:hyperlink>
      <w:r w:rsidR="001B3441">
        <w:rPr>
          <w:noProof/>
          <w:szCs w:val="22"/>
        </w:rPr>
        <w:t>)</w:t>
      </w:r>
      <w:r w:rsidR="001B3441">
        <w:rPr>
          <w:szCs w:val="22"/>
        </w:rPr>
        <w:fldChar w:fldCharType="end"/>
      </w:r>
      <w:r w:rsidR="001B3441" w:rsidRPr="00E52B4D">
        <w:rPr>
          <w:szCs w:val="22"/>
        </w:rPr>
        <w:t xml:space="preserve">. </w:t>
      </w:r>
      <w:r w:rsidR="00F725E8">
        <w:rPr>
          <w:szCs w:val="22"/>
        </w:rPr>
        <w:t>They</w:t>
      </w:r>
      <w:r w:rsidR="00F725E8" w:rsidRPr="00E52B4D">
        <w:rPr>
          <w:szCs w:val="22"/>
        </w:rPr>
        <w:t xml:space="preserve"> </w:t>
      </w:r>
      <w:r w:rsidR="001B3441" w:rsidRPr="00E52B4D">
        <w:rPr>
          <w:szCs w:val="22"/>
        </w:rPr>
        <w:t xml:space="preserve">are </w:t>
      </w:r>
      <w:r w:rsidR="00E155F6">
        <w:rPr>
          <w:szCs w:val="22"/>
        </w:rPr>
        <w:t>often</w:t>
      </w:r>
      <w:r w:rsidR="001B3441" w:rsidRPr="00E52B4D">
        <w:rPr>
          <w:szCs w:val="22"/>
        </w:rPr>
        <w:t xml:space="preserve"> detected in</w:t>
      </w:r>
      <w:r w:rsidR="001B3441" w:rsidRPr="00E52B4D">
        <w:rPr>
          <w:rFonts w:eastAsiaTheme="minorHAnsi"/>
          <w:szCs w:val="22"/>
        </w:rPr>
        <w:t xml:space="preserve"> high concentrations in domestic sewage and sludge in various countries and in some situations </w:t>
      </w:r>
      <w:r w:rsidR="001B3441">
        <w:rPr>
          <w:rFonts w:eastAsiaTheme="minorHAnsi"/>
          <w:szCs w:val="22"/>
        </w:rPr>
        <w:t>may be</w:t>
      </w:r>
      <w:r w:rsidR="001B3441" w:rsidRPr="00E52B4D">
        <w:rPr>
          <w:rFonts w:eastAsiaTheme="minorHAnsi"/>
          <w:szCs w:val="22"/>
        </w:rPr>
        <w:t xml:space="preserve"> used in surveillance for faecal contamination</w:t>
      </w:r>
      <w:r w:rsidR="001B3441">
        <w:rPr>
          <w:rFonts w:eastAsiaTheme="minorHAnsi"/>
          <w:szCs w:val="22"/>
        </w:rPr>
        <w:t xml:space="preserve"> </w:t>
      </w:r>
      <w:r w:rsidR="001B3441">
        <w:rPr>
          <w:rFonts w:eastAsiaTheme="minorHAnsi"/>
          <w:szCs w:val="22"/>
        </w:rPr>
        <w:fldChar w:fldCharType="begin"/>
      </w:r>
      <w:r w:rsidR="00245BC5">
        <w:rPr>
          <w:rFonts w:eastAsiaTheme="minorHAnsi"/>
          <w:szCs w:val="22"/>
        </w:rPr>
        <w:instrText xml:space="preserve"> ADDIN EN.CITE &lt;EndNote&gt;&lt;Cite&gt;&lt;Author&gt;Allard and Vantarakis&lt;/Author&gt;&lt;Year&gt;2017&lt;/Year&gt;&lt;RecNum&gt;25&lt;/RecNum&gt;&lt;DisplayText&gt;(Allard and Vantarakis, 2017)&lt;/DisplayText&gt;&lt;record&gt;&lt;rec-number&gt;25&lt;/rec-number&gt;&lt;foreign-keys&gt;&lt;key app="EN" db-id="dpase2e2oz5rwce9azspp95nf9xvswxp2rvd" timestamp="1765243678"&gt;25&lt;/key&gt;&lt;/foreign-keys&gt;&lt;ref-type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rFonts w:eastAsiaTheme="minorHAnsi"/>
          <w:szCs w:val="22"/>
        </w:rPr>
        <w:fldChar w:fldCharType="separate"/>
      </w:r>
      <w:r w:rsidR="001B3441">
        <w:rPr>
          <w:rFonts w:eastAsiaTheme="minorHAnsi"/>
          <w:noProof/>
          <w:szCs w:val="22"/>
        </w:rPr>
        <w:t>(</w:t>
      </w:r>
      <w:hyperlink w:anchor="_ENREF_6" w:tooltip="Allard and Vantarakis, 2017 #25" w:history="1">
        <w:r w:rsidR="0027195B">
          <w:rPr>
            <w:rFonts w:eastAsiaTheme="minorHAnsi"/>
            <w:noProof/>
            <w:szCs w:val="22"/>
          </w:rPr>
          <w:t>Allard and Vantarakis, 2017</w:t>
        </w:r>
      </w:hyperlink>
      <w:r w:rsidR="001B3441">
        <w:rPr>
          <w:rFonts w:eastAsiaTheme="minorHAnsi"/>
          <w:noProof/>
          <w:szCs w:val="22"/>
        </w:rPr>
        <w:t>)</w:t>
      </w:r>
      <w:r w:rsidR="001B3441">
        <w:rPr>
          <w:rFonts w:eastAsiaTheme="minorHAnsi"/>
          <w:szCs w:val="22"/>
        </w:rPr>
        <w:fldChar w:fldCharType="end"/>
      </w:r>
      <w:r w:rsidR="001B3441" w:rsidRPr="00E52B4D">
        <w:rPr>
          <w:rFonts w:eastAsiaTheme="minorHAnsi"/>
          <w:szCs w:val="22"/>
        </w:rPr>
        <w:t>.</w:t>
      </w:r>
    </w:p>
    <w:p w14:paraId="105DA7C4" w14:textId="447B52E0"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225DE1">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 </w:instrText>
      </w:r>
      <w:r w:rsidR="00824706">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EN.CITE.DATA </w:instrText>
      </w:r>
      <w:r w:rsidR="00824706">
        <w:fldChar w:fldCharType="end"/>
      </w:r>
      <w:r w:rsidR="00225DE1">
        <w:fldChar w:fldCharType="separate"/>
      </w:r>
      <w:r w:rsidR="00D22400">
        <w:rPr>
          <w:noProof/>
        </w:rPr>
        <w:t>(</w:t>
      </w:r>
      <w:hyperlink w:anchor="_ENREF_59" w:tooltip="McCormick, 2004 #110" w:history="1">
        <w:r w:rsidR="0027195B">
          <w:rPr>
            <w:noProof/>
          </w:rPr>
          <w:t>McCormick and Maheshwari, 2004</w:t>
        </w:r>
      </w:hyperlink>
      <w:r w:rsidR="00D22400">
        <w:rPr>
          <w:noProof/>
        </w:rPr>
        <w:t xml:space="preserve">; </w:t>
      </w:r>
      <w:hyperlink w:anchor="_ENREF_77" w:tooltip="Rutala, 2006 #105" w:history="1">
        <w:r w:rsidR="0027195B">
          <w:rPr>
            <w:noProof/>
          </w:rPr>
          <w:t>Rutala et al., 2006</w:t>
        </w:r>
      </w:hyperlink>
      <w:r w:rsidR="00D22400">
        <w:rPr>
          <w:noProof/>
        </w:rPr>
        <w:t>)</w:t>
      </w:r>
      <w:r w:rsidR="00225DE1">
        <w:fldChar w:fldCharType="end"/>
      </w:r>
      <w:r w:rsidR="00584437">
        <w:t xml:space="preserve">. </w:t>
      </w:r>
      <w:proofErr w:type="spellStart"/>
      <w:r w:rsidR="00901505" w:rsidRPr="00800C63">
        <w:t>AdVs</w:t>
      </w:r>
      <w:proofErr w:type="spellEnd"/>
      <w:r w:rsidR="00901505" w:rsidRPr="00800C63">
        <w:t xml:space="preserve"> can also be inactivated by contact with 1:5 dilution of bleach (sodium hypochlorite) </w:t>
      </w:r>
      <w:r w:rsidR="00901505" w:rsidRPr="00800C63">
        <w:rPr>
          <w:rFonts w:cs="Calibri"/>
          <w:szCs w:val="22"/>
          <w:lang w:val="en-US"/>
        </w:rPr>
        <w:fldChar w:fldCharType="begin"/>
      </w:r>
      <w:r w:rsidR="00901505" w:rsidRPr="00800C63">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901505" w:rsidRPr="00800C63">
        <w:rPr>
          <w:rFonts w:cs="Calibri"/>
          <w:szCs w:val="22"/>
          <w:lang w:val="en-US"/>
        </w:rPr>
        <w:fldChar w:fldCharType="separate"/>
      </w:r>
      <w:r w:rsidR="00901505" w:rsidRPr="00800C63">
        <w:rPr>
          <w:rFonts w:cs="Calibri"/>
          <w:noProof/>
          <w:szCs w:val="22"/>
          <w:lang w:val="en-US"/>
        </w:rPr>
        <w:t>(</w:t>
      </w:r>
      <w:hyperlink w:anchor="_ENREF_70" w:tooltip="Public Health Agency of Canada, 2014 #64" w:history="1">
        <w:r w:rsidR="0027195B" w:rsidRPr="00800C63">
          <w:rPr>
            <w:rFonts w:cs="Calibri"/>
            <w:noProof/>
            <w:szCs w:val="22"/>
            <w:lang w:val="en-US"/>
          </w:rPr>
          <w:t>Public Health Agency of Canada, 2014</w:t>
        </w:r>
      </w:hyperlink>
      <w:r w:rsidR="00901505" w:rsidRPr="00800C63">
        <w:rPr>
          <w:rFonts w:cs="Calibri"/>
          <w:noProof/>
          <w:szCs w:val="22"/>
          <w:lang w:val="en-US"/>
        </w:rPr>
        <w:t>)</w:t>
      </w:r>
      <w:r w:rsidR="00901505" w:rsidRPr="00800C63">
        <w:rPr>
          <w:rFonts w:cs="Calibri"/>
          <w:szCs w:val="22"/>
          <w:lang w:val="en-US"/>
        </w:rPr>
        <w:fldChar w:fldCharType="end"/>
      </w:r>
      <w:r w:rsidR="00901505" w:rsidRPr="00800C63">
        <w:rPr>
          <w:rFonts w:cs="Calibri"/>
          <w:szCs w:val="22"/>
          <w:lang w:val="en-US"/>
        </w:rPr>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bGFyZCBhbmQgVmFudGFyYWtpczwvQXV0aG9yPjxZZWFyPjIwMTc8L1llYXI+PFJlY051bT4yNTwv
UmVjTnVtPjxyZWNvcmQ+PHJlYy1udW1iZXI+MjU8L3JlYy1udW1iZXI+PGZvcmVpZ24ta2V5cz48
a2V5IGFwcD0iRU4iIGRiLWlkPSJkcGFzZTJlMm96NXJ3Y2U5YXpzcHA5NW5mOXh2c3d4cDJydmQi
IHRpbWVzdGFtcD0iMTc2NTI0MzY3OCI+MjU8L2tleT48L2ZvcmVpZ24ta2V5cz48cmVmLXR5cGUg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245BC5">
        <w:instrText xml:space="preserve"> ADDIN EN.CITE </w:instrText>
      </w:r>
      <w:r w:rsidR="00245BC5">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bGFyZCBhbmQgVmFudGFyYWtpczwvQXV0aG9yPjxZZWFyPjIwMTc8L1llYXI+PFJlY051bT4yNTwv
UmVjTnVtPjxyZWNvcmQ+PHJlYy1udW1iZXI+MjU8L3JlYy1udW1iZXI+PGZvcmVpZ24ta2V5cz48
a2V5IGFwcD0iRU4iIGRiLWlkPSJkcGFzZTJlMm96NXJ3Y2U5YXpzcHA5NW5mOXh2c3d4cDJydmQi
IHRpbWVzdGFtcD0iMTc2NTI0MzY3OCI+MjU8L2tleT48L2ZvcmVpZ24ta2V5cz48cmVmLXR5cGUg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245BC5">
        <w:instrText xml:space="preserve"> ADDIN EN.CITE.DATA </w:instrText>
      </w:r>
      <w:r w:rsidR="00245BC5">
        <w:fldChar w:fldCharType="end"/>
      </w:r>
      <w:r w:rsidR="00225DE1">
        <w:fldChar w:fldCharType="separate"/>
      </w:r>
      <w:r w:rsidR="005B0F2F">
        <w:rPr>
          <w:noProof/>
        </w:rPr>
        <w:t>(</w:t>
      </w:r>
      <w:hyperlink w:anchor="_ENREF_6" w:tooltip="Allard and Vantarakis, 2017 #25" w:history="1">
        <w:r w:rsidR="0027195B">
          <w:rPr>
            <w:noProof/>
          </w:rPr>
          <w:t>Allard and Vantarakis, 2017</w:t>
        </w:r>
      </w:hyperlink>
      <w:r w:rsidR="005B0F2F">
        <w:rPr>
          <w:noProof/>
        </w:rPr>
        <w:t xml:space="preserve">; </w:t>
      </w:r>
      <w:hyperlink w:anchor="_ENREF_32" w:tooltip="Gray, 2018 #100" w:history="1">
        <w:r w:rsidR="0027195B">
          <w:rPr>
            <w:noProof/>
          </w:rPr>
          <w:t>Gray and Erdman, 2018</w:t>
        </w:r>
      </w:hyperlink>
      <w:r w:rsidR="005B0F2F">
        <w:rPr>
          <w:noProof/>
        </w:rPr>
        <w:t xml:space="preserve">; </w:t>
      </w:r>
      <w:hyperlink w:anchor="_ENREF_70" w:tooltip="Public Health Agency of Canada, 2014 #64" w:history="1">
        <w:r w:rsidR="0027195B">
          <w:rPr>
            <w:noProof/>
          </w:rPr>
          <w:t>Public Health Agency of Canada, 2014</w:t>
        </w:r>
      </w:hyperlink>
      <w:r w:rsidR="005B0F2F">
        <w:rPr>
          <w:noProof/>
        </w:rPr>
        <w:t>)</w:t>
      </w:r>
      <w:r w:rsidR="00225DE1">
        <w:fldChar w:fldCharType="end"/>
      </w:r>
      <w:r w:rsidR="006D6EFF" w:rsidRPr="00E7491B">
        <w:t>.</w:t>
      </w:r>
      <w:r w:rsidR="006D6EFF">
        <w:t xml:space="preserve"> </w:t>
      </w:r>
    </w:p>
    <w:p w14:paraId="7A5F7E64" w14:textId="3D132C51" w:rsidR="00A63D42" w:rsidRPr="00537344" w:rsidRDefault="00A63D42" w:rsidP="006E06B6">
      <w:pPr>
        <w:pStyle w:val="2RARMP"/>
      </w:pPr>
      <w:bookmarkStart w:id="170" w:name="_Toc209859572"/>
      <w:bookmarkStart w:id="171" w:name="_Ref220914220"/>
      <w:bookmarkStart w:id="172" w:name="_Ref220920025"/>
      <w:bookmarkStart w:id="173" w:name="_Ref256776892"/>
      <w:bookmarkStart w:id="174" w:name="_Toc274904750"/>
      <w:bookmarkStart w:id="175" w:name="_Toc291151800"/>
      <w:bookmarkStart w:id="176" w:name="_Toc309054004"/>
      <w:bookmarkStart w:id="177" w:name="_Toc309833696"/>
      <w:bookmarkStart w:id="178" w:name="_Toc311188357"/>
      <w:bookmarkStart w:id="179" w:name="_Toc377743562"/>
      <w:bookmarkStart w:id="180" w:name="_Toc47536749"/>
      <w:bookmarkStart w:id="181" w:name="_Toc226975005"/>
      <w:r w:rsidRPr="00537344">
        <w:t>The GM</w:t>
      </w:r>
      <w:r w:rsidR="00F65589" w:rsidRPr="00537344">
        <w:t>O</w:t>
      </w:r>
      <w:r w:rsidR="006B13DE" w:rsidRPr="00537344">
        <w:t xml:space="preserve"> -</w:t>
      </w:r>
      <w:r w:rsidRPr="00537344">
        <w:t xml:space="preserve"> nature and effect of the genetic modification</w:t>
      </w:r>
      <w:bookmarkEnd w:id="170"/>
      <w:bookmarkEnd w:id="171"/>
      <w:bookmarkEnd w:id="172"/>
      <w:bookmarkEnd w:id="173"/>
      <w:bookmarkEnd w:id="174"/>
      <w:bookmarkEnd w:id="175"/>
      <w:bookmarkEnd w:id="176"/>
      <w:bookmarkEnd w:id="177"/>
      <w:bookmarkEnd w:id="178"/>
      <w:bookmarkEnd w:id="179"/>
      <w:bookmarkEnd w:id="180"/>
      <w:bookmarkEnd w:id="181"/>
    </w:p>
    <w:p w14:paraId="311BDD53" w14:textId="54A7246B" w:rsidR="002B13BC" w:rsidRPr="003E2C69" w:rsidRDefault="002B13BC" w:rsidP="002B13BC">
      <w:pPr>
        <w:pStyle w:val="3RARMP"/>
      </w:pPr>
      <w:bookmarkStart w:id="182" w:name="_Toc47536750"/>
      <w:bookmarkStart w:id="183" w:name="_Ref57118981"/>
      <w:bookmarkStart w:id="184" w:name="_Ref57118992"/>
      <w:bookmarkStart w:id="185" w:name="_Ref57119428"/>
      <w:bookmarkStart w:id="186" w:name="_Toc226975006"/>
      <w:bookmarkStart w:id="187" w:name="_Toc194221362"/>
      <w:bookmarkStart w:id="188" w:name="_Toc195684934"/>
      <w:bookmarkStart w:id="189" w:name="_Toc209859574"/>
      <w:bookmarkStart w:id="190" w:name="_Ref236199314"/>
      <w:bookmarkStart w:id="191" w:name="_Toc274904753"/>
      <w:bookmarkStart w:id="192" w:name="_Toc291151804"/>
      <w:bookmarkStart w:id="193" w:name="_Ref191716974"/>
      <w:r w:rsidRPr="003E2C69">
        <w:t>The genetic modification</w:t>
      </w:r>
      <w:bookmarkEnd w:id="182"/>
      <w:r w:rsidR="00FB0B9D" w:rsidRPr="003E2C69">
        <w:t>s</w:t>
      </w:r>
      <w:bookmarkEnd w:id="183"/>
      <w:bookmarkEnd w:id="184"/>
      <w:bookmarkEnd w:id="185"/>
      <w:bookmarkEnd w:id="186"/>
    </w:p>
    <w:p w14:paraId="0813F98A" w14:textId="1E762DF4" w:rsidR="00EA4395" w:rsidRPr="003E2C69" w:rsidRDefault="00D9769B" w:rsidP="00D9769B">
      <w:pPr>
        <w:pStyle w:val="RARMPnumberedparagraphs"/>
        <w:rPr>
          <w:rFonts w:cs="Calibri"/>
          <w:szCs w:val="22"/>
        </w:rPr>
      </w:pPr>
      <w:proofErr w:type="spellStart"/>
      <w:r w:rsidRPr="003E2C69">
        <w:rPr>
          <w:rFonts w:cs="Calibri"/>
          <w:szCs w:val="22"/>
        </w:rPr>
        <w:t>Nadofaragene</w:t>
      </w:r>
      <w:proofErr w:type="spellEnd"/>
      <w:r w:rsidRPr="003E2C69">
        <w:rPr>
          <w:rFonts w:cs="Calibri"/>
          <w:szCs w:val="22"/>
        </w:rPr>
        <w:t xml:space="preserve"> </w:t>
      </w:r>
      <w:proofErr w:type="spellStart"/>
      <w:r w:rsidRPr="003E2C69">
        <w:rPr>
          <w:rFonts w:cs="Calibri"/>
          <w:szCs w:val="22"/>
        </w:rPr>
        <w:t>firadenovec</w:t>
      </w:r>
      <w:proofErr w:type="spellEnd"/>
      <w:r w:rsidRPr="003E2C69">
        <w:rPr>
          <w:rFonts w:cs="Calibri"/>
          <w:szCs w:val="22"/>
        </w:rPr>
        <w:t xml:space="preserve"> is a replication-deficient recombinant </w:t>
      </w:r>
      <w:proofErr w:type="spellStart"/>
      <w:r w:rsidRPr="003E2C69">
        <w:rPr>
          <w:rFonts w:cs="Calibri"/>
          <w:szCs w:val="22"/>
        </w:rPr>
        <w:t>HAdV</w:t>
      </w:r>
      <w:proofErr w:type="spellEnd"/>
      <w:r w:rsidRPr="003E2C69">
        <w:rPr>
          <w:rFonts w:cs="Calibri"/>
          <w:szCs w:val="22"/>
        </w:rPr>
        <w:t xml:space="preserve"> carrying a gene encoding the human interferon alpha-2b (IFN-α2b) protein.</w:t>
      </w:r>
    </w:p>
    <w:p w14:paraId="40E7FBC7" w14:textId="3442D862" w:rsidR="00801057" w:rsidRPr="003E2C69" w:rsidRDefault="00D9769B" w:rsidP="00BA725F">
      <w:pPr>
        <w:pStyle w:val="RARMPnumberedparagraphs"/>
        <w:rPr>
          <w:rFonts w:cs="Calibri"/>
          <w:szCs w:val="22"/>
        </w:rPr>
      </w:pPr>
      <w:r w:rsidRPr="003E2C69">
        <w:t xml:space="preserve">This GM therapeutic was developed from HAdV-C5 by deleting specific gene sequences to improve safety and replacing a deleted DNA sequence with a </w:t>
      </w:r>
      <w:proofErr w:type="spellStart"/>
      <w:r w:rsidRPr="003E2C69">
        <w:rPr>
          <w:i/>
          <w:iCs/>
        </w:rPr>
        <w:t>hIFN</w:t>
      </w:r>
      <w:proofErr w:type="spellEnd"/>
      <w:r w:rsidRPr="003E2C69">
        <w:rPr>
          <w:i/>
          <w:iCs/>
        </w:rPr>
        <w:t>-α2b</w:t>
      </w:r>
      <w:r w:rsidRPr="003E2C69">
        <w:t xml:space="preserve"> gene expression cassette. The identities of the deletions have been declared Confidential Commercial Information (CCI). Under section 185 of the Act, the CCI is made available to the prescribed experts and agencies that are consulted on the RARMP for this application</w:t>
      </w:r>
      <w:r w:rsidR="00801057" w:rsidRPr="003E2C69">
        <w:t>.</w:t>
      </w:r>
    </w:p>
    <w:bookmarkEnd w:id="187"/>
    <w:bookmarkEnd w:id="188"/>
    <w:bookmarkEnd w:id="189"/>
    <w:bookmarkEnd w:id="190"/>
    <w:bookmarkEnd w:id="191"/>
    <w:bookmarkEnd w:id="192"/>
    <w:p w14:paraId="13D53B4E" w14:textId="41127833" w:rsidR="00B40F88" w:rsidRPr="003E2C69" w:rsidRDefault="00D9769B" w:rsidP="00D9769B">
      <w:pPr>
        <w:pStyle w:val="RARMPnumberedparagraphs"/>
        <w:rPr>
          <w:rFonts w:cs="Calibri"/>
          <w:szCs w:val="22"/>
        </w:rPr>
      </w:pPr>
      <w:r w:rsidRPr="003E2C69">
        <w:rPr>
          <w:rFonts w:cs="Calibri"/>
        </w:rPr>
        <w:t xml:space="preserve">The GM therapeutic was generated through recombination between a plasmid containing the </w:t>
      </w:r>
      <w:proofErr w:type="spellStart"/>
      <w:r w:rsidRPr="00A02DED">
        <w:rPr>
          <w:rFonts w:cs="Calibri"/>
          <w:i/>
          <w:iCs/>
        </w:rPr>
        <w:t>hIFN</w:t>
      </w:r>
      <w:proofErr w:type="spellEnd"/>
      <w:r w:rsidRPr="00A02DED">
        <w:rPr>
          <w:rFonts w:cs="Calibri"/>
          <w:i/>
          <w:iCs/>
        </w:rPr>
        <w:t>-α2b</w:t>
      </w:r>
      <w:r w:rsidRPr="003E2C69">
        <w:rPr>
          <w:rFonts w:cs="Calibri"/>
        </w:rPr>
        <w:t xml:space="preserve"> gene and a viral derivative, followed by </w:t>
      </w:r>
      <w:r w:rsidRPr="00800C63">
        <w:rPr>
          <w:rFonts w:cs="Calibri"/>
          <w:i/>
          <w:iCs/>
        </w:rPr>
        <w:t>in vitro</w:t>
      </w:r>
      <w:r w:rsidRPr="003E2C69">
        <w:rPr>
          <w:rFonts w:cs="Calibri"/>
        </w:rPr>
        <w:t xml:space="preserve"> co-transfection into a human cell line for viral production. The human cells provide necessary proteins during virus propagation. However, this production process may lead to the GM therapeutic containing a small percentage of replication-competent adenovirus (RCA)</w:t>
      </w:r>
      <w:r w:rsidR="003E117E">
        <w:rPr>
          <w:rFonts w:cs="Calibri"/>
        </w:rPr>
        <w:t xml:space="preserve"> that is attenuated compared to the parent adenovirus</w:t>
      </w:r>
      <w:r w:rsidRPr="003E2C69">
        <w:rPr>
          <w:rFonts w:cs="Calibri"/>
        </w:rPr>
        <w:t xml:space="preserve">. Information on how the GM therapeutic was </w:t>
      </w:r>
      <w:proofErr w:type="gramStart"/>
      <w:r w:rsidRPr="003E2C69">
        <w:rPr>
          <w:rFonts w:cs="Calibri"/>
        </w:rPr>
        <w:t>generated</w:t>
      </w:r>
      <w:proofErr w:type="gramEnd"/>
      <w:r w:rsidRPr="003E2C69">
        <w:rPr>
          <w:rFonts w:cs="Calibri"/>
        </w:rPr>
        <w:t xml:space="preserve"> and the identity of the human cell line have also been declared CCI.</w:t>
      </w:r>
    </w:p>
    <w:p w14:paraId="7976F977" w14:textId="4AA2F526" w:rsidR="00D9769B" w:rsidRPr="003E2C69" w:rsidRDefault="00D9769B" w:rsidP="00D9769B">
      <w:pPr>
        <w:pStyle w:val="3RARMP"/>
        <w:rPr>
          <w:rFonts w:cs="Calibri"/>
          <w:szCs w:val="22"/>
        </w:rPr>
      </w:pPr>
      <w:bookmarkStart w:id="194" w:name="_Toc226975007"/>
      <w:r w:rsidRPr="003E2C69">
        <w:rPr>
          <w:rFonts w:cs="Calibri"/>
          <w:szCs w:val="22"/>
        </w:rPr>
        <w:t>Effects of the genetic modifications</w:t>
      </w:r>
      <w:bookmarkEnd w:id="194"/>
    </w:p>
    <w:p w14:paraId="00D14672" w14:textId="77777777" w:rsidR="00737721" w:rsidRPr="003E2C69" w:rsidRDefault="00737721" w:rsidP="00737721">
      <w:pPr>
        <w:pStyle w:val="4RARMP"/>
      </w:pPr>
      <w:r w:rsidRPr="003E2C69">
        <w:t>Deletion of regions from HAdV-C5</w:t>
      </w:r>
    </w:p>
    <w:p w14:paraId="5041E56B" w14:textId="7F976AD9" w:rsidR="00865024" w:rsidRPr="003E2C69" w:rsidRDefault="00865024" w:rsidP="00865024">
      <w:pPr>
        <w:pStyle w:val="RARMPnumberedparagraphs"/>
      </w:pPr>
      <w:r w:rsidRPr="003E2C69">
        <w:t>The GM therapeutic was made safer due to the removal of specific DNA sequences from the HAdV-C5 genome. Details of the deletions have been declared CCI.</w:t>
      </w:r>
    </w:p>
    <w:p w14:paraId="203F293F" w14:textId="2DE6B54E" w:rsidR="00737721" w:rsidRPr="003E2C69" w:rsidRDefault="00865024" w:rsidP="00737721">
      <w:pPr>
        <w:pStyle w:val="4RARMP"/>
      </w:pPr>
      <w:r w:rsidRPr="003E2C69">
        <w:t xml:space="preserve">Insertion of the </w:t>
      </w:r>
      <w:proofErr w:type="spellStart"/>
      <w:r w:rsidRPr="003E2C69">
        <w:t>hIFN</w:t>
      </w:r>
      <w:proofErr w:type="spellEnd"/>
      <w:r w:rsidRPr="003E2C69">
        <w:t>-α2b gene expression cassette</w:t>
      </w:r>
    </w:p>
    <w:p w14:paraId="54BC12B1" w14:textId="0B662811" w:rsidR="00865024" w:rsidRPr="003E2C69" w:rsidRDefault="00865024" w:rsidP="00865024">
      <w:pPr>
        <w:pStyle w:val="RARMPnumberedparagraphs"/>
      </w:pPr>
      <w:r w:rsidRPr="003E2C69">
        <w:t xml:space="preserve">The GM therapeutic is intended as a treatment of BCG-unresponsive NMIBC. It contains an introduced </w:t>
      </w:r>
      <w:proofErr w:type="spellStart"/>
      <w:r w:rsidRPr="003E2C69">
        <w:rPr>
          <w:i/>
          <w:iCs/>
        </w:rPr>
        <w:t>hIFN</w:t>
      </w:r>
      <w:proofErr w:type="spellEnd"/>
      <w:r w:rsidRPr="003E2C69">
        <w:rPr>
          <w:i/>
          <w:iCs/>
        </w:rPr>
        <w:t>-α2b</w:t>
      </w:r>
      <w:r w:rsidRPr="003E2C69">
        <w:t xml:space="preserve"> gene expression cassette which produces the IFN-α2b protein in patients receiving the therapeutic.</w:t>
      </w:r>
    </w:p>
    <w:p w14:paraId="1C44AFDF" w14:textId="7389DCD2" w:rsidR="00865024" w:rsidRPr="003E2C69" w:rsidRDefault="00865024" w:rsidP="00865024">
      <w:pPr>
        <w:pStyle w:val="RARMPnumberedparagraphs"/>
      </w:pPr>
      <w:r w:rsidRPr="003E2C69">
        <w:t xml:space="preserve">Interferons (IFNs) are produced by the innate </w:t>
      </w:r>
      <w:bookmarkStart w:id="195" w:name="_Hlk190188399"/>
      <w:r w:rsidRPr="003E2C69">
        <w:t>immune system</w:t>
      </w:r>
      <w:bookmarkEnd w:id="195"/>
      <w:r w:rsidRPr="003E2C69">
        <w:rPr>
          <w:rFonts w:ascii="Times-Roman" w:hAnsi="Times-Roman" w:cs="Times-Roman"/>
          <w:sz w:val="20"/>
          <w:szCs w:val="20"/>
        </w:rPr>
        <w:t xml:space="preserve"> </w:t>
      </w:r>
      <w:r w:rsidRPr="003E2C69">
        <w:t>via Toll</w:t>
      </w:r>
      <w:r w:rsidRPr="003E2C69">
        <w:rPr>
          <w:rFonts w:ascii="Cambria Math" w:hAnsi="Cambria Math" w:cs="Cambria Math"/>
        </w:rPr>
        <w:t>‑</w:t>
      </w:r>
      <w:r w:rsidRPr="003E2C69">
        <w:t xml:space="preserve">like receptor (TLR) stimulation and other signalling cascades. </w:t>
      </w:r>
      <w:bookmarkStart w:id="196" w:name="_Hlk192175042"/>
      <w:r w:rsidRPr="003E2C69">
        <w:t>There are 3 main classes of IFNs in humans: IFN</w:t>
      </w:r>
      <w:r w:rsidRPr="003E2C69">
        <w:rPr>
          <w:rFonts w:ascii="Cambria Math" w:hAnsi="Cambria Math" w:cs="Cambria Math"/>
        </w:rPr>
        <w:t>‑</w:t>
      </w:r>
      <w:r w:rsidRPr="003E2C69">
        <w:t xml:space="preserve">α, </w:t>
      </w:r>
      <w:r w:rsidRPr="003E2C69">
        <w:rPr>
          <w:rFonts w:ascii="Cambria Math" w:hAnsi="Cambria Math" w:cs="Cambria Math"/>
        </w:rPr>
        <w:t>‑</w:t>
      </w:r>
      <w:r w:rsidRPr="003E2C69">
        <w:t xml:space="preserve">β and </w:t>
      </w:r>
      <w:r w:rsidRPr="003E2C69">
        <w:rPr>
          <w:rFonts w:ascii="Cambria Math" w:hAnsi="Cambria Math" w:cs="Cambria Math"/>
        </w:rPr>
        <w:t>‑</w:t>
      </w:r>
      <w:r w:rsidRPr="003E2C69">
        <w:t>γ, with IFN</w:t>
      </w:r>
      <w:r w:rsidRPr="003E2C69">
        <w:rPr>
          <w:rFonts w:ascii="Cambria Math" w:hAnsi="Cambria Math" w:cs="Cambria Math"/>
        </w:rPr>
        <w:t>‑</w:t>
      </w:r>
      <w:r w:rsidRPr="003E2C69">
        <w:t xml:space="preserve">α and </w:t>
      </w:r>
      <w:r w:rsidRPr="003E2C69">
        <w:rPr>
          <w:rFonts w:ascii="Cambria Math" w:hAnsi="Cambria Math" w:cs="Cambria Math"/>
        </w:rPr>
        <w:t>‑</w:t>
      </w:r>
      <w:r w:rsidRPr="003E2C69">
        <w:t xml:space="preserve">β belonging to the type I IFNs </w:t>
      </w:r>
      <w:r w:rsidRPr="003E2C69">
        <w:fldChar w:fldCharType="begin"/>
      </w:r>
      <w:r w:rsidR="005B0F2F" w:rsidRPr="003E2C69">
        <w:instrText xml:space="preserve"> ADDIN EN.CITE &lt;EndNote&gt;&lt;Cite&gt;&lt;Author&gt;Shi&lt;/Author&gt;&lt;Year&gt;2022&lt;/Year&gt;&lt;RecNum&gt;40&lt;/RecNum&gt;&lt;DisplayText&gt;(Shi et al., 2022)&lt;/DisplayText&gt;&lt;record&gt;&lt;rec-number&gt;40&lt;/rec-number&gt;&lt;foreign-keys&gt;&lt;key app="EN" db-id="dpase2e2oz5rwce9azspp95nf9xvswxp2rvd" timestamp="1765243737"&gt;40&lt;/key&gt;&lt;/foreign-keys&gt;&lt;ref-type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Pr="003E2C69">
        <w:fldChar w:fldCharType="separate"/>
      </w:r>
      <w:r w:rsidRPr="003E2C69">
        <w:rPr>
          <w:noProof/>
        </w:rPr>
        <w:t>(</w:t>
      </w:r>
      <w:hyperlink w:anchor="_ENREF_84" w:tooltip="Shi, 2022 #40" w:history="1">
        <w:r w:rsidR="0027195B" w:rsidRPr="003E2C69">
          <w:rPr>
            <w:noProof/>
          </w:rPr>
          <w:t>Shi et al., 2022</w:t>
        </w:r>
      </w:hyperlink>
      <w:r w:rsidRPr="003E2C69">
        <w:rPr>
          <w:noProof/>
        </w:rPr>
        <w:t>)</w:t>
      </w:r>
      <w:r w:rsidRPr="003E2C69">
        <w:fldChar w:fldCharType="end"/>
      </w:r>
      <w:r w:rsidRPr="003E2C69">
        <w:t>.</w:t>
      </w:r>
    </w:p>
    <w:p w14:paraId="121BC50C" w14:textId="137AB8AF" w:rsidR="00865024" w:rsidRPr="003E2C69" w:rsidRDefault="00865024" w:rsidP="00865024">
      <w:pPr>
        <w:pStyle w:val="RARMPnumberedparagraphs"/>
      </w:pPr>
      <w:r w:rsidRPr="003E2C69">
        <w:t xml:space="preserve">IFN-α </w:t>
      </w:r>
      <w:bookmarkEnd w:id="196"/>
      <w:r w:rsidRPr="003E2C69">
        <w:t xml:space="preserve">is a key cytokine produced primarily by monocytes/macrophages and can also be </w:t>
      </w:r>
      <w:r w:rsidR="00C65992" w:rsidRPr="003E2C69">
        <w:t>synthesi</w:t>
      </w:r>
      <w:r w:rsidR="00C65992">
        <w:t>s</w:t>
      </w:r>
      <w:r w:rsidR="00C65992" w:rsidRPr="003E2C69">
        <w:t xml:space="preserve">ed </w:t>
      </w:r>
      <w:r w:rsidRPr="003E2C69">
        <w:t>by B cells and fibroblasts. There are 13 different human IFN-α subtype proteins expressed from 14 human IFN</w:t>
      </w:r>
      <w:r w:rsidRPr="003E2C69">
        <w:rPr>
          <w:rFonts w:ascii="Cambria Math" w:hAnsi="Cambria Math" w:cs="Cambria Math"/>
        </w:rPr>
        <w:t>‑</w:t>
      </w:r>
      <w:r w:rsidRPr="003E2C69">
        <w:t xml:space="preserve">α genes </w:t>
      </w:r>
      <w:r w:rsidRPr="003E2C69">
        <w:fldChar w:fldCharType="begin"/>
      </w:r>
      <w:r w:rsidR="005B0F2F" w:rsidRPr="003E2C69">
        <w:instrText xml:space="preserve"> ADDIN EN.CITE &lt;EndNote&gt;&lt;Cite&gt;&lt;Author&gt;Shi&lt;/Author&gt;&lt;Year&gt;2022&lt;/Year&gt;&lt;RecNum&gt;40&lt;/RecNum&gt;&lt;DisplayText&gt;(Shi et al., 2022)&lt;/DisplayText&gt;&lt;record&gt;&lt;rec-number&gt;40&lt;/rec-number&gt;&lt;foreign-keys&gt;&lt;key app="EN" db-id="dpase2e2oz5rwce9azspp95nf9xvswxp2rvd" timestamp="1765243737"&gt;40&lt;/key&gt;&lt;/foreign-keys&gt;&lt;ref-type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Pr="003E2C69">
        <w:fldChar w:fldCharType="separate"/>
      </w:r>
      <w:r w:rsidRPr="003E2C69">
        <w:rPr>
          <w:noProof/>
        </w:rPr>
        <w:t>(</w:t>
      </w:r>
      <w:hyperlink w:anchor="_ENREF_84" w:tooltip="Shi, 2022 #40" w:history="1">
        <w:r w:rsidR="0027195B" w:rsidRPr="003E2C69">
          <w:rPr>
            <w:noProof/>
          </w:rPr>
          <w:t>Shi et al., 2022</w:t>
        </w:r>
      </w:hyperlink>
      <w:r w:rsidRPr="003E2C69">
        <w:rPr>
          <w:noProof/>
        </w:rPr>
        <w:t>)</w:t>
      </w:r>
      <w:r w:rsidRPr="003E2C69">
        <w:fldChar w:fldCharType="end"/>
      </w:r>
      <w:r w:rsidRPr="003E2C69">
        <w:t xml:space="preserve">. </w:t>
      </w:r>
    </w:p>
    <w:p w14:paraId="4E631854" w14:textId="19A5CB93" w:rsidR="00865024" w:rsidRPr="003E2C69" w:rsidRDefault="00865024" w:rsidP="00865024">
      <w:pPr>
        <w:pStyle w:val="RARMPnumberedparagraphs"/>
      </w:pPr>
      <w:r w:rsidRPr="003E2C69">
        <w:lastRenderedPageBreak/>
        <w:t xml:space="preserve">IFN-α2b is one of 3 IFN-α2 variants sharing the same properties </w:t>
      </w:r>
      <w:r w:rsidRPr="003E2C69">
        <w:fldChar w:fldCharType="begin"/>
      </w:r>
      <w:r w:rsidR="005B0F2F" w:rsidRPr="003E2C69">
        <w:instrText xml:space="preserve"> ADDIN EN.CITE &lt;EndNote&gt;&lt;Cite&gt;&lt;Author&gt;Gibbert&lt;/Author&gt;&lt;Year&gt;2013&lt;/Year&gt;&lt;RecNum&gt;24&lt;/RecNum&gt;&lt;DisplayText&gt;(Gibbert et al., 2013)&lt;/DisplayText&gt;&lt;record&gt;&lt;rec-number&gt;24&lt;/rec-number&gt;&lt;foreign-keys&gt;&lt;key app="EN" db-id="dpase2e2oz5rwce9azspp95nf9xvswxp2rvd" timestamp="1765243673"&gt;24&lt;/key&gt;&lt;/foreign-keys&gt;&lt;ref-type name="Journal Article"&gt;17&lt;/ref-type&gt;&lt;contributors&gt;&lt;authors&gt;&lt;author&gt;Gibbert, K.&lt;/author&gt;&lt;author&gt;Schlaak, J. F.&lt;/author&gt;&lt;author&gt;Yang, D.&lt;/author&gt;&lt;author&gt;Dittmer, U.&lt;/author&gt;&lt;/authors&gt;&lt;/contributors&gt;&lt;titles&gt;&lt;title&gt;IFN-α subtypes: distinct biological activities in anti-viral therapy&lt;/title&gt;&lt;secondary-title&gt;British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Pharmacol&lt;/abbr-1&gt;&lt;/alt-periodical&gt;&lt;pages&gt;1048-1058&lt;/pages&gt;&lt;volume&gt;168&lt;/volume&gt;&lt;number&gt;5&lt;/number&gt;&lt;keywords&gt;&lt;keyword&gt;Animals&lt;/keyword&gt;&lt;keyword&gt;Antiviral Agents/pharmacology/*therapeutic use&lt;/keyword&gt;&lt;keyword&gt;Humans&lt;/keyword&gt;&lt;keyword&gt;Interferon Type I/pharmacology/physiology/*therapeutic use&lt;/keyword&gt;&lt;keyword&gt;Protein Subunits/pharmacology/*therapeutic use&lt;/keyword&gt;&lt;keyword&gt;Virus Diseases/*drug therapy&lt;/keyword&gt;&lt;/keywords&gt;&lt;dates&gt;&lt;year&gt;2013&lt;/year&gt;&lt;/dates&gt;&lt;publisher&gt;Blackwell Publishing Ltd&lt;/publisher&gt;&lt;isbn&gt;1476-5381&amp;#xD;0007-1188&lt;/isbn&gt;&lt;accession-num&gt;23072338&lt;/accession-num&gt;&lt;urls&gt;&lt;related-urls&gt;&lt;url&gt;https://www.ncbi.nlm.nih.gov/pubmed/23072338&lt;/url&gt;&lt;url&gt;https://www.ncbi.nlm.nih.gov/pmc/articles/PMC3594665/&lt;/url&gt;&lt;/related-urls&gt;&lt;/urls&gt;&lt;electronic-resource-num&gt;10.1111/bph.12010&lt;/electronic-resource-num&gt;&lt;remote-database-name&gt;PubMed&lt;/remote-database-name&gt;&lt;language&gt;eng&lt;/language&gt;&lt;/record&gt;&lt;/Cite&gt;&lt;/EndNote&gt;</w:instrText>
      </w:r>
      <w:r w:rsidRPr="003E2C69">
        <w:fldChar w:fldCharType="separate"/>
      </w:r>
      <w:r w:rsidRPr="003E2C69">
        <w:rPr>
          <w:noProof/>
        </w:rPr>
        <w:t>(</w:t>
      </w:r>
      <w:hyperlink w:anchor="_ENREF_29" w:tooltip="Gibbert, 2013 #24" w:history="1">
        <w:r w:rsidR="0027195B" w:rsidRPr="003E2C69">
          <w:rPr>
            <w:noProof/>
          </w:rPr>
          <w:t>Gibbert et al., 2013</w:t>
        </w:r>
      </w:hyperlink>
      <w:r w:rsidRPr="003E2C69">
        <w:rPr>
          <w:noProof/>
        </w:rPr>
        <w:t>)</w:t>
      </w:r>
      <w:r w:rsidRPr="003E2C69">
        <w:fldChar w:fldCharType="end"/>
      </w:r>
      <w:r w:rsidRPr="003E2C69">
        <w:t>. The</w:t>
      </w:r>
      <w:r w:rsidRPr="003E2C69">
        <w:rPr>
          <w:rFonts w:ascii="MinionPro-Regular" w:hAnsi="MinionPro-Regular" w:cs="MinionPro-Regular"/>
          <w:sz w:val="18"/>
          <w:szCs w:val="18"/>
        </w:rPr>
        <w:t xml:space="preserve"> </w:t>
      </w:r>
      <w:r w:rsidRPr="003E2C69">
        <w:t>IFN</w:t>
      </w:r>
      <w:r w:rsidRPr="003E2C69">
        <w:noBreakHyphen/>
        <w:t xml:space="preserve">α2b protein regulates expression of many genes involved in antiviral and antiproliferative activities and has been used in hepatitis and cancer treatments </w:t>
      </w:r>
      <w:r w:rsidRPr="003E2C69">
        <w:fldChar w:fldCharType="begin"/>
      </w:r>
      <w:r w:rsidR="005B0F2F" w:rsidRPr="003E2C69">
        <w:instrText xml:space="preserve"> ADDIN EN.CITE &lt;EndNote&gt;&lt;Cite&gt;&lt;Author&gt;Asmana Ningrum&lt;/Author&gt;&lt;Year&gt;2014&lt;/Year&gt;&lt;RecNum&gt;21&lt;/RecNum&gt;&lt;DisplayText&gt;(Asmana Ningrum, 2014)&lt;/DisplayText&gt;&lt;record&gt;&lt;rec-number&gt;21&lt;/rec-number&gt;&lt;foreign-keys&gt;&lt;key app="EN" db-id="dpase2e2oz5rwce9azspp95nf9xvswxp2rvd" timestamp="1765243663"&gt;21&lt;/key&gt;&lt;/foreign-keys&gt;&lt;ref-type name="Journal Article"&gt;17&lt;/ref-type&gt;&lt;contributors&gt;&lt;authors&gt;&lt;author&gt;Asmana Ningrum, Ratih&lt;/author&gt;&lt;/authors&gt;&lt;/contributors&gt;&lt;titles&gt;&lt;title&gt;Human interferon alpha-2b: a therapeutic protein for cancer treatment&lt;/title&gt;&lt;secondary-title&gt;Scientifica&lt;/secondary-title&gt;&lt;/titles&gt;&lt;periodical&gt;&lt;full-title&gt;Scientifica&lt;/full-title&gt;&lt;/periodical&gt;&lt;pages&gt;970315&lt;/pages&gt;&lt;volume&gt;2014&lt;/volume&gt;&lt;number&gt;1&lt;/number&gt;&lt;dates&gt;&lt;year&gt;2014&lt;/year&gt;&lt;/dates&gt;&lt;isbn&gt;2090-908X&lt;/isbn&gt;&lt;urls&gt;&lt;related-urls&gt;&lt;url&gt;https://onlinelibrary.wiley.com/doi/abs/10.1155/2014/970315&lt;/url&gt;&lt;/related-urls&gt;&lt;/urls&gt;&lt;electronic-resource-num&gt;https://doi.org/10.1155/2014/970315&lt;/electronic-resource-num&gt;&lt;/record&gt;&lt;/Cite&gt;&lt;/EndNote&gt;</w:instrText>
      </w:r>
      <w:r w:rsidRPr="003E2C69">
        <w:fldChar w:fldCharType="separate"/>
      </w:r>
      <w:r w:rsidRPr="003E2C69">
        <w:rPr>
          <w:noProof/>
        </w:rPr>
        <w:t>(</w:t>
      </w:r>
      <w:hyperlink w:anchor="_ENREF_7" w:tooltip="Asmana Ningrum, 2014 #21" w:history="1">
        <w:r w:rsidR="0027195B" w:rsidRPr="003E2C69">
          <w:rPr>
            <w:noProof/>
          </w:rPr>
          <w:t>Asmana Ningrum, 2014</w:t>
        </w:r>
      </w:hyperlink>
      <w:r w:rsidRPr="003E2C69">
        <w:rPr>
          <w:noProof/>
        </w:rPr>
        <w:t>)</w:t>
      </w:r>
      <w:r w:rsidRPr="003E2C69">
        <w:fldChar w:fldCharType="end"/>
      </w:r>
      <w:r w:rsidRPr="003E2C69">
        <w:t xml:space="preserve">. It also plays a role in mediating an immune response and is involved in antigen recognition and processing, leading to T-cell, natural killer and dendritic cell activation (Martini et al., 2023). Therefore, the actions of the GM therapeutic are multi-fold and include direct cytotoxicity on cancer cells, antiangiogenic effects, increased tumour cell immunogenicity and activation of key immune cells </w:t>
      </w:r>
      <w:r w:rsidRPr="003E2C69">
        <w:fldChar w:fldCharType="begin"/>
      </w:r>
      <w:r w:rsidR="005B0F2F" w:rsidRPr="003E2C69">
        <w:instrText xml:space="preserve"> ADDIN EN.CITE &lt;EndNote&gt;&lt;Cite&gt;&lt;Author&gt;Konety&lt;/Author&gt;&lt;Year&gt;2024&lt;/Year&gt;&lt;RecNum&gt;4&lt;/RecNum&gt;&lt;DisplayText&gt;(Konety et al., 2024)&lt;/DisplayText&gt;&lt;record&gt;&lt;rec-number&gt;4&lt;/rec-number&gt;&lt;foreign-keys&gt;&lt;key app="EN" db-id="dpase2e2oz5rwce9azspp95nf9xvswxp2rvd" timestamp="1765243611"&gt;4&lt;/key&gt;&lt;/foreign-keys&gt;&lt;ref-type name="Journal Article"&gt;17&lt;/ref-type&gt;&lt;contributors&gt;&lt;authors&gt;&lt;author&gt;Konety, Badrinath R.&lt;/author&gt;&lt;author&gt;Shore, Neal D.&lt;/author&gt;&lt;author&gt;Sant, Grannum R.&lt;/author&gt;&lt;/authors&gt;&lt;/contributors&gt;&lt;titles&gt;&lt;title&gt;Clinical use of nadofaragene firadenovec-vncg&lt;/title&gt;&lt;secondary-title&gt;Therapeutic Advances in Urology&lt;/secondary-title&gt;&lt;/titles&gt;&lt;periodical&gt;&lt;full-title&gt;Therapeutic Advances in Urology&lt;/full-title&gt;&lt;/periodical&gt;&lt;pages&gt;17562872241280005&lt;/pages&gt;&lt;volume&gt;16&lt;/volume&gt;&lt;keywords&gt;&lt;keyword&gt;BCG unresponsive bladder cancer, bladder cancer, gene therapy&lt;/keyword&gt;&lt;/keywords&gt;&lt;dates&gt;&lt;year&gt;2024&lt;/year&gt;&lt;/dates&gt;&lt;urls&gt;&lt;related-urls&gt;&lt;url&gt;https://journals.sagepub.com/doi/abs/10.1177/17562872241280005&lt;/url&gt;&lt;/related-urls&gt;&lt;/urls&gt;&lt;electronic-resource-num&gt;10.1177/17562872241280005&lt;/electronic-resource-num&gt;&lt;/record&gt;&lt;/Cite&gt;&lt;/EndNote&gt;</w:instrText>
      </w:r>
      <w:r w:rsidRPr="003E2C69">
        <w:fldChar w:fldCharType="separate"/>
      </w:r>
      <w:r w:rsidRPr="003E2C69">
        <w:rPr>
          <w:noProof/>
        </w:rPr>
        <w:t>(</w:t>
      </w:r>
      <w:hyperlink w:anchor="_ENREF_46" w:tooltip="Konety, 2024 #4" w:history="1">
        <w:r w:rsidR="0027195B" w:rsidRPr="003E2C69">
          <w:rPr>
            <w:noProof/>
          </w:rPr>
          <w:t>Konety et al., 2024</w:t>
        </w:r>
      </w:hyperlink>
      <w:r w:rsidRPr="003E2C69">
        <w:rPr>
          <w:noProof/>
        </w:rPr>
        <w:t>)</w:t>
      </w:r>
      <w:r w:rsidRPr="003E2C69">
        <w:fldChar w:fldCharType="end"/>
      </w:r>
      <w:r w:rsidRPr="003E2C69">
        <w:t>.</w:t>
      </w:r>
    </w:p>
    <w:p w14:paraId="5BD27552" w14:textId="609B1E4B" w:rsidR="00865024" w:rsidRPr="003E2C69" w:rsidRDefault="00865024" w:rsidP="00865024">
      <w:pPr>
        <w:pStyle w:val="RARMPnumberedparagraphs"/>
      </w:pPr>
      <w:bookmarkStart w:id="197" w:name="_Hlk193446121"/>
      <w:r w:rsidRPr="003E2C69">
        <w:t xml:space="preserve">The </w:t>
      </w:r>
      <w:bookmarkStart w:id="198" w:name="_Hlk192175229"/>
      <w:proofErr w:type="spellStart"/>
      <w:r w:rsidRPr="003E2C69">
        <w:rPr>
          <w:i/>
          <w:iCs/>
        </w:rPr>
        <w:t>hIFN</w:t>
      </w:r>
      <w:proofErr w:type="spellEnd"/>
      <w:r w:rsidRPr="003E2C69">
        <w:rPr>
          <w:i/>
          <w:iCs/>
        </w:rPr>
        <w:t>-α2b</w:t>
      </w:r>
      <w:bookmarkEnd w:id="198"/>
      <w:r w:rsidRPr="003E2C69">
        <w:t xml:space="preserve"> gene expression is driven by a strong promoter and an associated enhancer sequence.</w:t>
      </w:r>
      <w:bookmarkEnd w:id="197"/>
      <w:r w:rsidRPr="003E2C69">
        <w:t xml:space="preserve"> Details of the IFN-α2b protein, the promoter and the enhancer have been declared CCI</w:t>
      </w:r>
      <w:r w:rsidR="001D54E8" w:rsidRPr="003E2C69">
        <w:t>.</w:t>
      </w:r>
      <w:r w:rsidR="0038490B">
        <w:t xml:space="preserve"> </w:t>
      </w:r>
      <w:r w:rsidR="0038490B" w:rsidRPr="0038490B">
        <w:t>Under section 185 of the Act, the CCI is made available to the prescribed experts and agencies that are consulted on the RARMP for this application.</w:t>
      </w:r>
    </w:p>
    <w:p w14:paraId="1C319E31" w14:textId="112F0402" w:rsidR="00737721" w:rsidRPr="003E2C69" w:rsidRDefault="00865024" w:rsidP="00737721">
      <w:pPr>
        <w:pStyle w:val="4RARMP"/>
      </w:pPr>
      <w:bookmarkStart w:id="199" w:name="_Ref216339301"/>
      <w:r w:rsidRPr="003E2C69">
        <w:t>Toxicity or adverse response associated with the genetic modifications</w:t>
      </w:r>
      <w:bookmarkEnd w:id="199"/>
    </w:p>
    <w:p w14:paraId="6412963A" w14:textId="1B6196F7" w:rsidR="00D9769B" w:rsidRPr="003E2C69" w:rsidRDefault="001D54E8" w:rsidP="00737721">
      <w:pPr>
        <w:pStyle w:val="RARMPnumberedparagraphs"/>
      </w:pPr>
      <w:r w:rsidRPr="003E2C69">
        <w:t xml:space="preserve">The GM therapeutic is a </w:t>
      </w:r>
      <w:r w:rsidR="00C65992">
        <w:t>GM</w:t>
      </w:r>
      <w:r w:rsidRPr="003E2C69">
        <w:t xml:space="preserve"> </w:t>
      </w:r>
      <w:proofErr w:type="spellStart"/>
      <w:r w:rsidRPr="003E2C69">
        <w:t>HAdV</w:t>
      </w:r>
      <w:proofErr w:type="spellEnd"/>
      <w:r w:rsidRPr="003E2C69">
        <w:t xml:space="preserve"> intended for use as a therapeutic for patients with high-grade BCG-unresponsive NMIBC. The GM therapeutic functions to increase anticancer activity via immunostimulatory, antiangiogenic and apoptotic effects </w:t>
      </w:r>
      <w:r w:rsidRPr="003E2C69">
        <w:fldChar w:fldCharType="begin"/>
      </w:r>
      <w:r w:rsidR="005B0F2F" w:rsidRPr="003E2C69">
        <w:instrText xml:space="preserve"> ADDIN EN.CITE &lt;EndNote&gt;&lt;Cite&gt;&lt;Author&gt;Lee&lt;/Author&gt;&lt;Year&gt;2023&lt;/Year&gt;&lt;RecNum&gt;47&lt;/RecNum&gt;&lt;DisplayText&gt;(Lee, 2023)&lt;/DisplayText&gt;&lt;record&gt;&lt;rec-number&gt;47&lt;/rec-number&gt;&lt;foreign-keys&gt;&lt;key app="EN" db-id="dpase2e2oz5rwce9azspp95nf9xvswxp2rvd" timestamp="1765243770"&gt;47&lt;/key&gt;&lt;/foreign-keys&gt;&lt;ref-type name="Journal Article"&gt;17&lt;/ref-type&gt;&lt;contributors&gt;&lt;authors&gt;&lt;author&gt;Lee, A.&lt;/author&gt;&lt;/authors&gt;&lt;/contributors&gt;&lt;auth-address&gt;Springer Nature, Mairangi Bay, Private Bag 65901, Auckland, 0754, New Zealand. dru@adis.com.&lt;/auth-address&gt;&lt;titles&gt;&lt;title&gt;Nadofaragene Firadenovec: First Approval&lt;/title&gt;&lt;secondary-title&gt;Drugs&lt;/secondary-title&gt;&lt;/titles&gt;&lt;periodical&gt;&lt;full-title&gt;Drugs&lt;/full-title&gt;&lt;/periodical&gt;&lt;pages&gt;353-357&lt;/pages&gt;&lt;volume&gt;83&lt;/volume&gt;&lt;number&gt;4&lt;/number&gt;&lt;edition&gt;2023/03/02&lt;/edition&gt;&lt;keywords&gt;&lt;keyword&gt;Adult&lt;/keyword&gt;&lt;keyword&gt;Humans&lt;/keyword&gt;&lt;keyword&gt;BCG Vaccine/therapeutic use&lt;/keyword&gt;&lt;keyword&gt;Adjuvants, Immunologic/therapeutic use&lt;/keyword&gt;&lt;keyword&gt;Administration, Intravesical&lt;/keyword&gt;&lt;keyword&gt;*Antineoplastic Agents/pharmacology/therapeutic use&lt;/keyword&gt;&lt;keyword&gt;*Urinary Bladder Neoplasms/drug therapy/genetics/pathology&lt;/keyword&gt;&lt;keyword&gt;Interferon-alpha/therapeutic use&lt;/keyword&gt;&lt;keyword&gt;Neoplasm Invasiveness&lt;/keyword&gt;&lt;keyword&gt;Neoplasm Recurrence, Local&lt;/keyword&gt;&lt;/keywords&gt;&lt;dates&gt;&lt;year&gt;2023&lt;/year&gt;&lt;pub-dates&gt;&lt;date&gt;Mar&lt;/date&gt;&lt;/pub-dates&gt;&lt;/dates&gt;&lt;isbn&gt;0012-6667 (Print)&amp;#xD;0012-6667&lt;/isbn&gt;&lt;accession-num&gt;36856952&lt;/accession-num&gt;&lt;urls&gt;&lt;/urls&gt;&lt;custom2&gt;PMC10239371 offered an opportunity to comment on the article. Changes resulting from any comments received were made by the authors on the basis of scientific completeness and accuracy. Arnold Lee is a salaried employee of Adis International Ltd/Springer Nature, and declares no relevant conflicts of interest. All authors contributed to the review and are responsible for the article content.&lt;/custom2&gt;&lt;electronic-resource-num&gt;10.1007/s40265-023-01846-z&lt;/electronic-resource-num&gt;&lt;remote-database-provider&gt;NLM&lt;/remote-database-provider&gt;&lt;language&gt;eng&lt;/language&gt;&lt;/record&gt;&lt;/Cite&gt;&lt;/EndNote&gt;</w:instrText>
      </w:r>
      <w:r w:rsidRPr="003E2C69">
        <w:fldChar w:fldCharType="separate"/>
      </w:r>
      <w:r w:rsidRPr="003E2C69">
        <w:rPr>
          <w:noProof/>
        </w:rPr>
        <w:t>(</w:t>
      </w:r>
      <w:hyperlink w:anchor="_ENREF_49" w:tooltip="Lee, 2023 #47" w:history="1">
        <w:r w:rsidR="0027195B" w:rsidRPr="003E2C69">
          <w:rPr>
            <w:noProof/>
          </w:rPr>
          <w:t>Lee, 2023</w:t>
        </w:r>
      </w:hyperlink>
      <w:r w:rsidRPr="003E2C69">
        <w:rPr>
          <w:noProof/>
        </w:rPr>
        <w:t>)</w:t>
      </w:r>
      <w:r w:rsidRPr="003E2C69">
        <w:fldChar w:fldCharType="end"/>
      </w:r>
      <w:r w:rsidRPr="003E2C69">
        <w:t>.</w:t>
      </w:r>
    </w:p>
    <w:p w14:paraId="346E474E" w14:textId="10DB8DF2" w:rsidR="001D54E8" w:rsidRPr="003E2C69" w:rsidRDefault="001D54E8" w:rsidP="001D54E8">
      <w:pPr>
        <w:pStyle w:val="RARMPnumberedparagraphs"/>
      </w:pPr>
      <w:r w:rsidRPr="003E2C69">
        <w:t xml:space="preserve">The GM therapeutic will produce the </w:t>
      </w:r>
      <w:bookmarkStart w:id="200" w:name="_Hlk194566520"/>
      <w:r w:rsidRPr="003E2C69">
        <w:t>IFN-α2b protein</w:t>
      </w:r>
      <w:bookmarkEnd w:id="200"/>
      <w:r w:rsidRPr="003E2C69">
        <w:t xml:space="preserve">, which has been used extensively in clinical applications for treatment of some viral infections and for treatment for various cancers </w:t>
      </w:r>
      <w:r w:rsidRPr="003E2C69">
        <w:fldChar w:fldCharType="begin"/>
      </w:r>
      <w:r w:rsidR="005B0F2F" w:rsidRPr="003E2C69">
        <w:instrText xml:space="preserve"> ADDIN EN.CITE &lt;EndNote&gt;&lt;Cite&gt;&lt;Author&gt;Xiong&lt;/Author&gt;&lt;Year&gt;2022&lt;/Year&gt;&lt;RecNum&gt;42&lt;/RecNum&gt;&lt;DisplayText&gt;(Xiong et al., 2022)&lt;/DisplayText&gt;&lt;record&gt;&lt;rec-number&gt;42&lt;/rec-number&gt;&lt;foreign-keys&gt;&lt;key app="EN" db-id="dpase2e2oz5rwce9azspp95nf9xvswxp2rvd" timestamp="1765243745"&gt;42&lt;/key&gt;&lt;/foreign-keys&gt;&lt;ref-type name="Journal Article"&gt;17&lt;/ref-type&gt;&lt;contributors&gt;&lt;authors&gt;&lt;author&gt;Xiong, Fei&lt;/author&gt;&lt;author&gt;Wang, Qi&lt;/author&gt;&lt;author&gt;Wu, Guan-hua&lt;/author&gt;&lt;author&gt;Liu, Wen-zheng&lt;/author&gt;&lt;author&gt;Wang, Bing&lt;/author&gt;&lt;author&gt;Chen, Yong-jun&lt;/author&gt;&lt;/authors&gt;&lt;/contributors&gt;&lt;titles&gt;&lt;title&gt;Direct and indirect effects of IFN-α2b in malignancy treatment: not only an archer but also an arrow&lt;/title&gt;&lt;secondary-title&gt;Biomarker Research&lt;/secondary-title&gt;&lt;/titles&gt;&lt;periodical&gt;&lt;full-title&gt;Biomarker Research&lt;/full-title&gt;&lt;/periodical&gt;&lt;pages&gt;69&lt;/pages&gt;&lt;volume&gt;10&lt;/volume&gt;&lt;number&gt;1&lt;/number&gt;&lt;dates&gt;&lt;year&gt;2022&lt;/year&gt;&lt;pub-dates&gt;&lt;date&gt;2022/09/14&lt;/date&gt;&lt;/pub-dates&gt;&lt;/dates&gt;&lt;isbn&gt;2050-7771&lt;/isbn&gt;&lt;urls&gt;&lt;related-urls&gt;&lt;url&gt;https://doi.org/10.1186/s40364-022-00415-y&lt;/url&gt;&lt;/related-urls&gt;&lt;/urls&gt;&lt;electronic-resource-num&gt;10.1186/s40364-022-00415-y&lt;/electronic-resource-num&gt;&lt;/record&gt;&lt;/Cite&gt;&lt;/EndNote&gt;</w:instrText>
      </w:r>
      <w:r w:rsidRPr="003E2C69">
        <w:fldChar w:fldCharType="separate"/>
      </w:r>
      <w:r w:rsidRPr="003E2C69">
        <w:rPr>
          <w:noProof/>
        </w:rPr>
        <w:t>(</w:t>
      </w:r>
      <w:hyperlink w:anchor="_ENREF_103" w:tooltip="Xiong, 2022 #42" w:history="1">
        <w:r w:rsidR="0027195B" w:rsidRPr="003E2C69">
          <w:rPr>
            <w:noProof/>
          </w:rPr>
          <w:t>Xiong et al., 2022</w:t>
        </w:r>
      </w:hyperlink>
      <w:r w:rsidRPr="003E2C69">
        <w:rPr>
          <w:noProof/>
        </w:rPr>
        <w:t>)</w:t>
      </w:r>
      <w:r w:rsidRPr="003E2C69">
        <w:fldChar w:fldCharType="end"/>
      </w:r>
      <w:r w:rsidRPr="003E2C69">
        <w:t xml:space="preserve">. In the past, treatments </w:t>
      </w:r>
      <w:r w:rsidR="002C3604">
        <w:t>involving administration of</w:t>
      </w:r>
      <w:r w:rsidR="002C3604" w:rsidRPr="003E2C69">
        <w:t xml:space="preserve"> </w:t>
      </w:r>
      <w:r w:rsidRPr="003E2C69">
        <w:t xml:space="preserve">the IFN-α2b protein have been </w:t>
      </w:r>
      <w:r w:rsidR="002C3604">
        <w:t xml:space="preserve">through </w:t>
      </w:r>
      <w:r w:rsidRPr="003E2C69">
        <w:t>intramuscular, subcutaneous, intralesional, or intravenous</w:t>
      </w:r>
      <w:r w:rsidR="002C3604">
        <w:t xml:space="preserve"> routes</w:t>
      </w:r>
      <w:r w:rsidRPr="003E2C69">
        <w:t xml:space="preserve">, but not intravesical instillation. The commercially available IFN-α2b protein, registered in the USA as INTRON A, has been used to treat patients with hepatitis B and C, and various virus-induced tumours. According to the </w:t>
      </w:r>
      <w:hyperlink r:id="rId32" w:history="1">
        <w:r w:rsidRPr="003E2C69">
          <w:rPr>
            <w:rStyle w:val="Hyperlink"/>
          </w:rPr>
          <w:t>Product Information for INTRON A</w:t>
        </w:r>
      </w:hyperlink>
      <w:r w:rsidRPr="003E2C69">
        <w:t xml:space="preserve">, most of the adverse reactions possibly related to </w:t>
      </w:r>
      <w:bookmarkStart w:id="201" w:name="_Hlk194572537"/>
      <w:r w:rsidRPr="003E2C69">
        <w:t>INTRON A</w:t>
      </w:r>
      <w:bookmarkEnd w:id="201"/>
      <w:r w:rsidRPr="003E2C69">
        <w:t xml:space="preserve"> therapy during clinical trials were mild to moderate in severity and were manageable. Some were transient and most diminished with continued therapy. The most frequently reported adverse reactions were “flu-like” symptoms, particularly fever, headache, chills, myalgia, and fatigue. In nonclinical studies included in the product information, mice, rats and cynomolgus monkeys have been used for repeat-dose toxicity testing of INTRON A. The doses for mice (0.1, 1.0 million international units [IU]/kg/day) injected for 9 days, rats (4, 20, 100 million IU/kg/day) injected for 3 months and cynomolgus monkeys (0.25, 0.75, 1.1, 2.5 million IU/kg/day) injected for 1 month revealed no evidence of toxicity. However, high doses (20 and 100 million IU/kg/day) injected daily for 3 months in cynomolgus monkeys </w:t>
      </w:r>
      <w:r w:rsidR="00926409">
        <w:t>resulted in</w:t>
      </w:r>
      <w:r w:rsidR="00926409" w:rsidRPr="003E2C69">
        <w:t xml:space="preserve"> </w:t>
      </w:r>
      <w:r w:rsidRPr="003E2C69">
        <w:t xml:space="preserve">toxicity and mortality. Due to the known species-specificity of interferon, the effects in animals are unlikely to be predictive of those in humans. </w:t>
      </w:r>
    </w:p>
    <w:p w14:paraId="05B240B9" w14:textId="77777777" w:rsidR="001D54E8" w:rsidRPr="003E2C69" w:rsidRDefault="001D54E8" w:rsidP="001D54E8">
      <w:pPr>
        <w:pStyle w:val="RARMPnumberedparagraphs"/>
      </w:pPr>
      <w:r w:rsidRPr="003E2C69">
        <w:t>According to information provided by the applicant, nonclinical studies of the GM therapeutic indicated that no unacceptable toxicities were seen in animals following intravesical administration of 5 × 10</w:t>
      </w:r>
      <w:r w:rsidRPr="003E2C69">
        <w:rPr>
          <w:vertAlign w:val="superscript"/>
        </w:rPr>
        <w:t>11</w:t>
      </w:r>
      <w:r w:rsidRPr="003E2C69">
        <w:t xml:space="preserve"> viral particles (</w:t>
      </w:r>
      <w:proofErr w:type="spellStart"/>
      <w:r w:rsidRPr="003E2C69">
        <w:t>vp</w:t>
      </w:r>
      <w:proofErr w:type="spellEnd"/>
      <w:r w:rsidRPr="003E2C69">
        <w:t>)/</w:t>
      </w:r>
      <w:proofErr w:type="spellStart"/>
      <w:r w:rsidRPr="003E2C69">
        <w:t>mL.</w:t>
      </w:r>
      <w:proofErr w:type="spellEnd"/>
      <w:r w:rsidRPr="003E2C69">
        <w:t xml:space="preserve"> The predominant safety finding following the intravesical administration of the GM therapeutic to monkeys was a reversible exacerbation of local irritation produced by the dosing procedure.</w:t>
      </w:r>
    </w:p>
    <w:p w14:paraId="23B0367D" w14:textId="4BAC3174" w:rsidR="001D54E8" w:rsidRPr="003E2C69" w:rsidRDefault="001D54E8" w:rsidP="001D54E8">
      <w:pPr>
        <w:pStyle w:val="RARMPnumberedparagraphs"/>
      </w:pPr>
      <w:r w:rsidRPr="003E2C69">
        <w:t xml:space="preserve">The GM therapeutic was tested for adverse effects in cynomolgus monkeys following intravesical administration targeting the urothelium to treat urinary bladder cancer </w:t>
      </w:r>
      <w:r w:rsidRPr="003E2C69">
        <w:fldChar w:fldCharType="begin"/>
      </w:r>
      <w:r w:rsidRPr="003E2C69">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Pr="003E2C69">
        <w:fldChar w:fldCharType="separate"/>
      </w:r>
      <w:r w:rsidRPr="003E2C69">
        <w:t>(</w:t>
      </w:r>
      <w:hyperlink w:anchor="_ENREF_97" w:tooltip="Veneziale, 2011 #7132" w:history="1">
        <w:r w:rsidR="0027195B" w:rsidRPr="003E2C69">
          <w:t>Veneziale et al., 2011</w:t>
        </w:r>
      </w:hyperlink>
      <w:r w:rsidRPr="003E2C69">
        <w:t>)</w:t>
      </w:r>
      <w:r w:rsidRPr="003E2C69">
        <w:fldChar w:fldCharType="end"/>
      </w:r>
      <w:r w:rsidRPr="003E2C69">
        <w:t>. Animals were repeat</w:t>
      </w:r>
      <w:r w:rsidR="003D198E">
        <w:t>edly</w:t>
      </w:r>
      <w:r w:rsidRPr="003E2C69">
        <w:t xml:space="preserve"> dosed with an interval of 90 days with either 2.5 x 10</w:t>
      </w:r>
      <w:r w:rsidRPr="003E2C69">
        <w:rPr>
          <w:vertAlign w:val="superscript"/>
        </w:rPr>
        <w:t>11</w:t>
      </w:r>
      <w:r w:rsidRPr="003E2C69">
        <w:t xml:space="preserve"> </w:t>
      </w:r>
      <w:proofErr w:type="spellStart"/>
      <w:r w:rsidRPr="003E2C69">
        <w:t>vp</w:t>
      </w:r>
      <w:proofErr w:type="spellEnd"/>
      <w:r w:rsidRPr="003E2C69">
        <w:t xml:space="preserve"> or 1.25 x 10</w:t>
      </w:r>
      <w:r w:rsidRPr="003E2C69">
        <w:rPr>
          <w:vertAlign w:val="superscript"/>
        </w:rPr>
        <w:t>13</w:t>
      </w:r>
      <w:r w:rsidRPr="003E2C69">
        <w:t> </w:t>
      </w:r>
      <w:proofErr w:type="spellStart"/>
      <w:r w:rsidRPr="003E2C69">
        <w:t>vp</w:t>
      </w:r>
      <w:proofErr w:type="spellEnd"/>
      <w:r w:rsidRPr="003E2C69">
        <w:t>. Adverse events, such as inflammation and ulceration of the bladder and irritation in the ureters, urethra and kidneys</w:t>
      </w:r>
      <w:r w:rsidR="00C65992">
        <w:t>,</w:t>
      </w:r>
      <w:r w:rsidRPr="003E2C69">
        <w:t xml:space="preserve"> were observed which resolved within 2 months after re-dosing.</w:t>
      </w:r>
    </w:p>
    <w:p w14:paraId="2E9C4574" w14:textId="63CA939D" w:rsidR="00A63D42" w:rsidRPr="003E2C69" w:rsidRDefault="00A63D42" w:rsidP="00A63D42">
      <w:pPr>
        <w:pStyle w:val="3RARMP"/>
      </w:pPr>
      <w:bookmarkStart w:id="202" w:name="_Ref191179873"/>
      <w:bookmarkStart w:id="203" w:name="_Ref191179862"/>
      <w:bookmarkStart w:id="204" w:name="_Ref191179846"/>
      <w:bookmarkStart w:id="205" w:name="_Toc291151810"/>
      <w:bookmarkStart w:id="206" w:name="_Toc309054010"/>
      <w:bookmarkStart w:id="207" w:name="_Toc309833702"/>
      <w:bookmarkStart w:id="208" w:name="_Toc311188364"/>
      <w:bookmarkStart w:id="209" w:name="_Toc377743566"/>
      <w:bookmarkStart w:id="210" w:name="_Toc47536752"/>
      <w:bookmarkStart w:id="211" w:name="_Ref67302050"/>
      <w:bookmarkStart w:id="212" w:name="_Ref67302090"/>
      <w:bookmarkStart w:id="213" w:name="_Toc226975008"/>
      <w:bookmarkStart w:id="214" w:name="_Ref191289522"/>
      <w:bookmarkStart w:id="215" w:name="_Ref191289538"/>
      <w:bookmarkStart w:id="216" w:name="_Ref187133049"/>
      <w:bookmarkStart w:id="217" w:name="_Toc169061700"/>
      <w:bookmarkEnd w:id="193"/>
      <w:r w:rsidRPr="003E2C69">
        <w:t xml:space="preserve">Characterisation of the </w:t>
      </w:r>
      <w:bookmarkEnd w:id="202"/>
      <w:bookmarkEnd w:id="203"/>
      <w:bookmarkEnd w:id="204"/>
      <w:bookmarkEnd w:id="205"/>
      <w:bookmarkEnd w:id="206"/>
      <w:bookmarkEnd w:id="207"/>
      <w:bookmarkEnd w:id="208"/>
      <w:r w:rsidR="00D14BDE" w:rsidRPr="003E2C69">
        <w:t>GM</w:t>
      </w:r>
      <w:bookmarkEnd w:id="209"/>
      <w:bookmarkEnd w:id="210"/>
      <w:r w:rsidR="00970831" w:rsidRPr="003E2C69">
        <w:t>O</w:t>
      </w:r>
      <w:bookmarkEnd w:id="211"/>
      <w:bookmarkEnd w:id="212"/>
      <w:bookmarkEnd w:id="213"/>
    </w:p>
    <w:p w14:paraId="5CB45D5B" w14:textId="59E02C5F" w:rsidR="00A36F49" w:rsidRPr="003E2C69" w:rsidRDefault="00107127" w:rsidP="00261FAD">
      <w:pPr>
        <w:pStyle w:val="RARMPnumberedparagraphs"/>
        <w:rPr>
          <w:rFonts w:cs="Calibri"/>
          <w:szCs w:val="22"/>
        </w:rPr>
      </w:pPr>
      <w:r w:rsidRPr="003E2C69">
        <w:rPr>
          <w:rFonts w:cs="Calibri"/>
          <w:szCs w:val="22"/>
        </w:rPr>
        <w:t>The GMO is engineered on the HAdV-C5 backbone except for the introduced transgene, thus the cell-host recognition in the GMO relies on the same mechanism as the wild-type HAdV-C5 and depends on the recognition of CAR</w:t>
      </w:r>
      <w:r w:rsidR="003D198E">
        <w:rPr>
          <w:rFonts w:cs="Calibri"/>
          <w:szCs w:val="22"/>
        </w:rPr>
        <w:t xml:space="preserve"> for cell transduction,</w:t>
      </w:r>
      <w:r w:rsidRPr="003E2C69">
        <w:rPr>
          <w:rFonts w:cs="Calibri"/>
          <w:szCs w:val="22"/>
        </w:rPr>
        <w:t xml:space="preserve"> which are highly expressed on the surface of cancer cells</w:t>
      </w:r>
      <w:r w:rsidR="00261FAD" w:rsidRPr="003E2C69">
        <w:rPr>
          <w:rFonts w:cs="Calibri"/>
          <w:szCs w:val="22"/>
        </w:rPr>
        <w:t>.</w:t>
      </w:r>
    </w:p>
    <w:p w14:paraId="49F3ED65" w14:textId="05BA4C47" w:rsidR="00107127" w:rsidRPr="003E2C69" w:rsidRDefault="00107127" w:rsidP="00261FAD">
      <w:pPr>
        <w:pStyle w:val="RARMPnumberedparagraphs"/>
        <w:rPr>
          <w:rFonts w:cs="Calibri"/>
          <w:szCs w:val="22"/>
        </w:rPr>
      </w:pPr>
      <w:r w:rsidRPr="003E2C69">
        <w:rPr>
          <w:rFonts w:cs="Calibri"/>
          <w:szCs w:val="22"/>
        </w:rPr>
        <w:lastRenderedPageBreak/>
        <w:t>Data obtained from pre-clinical and clinical studies using the proposed GMO has been used to characterise the GMO.</w:t>
      </w:r>
    </w:p>
    <w:p w14:paraId="664A46BD" w14:textId="42A8DAF8" w:rsidR="005A3E53" w:rsidRPr="003E2C69" w:rsidRDefault="00A63D42" w:rsidP="00107127">
      <w:pPr>
        <w:pStyle w:val="4RARMP"/>
      </w:pPr>
      <w:bookmarkStart w:id="218" w:name="_Ref61526734"/>
      <w:r w:rsidRPr="003E2C69">
        <w:t>Genetic stability and molecular characterisation</w:t>
      </w:r>
      <w:bookmarkEnd w:id="218"/>
    </w:p>
    <w:p w14:paraId="35D85A27" w14:textId="77777777" w:rsidR="00107127" w:rsidRPr="003E2C69" w:rsidRDefault="00107127" w:rsidP="00107127">
      <w:pPr>
        <w:pStyle w:val="RARMPnumberedparagraphs"/>
      </w:pPr>
      <w:r w:rsidRPr="003E2C69">
        <w:t>Adenoviruses in general are genetically stable (</w:t>
      </w:r>
      <w:proofErr w:type="spellStart"/>
      <w:r w:rsidRPr="003E2C69">
        <w:t>Vujadinovic</w:t>
      </w:r>
      <w:proofErr w:type="spellEnd"/>
      <w:r w:rsidRPr="003E2C69">
        <w:t xml:space="preserve"> et al., 2018). As discussed in Section </w:t>
      </w:r>
      <w:r w:rsidRPr="003E2C69">
        <w:fldChar w:fldCharType="begin"/>
      </w:r>
      <w:r w:rsidRPr="003E2C69">
        <w:instrText xml:space="preserve"> REF _Ref142304030 \n \h  \* MERGEFORMAT </w:instrText>
      </w:r>
      <w:r w:rsidRPr="003E2C69">
        <w:fldChar w:fldCharType="separate"/>
      </w:r>
      <w:r w:rsidRPr="003E2C69">
        <w:t>4.1</w:t>
      </w:r>
      <w:r w:rsidRPr="003E2C69">
        <w:fldChar w:fldCharType="end"/>
      </w:r>
      <w:r w:rsidRPr="003E2C69">
        <w:t xml:space="preserve">, due to the possible formation of RCA in the GM therapeutic during the manufacturing process, </w:t>
      </w:r>
      <w:bookmarkStart w:id="219" w:name="_Hlk199345452"/>
      <w:r w:rsidRPr="003E2C69">
        <w:t>the level of RCA in the final GM therapeutic product needs to be controlled. The presence of RCA contaminants constitutes a risk of unintended viral spread and host inflammation response when the viral products are used clinically. Therefore, the GM therapeutic product during manufacturing will be monitored to ensure that the level of RCA in the batches for clinical use meets the safety limit specification</w:t>
      </w:r>
      <w:bookmarkEnd w:id="219"/>
      <w:r w:rsidRPr="003E2C69">
        <w:t>.</w:t>
      </w:r>
    </w:p>
    <w:p w14:paraId="48076847" w14:textId="1B53FD22" w:rsidR="00107127" w:rsidRPr="003E2C69" w:rsidRDefault="00107127" w:rsidP="00107127">
      <w:pPr>
        <w:pStyle w:val="RARMPnumberedparagraphs"/>
      </w:pPr>
      <w:bookmarkStart w:id="220" w:name="_Hlk199169084"/>
      <w:r w:rsidRPr="003E2C69">
        <w:t xml:space="preserve">Adenovirus vectors are </w:t>
      </w:r>
      <w:r w:rsidR="00BE408F">
        <w:t xml:space="preserve">considered to be </w:t>
      </w:r>
      <w:r w:rsidRPr="003E2C69">
        <w:t xml:space="preserve">non-integrating and do not have a tendency to integrate or reactivate in a host </w:t>
      </w:r>
      <w:r w:rsidRPr="003E2C69">
        <w:fldChar w:fldCharType="begin"/>
      </w:r>
      <w:r w:rsidRPr="003E2C69">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Pr="003E2C69">
        <w:fldChar w:fldCharType="separate"/>
      </w:r>
      <w:r w:rsidRPr="003E2C69">
        <w:t>(</w:t>
      </w:r>
      <w:hyperlink w:anchor="_ENREF_25" w:tooltip="EMEA, 2007 #123" w:history="1">
        <w:r w:rsidR="0027195B" w:rsidRPr="003E2C69">
          <w:t>EMEA, 2007</w:t>
        </w:r>
      </w:hyperlink>
      <w:r w:rsidRPr="003E2C69">
        <w:t xml:space="preserve">; </w:t>
      </w:r>
      <w:hyperlink w:anchor="_ENREF_27" w:tooltip="FDA, 2020 #124" w:history="1">
        <w:r w:rsidR="0027195B" w:rsidRPr="003E2C69">
          <w:t>FDA, 2020</w:t>
        </w:r>
      </w:hyperlink>
      <w:r w:rsidRPr="003E2C69">
        <w:t>)</w:t>
      </w:r>
      <w:r w:rsidRPr="003E2C69">
        <w:fldChar w:fldCharType="end"/>
      </w:r>
      <w:r w:rsidRPr="003E2C69">
        <w:t xml:space="preserve">. The viral DNA is maintained as multiple episomal copies in the infected nuclei. Some studies in cell lines and mice have suggested plausible integration of </w:t>
      </w:r>
      <w:proofErr w:type="spellStart"/>
      <w:r w:rsidRPr="003E2C69">
        <w:t>AdV</w:t>
      </w:r>
      <w:proofErr w:type="spellEnd"/>
      <w:r w:rsidRPr="003E2C69">
        <w:t xml:space="preserve"> vectors into host genomes at very low frequencies </w:t>
      </w:r>
      <w:r w:rsidRPr="003E2C69">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3E2C69">
        <w:instrText xml:space="preserve"> ADDIN EN.CITE </w:instrText>
      </w:r>
      <w:r w:rsidRPr="003E2C69">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3E2C69">
        <w:instrText xml:space="preserve"> ADDIN EN.CITE.DATA </w:instrText>
      </w:r>
      <w:r w:rsidRPr="003E2C69">
        <w:fldChar w:fldCharType="end"/>
      </w:r>
      <w:r w:rsidRPr="003E2C69">
        <w:fldChar w:fldCharType="separate"/>
      </w:r>
      <w:r w:rsidRPr="003E2C69">
        <w:t>(</w:t>
      </w:r>
      <w:hyperlink w:anchor="_ENREF_35" w:tooltip="Hillgenberg, 2001 #125" w:history="1">
        <w:r w:rsidR="0027195B" w:rsidRPr="003E2C69">
          <w:t>Hillgenberg et al., 2001</w:t>
        </w:r>
      </w:hyperlink>
      <w:r w:rsidRPr="003E2C69">
        <w:t xml:space="preserve">; </w:t>
      </w:r>
      <w:hyperlink w:anchor="_ENREF_89" w:tooltip="Stephen, 2010 #126" w:history="1">
        <w:r w:rsidR="0027195B" w:rsidRPr="003E2C69">
          <w:t>Stephen et al., 2010</w:t>
        </w:r>
      </w:hyperlink>
      <w:r w:rsidRPr="003E2C69">
        <w:t>)</w:t>
      </w:r>
      <w:r w:rsidRPr="003E2C69">
        <w:fldChar w:fldCharType="end"/>
      </w:r>
      <w:r w:rsidRPr="003E2C69">
        <w:t xml:space="preserve">. However, a search of the scientific literature did not find any clinical or human studies that showed integration of an </w:t>
      </w:r>
      <w:proofErr w:type="spellStart"/>
      <w:r w:rsidRPr="003E2C69">
        <w:t>AdV</w:t>
      </w:r>
      <w:proofErr w:type="spellEnd"/>
      <w:r w:rsidRPr="003E2C69">
        <w:t xml:space="preserve"> vector into the host genome</w:t>
      </w:r>
      <w:bookmarkEnd w:id="220"/>
      <w:r w:rsidRPr="003E2C69">
        <w:t>.</w:t>
      </w:r>
    </w:p>
    <w:p w14:paraId="6DAB8599" w14:textId="1182B440" w:rsidR="00107127" w:rsidRPr="003E2C69" w:rsidRDefault="00107127" w:rsidP="00107127">
      <w:pPr>
        <w:pStyle w:val="RARMPnumberedparagraphs"/>
        <w:rPr>
          <w:rFonts w:cs="Calibri"/>
          <w:szCs w:val="22"/>
        </w:rPr>
      </w:pPr>
      <w:r w:rsidRPr="003E2C69">
        <w:t>The entire vector genome of this GM therapeutic has been sequenced and aligns with the HAdV-C5 genome except for the intended modifications.</w:t>
      </w:r>
    </w:p>
    <w:p w14:paraId="263C8683" w14:textId="77777777" w:rsidR="002871F7" w:rsidRPr="003E2C69" w:rsidRDefault="002871F7" w:rsidP="00321D13">
      <w:pPr>
        <w:pStyle w:val="4RARMP"/>
      </w:pPr>
      <w:bookmarkStart w:id="221" w:name="_Ref67488930"/>
      <w:r w:rsidRPr="003E2C69">
        <w:t>Stability in the environment and decontamination</w:t>
      </w:r>
      <w:bookmarkEnd w:id="221"/>
    </w:p>
    <w:p w14:paraId="219379A4" w14:textId="5CCBA4E7" w:rsidR="002871F7" w:rsidRPr="003E2C69" w:rsidRDefault="002871F7" w:rsidP="0099407F">
      <w:pPr>
        <w:pStyle w:val="RARMPnumberedparagraphs"/>
        <w:rPr>
          <w:b/>
        </w:rPr>
      </w:pPr>
      <w:r w:rsidRPr="003E2C69">
        <w:rPr>
          <w:rFonts w:cs="Calibri"/>
        </w:rPr>
        <w:t xml:space="preserve">The stability of this GMO in the environment (surfaces, water types and sediments) has not been tested. </w:t>
      </w:r>
      <w:r w:rsidRPr="003E2C69">
        <w:t>Methods of decontamination effective against the parent organism, HAdV-C</w:t>
      </w:r>
      <w:r w:rsidR="00107127" w:rsidRPr="003E2C69">
        <w:t>5</w:t>
      </w:r>
      <w:r w:rsidRPr="003E2C69">
        <w:t xml:space="preserve">, are expected to be equally effective against the GMO (see </w:t>
      </w:r>
      <w:r w:rsidRPr="003E2C69">
        <w:fldChar w:fldCharType="begin"/>
      </w:r>
      <w:r w:rsidRPr="003E2C69">
        <w:instrText xml:space="preserve"> REF _Ref57107833 \n \h </w:instrText>
      </w:r>
      <w:r w:rsidRPr="003E2C69">
        <w:fldChar w:fldCharType="separate"/>
      </w:r>
      <w:r w:rsidR="001E7664" w:rsidRPr="003E2C69">
        <w:t>Chapter 1</w:t>
      </w:r>
      <w:r w:rsidRPr="003E2C69">
        <w:fldChar w:fldCharType="end"/>
      </w:r>
      <w:r w:rsidRPr="003E2C69">
        <w:t>, Section</w:t>
      </w:r>
      <w:r w:rsidR="00285402" w:rsidRPr="003E2C69">
        <w:t xml:space="preserve"> </w:t>
      </w:r>
      <w:r w:rsidR="00285402" w:rsidRPr="003E2C69">
        <w:rPr>
          <w:highlight w:val="yellow"/>
        </w:rPr>
        <w:fldChar w:fldCharType="begin"/>
      </w:r>
      <w:r w:rsidR="00285402" w:rsidRPr="003E2C69">
        <w:instrText xml:space="preserve"> REF _Ref57107869 \n \h </w:instrText>
      </w:r>
      <w:r w:rsidR="00285402" w:rsidRPr="003E2C69">
        <w:rPr>
          <w:highlight w:val="yellow"/>
        </w:rPr>
      </w:r>
      <w:r w:rsidR="00285402" w:rsidRPr="003E2C69">
        <w:rPr>
          <w:highlight w:val="yellow"/>
        </w:rPr>
        <w:fldChar w:fldCharType="separate"/>
      </w:r>
      <w:r w:rsidR="00285402" w:rsidRPr="003E2C69">
        <w:t>3.5.4</w:t>
      </w:r>
      <w:r w:rsidR="00285402" w:rsidRPr="003E2C69">
        <w:rPr>
          <w:highlight w:val="yellow"/>
        </w:rPr>
        <w:fldChar w:fldCharType="end"/>
      </w:r>
      <w:r w:rsidRPr="003E2C69">
        <w:t>).</w:t>
      </w:r>
    </w:p>
    <w:p w14:paraId="33A5A53C" w14:textId="7F651A88" w:rsidR="00226C07" w:rsidRPr="003E2C69" w:rsidRDefault="002E27F4" w:rsidP="00321D13">
      <w:pPr>
        <w:pStyle w:val="4RARMP"/>
      </w:pPr>
      <w:bookmarkStart w:id="222" w:name="_Ref67475081"/>
      <w:bookmarkStart w:id="223" w:name="_Ref216280904"/>
      <w:r w:rsidRPr="003E2C69">
        <w:t xml:space="preserve">Pre-clinical studies using </w:t>
      </w:r>
      <w:r w:rsidR="0099407F" w:rsidRPr="003E2C69">
        <w:t>the GMO</w:t>
      </w:r>
      <w:bookmarkEnd w:id="222"/>
      <w:bookmarkEnd w:id="223"/>
    </w:p>
    <w:p w14:paraId="6C712E2B" w14:textId="1A00061E" w:rsidR="00107127" w:rsidRPr="003E2C69" w:rsidRDefault="00107127" w:rsidP="004A7E1C">
      <w:pPr>
        <w:pStyle w:val="RARMPnumberedparagraphs"/>
        <w:rPr>
          <w:rFonts w:eastAsiaTheme="minorHAnsi"/>
          <w:szCs w:val="22"/>
        </w:rPr>
      </w:pPr>
      <w:r w:rsidRPr="003E2C69">
        <w:rPr>
          <w:rFonts w:eastAsiaTheme="minorHAnsi"/>
          <w:szCs w:val="22"/>
        </w:rPr>
        <w:t>The GM therapeutic has been evaluated in pre</w:t>
      </w:r>
      <w:r w:rsidR="0075711B" w:rsidRPr="003E2C69">
        <w:rPr>
          <w:rFonts w:eastAsiaTheme="minorHAnsi"/>
          <w:szCs w:val="22"/>
        </w:rPr>
        <w:t>-</w:t>
      </w:r>
      <w:r w:rsidRPr="003E2C69">
        <w:rPr>
          <w:rFonts w:eastAsiaTheme="minorHAnsi"/>
          <w:szCs w:val="22"/>
        </w:rPr>
        <w:t xml:space="preserve">clinical studies </w:t>
      </w:r>
      <w:r w:rsidRPr="003E2C69">
        <w:rPr>
          <w:rFonts w:eastAsiaTheme="minorHAnsi"/>
          <w:i/>
          <w:iCs/>
          <w:szCs w:val="22"/>
        </w:rPr>
        <w:t>in vitro</w:t>
      </w:r>
      <w:r w:rsidRPr="003E2C69">
        <w:rPr>
          <w:rFonts w:eastAsiaTheme="minorHAnsi"/>
          <w:szCs w:val="22"/>
        </w:rPr>
        <w:t xml:space="preserve"> using cancer cell lines and </w:t>
      </w:r>
      <w:r w:rsidRPr="003E2C69">
        <w:rPr>
          <w:rFonts w:eastAsiaTheme="minorHAnsi"/>
          <w:i/>
          <w:iCs/>
          <w:szCs w:val="22"/>
        </w:rPr>
        <w:t xml:space="preserve">in vivo </w:t>
      </w:r>
      <w:r w:rsidRPr="003E2C69">
        <w:rPr>
          <w:rFonts w:eastAsiaTheme="minorHAnsi"/>
          <w:szCs w:val="22"/>
        </w:rPr>
        <w:t>in various animal models</w:t>
      </w:r>
      <w:r w:rsidR="00321079" w:rsidRPr="003E2C69">
        <w:rPr>
          <w:rFonts w:eastAsiaTheme="minorHAnsi"/>
          <w:szCs w:val="22"/>
        </w:rPr>
        <w:t>.</w:t>
      </w:r>
    </w:p>
    <w:p w14:paraId="111A7CDE" w14:textId="1519AAF9" w:rsidR="00107127" w:rsidRPr="003E2C69" w:rsidRDefault="00107127" w:rsidP="00107127">
      <w:pPr>
        <w:pStyle w:val="RARMPnumberedparagraphs"/>
      </w:pPr>
      <w:r w:rsidRPr="003E2C69">
        <w:rPr>
          <w:i/>
          <w:iCs/>
        </w:rPr>
        <w:t>In vitro</w:t>
      </w:r>
      <w:r w:rsidRPr="003E2C69">
        <w:t xml:space="preserve"> pharmacology data from several cancer cell lines, including urothelial cancer cell lines, has shown that transduction with the GMO produces biologically active IFN-α2b protein in a time and dose-dependent manner </w:t>
      </w:r>
      <w:r w:rsidRPr="003E2C69">
        <w:fldChar w:fldCharType="begin">
          <w:fldData xml:space="preserve">PEVuZE5vdGU+PENpdGU+PEF1dGhvcj5JcWJhbCBBaG1lZDwvQXV0aG9yPjxZZWFyPjIwMDE8L1ll
YXI+PFJlY051bT4xODwvUmVjTnVtPjxEaXNwbGF5VGV4dD4oQWRhbSBldCBhbC4sIDIwMDc7IEJl
bmVkaWN0IGV0IGFsLiwgMjAwNDsgSXFiYWwgQWhtZWQgZXQgYWwuLCAyMDAxKTwvRGlzcGxheVRl
eHQ+PHJlY29yZD48cmVjLW51bWJlcj4xODwvcmVjLW51bWJlcj48Zm9yZWlnbi1rZXlzPjxrZXkg
YXBwPSJFTiIgZGItaWQ9ImRwYXNlMmUyb3o1cndjZTlhenNwcDk1bmY5eHZzd3hwMnJ2ZCIgdGlt
ZXN0YW1wPSIxNzY1MjQzNjU0Ij4xODwva2V5PjwvZm9yZWlnbi1rZXlzPjxyZWYtdHlwZSBuYW1l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ZWFyPjxSZWNOdW0+MTc8L1JlY051bT48cmVjb3JkPjxyZWMtbnVtYmVyPjE3PC9yZWMtbnVtYmVy
Pjxmb3JlaWduLWtleXM+PGtleSBhcHA9IkVOIiBkYi1pZD0iZHBhc2UyZTJvejVyd2NlOWF6c3Bw
OTVuZjl4dnN3eHAycnZkIiB0aW1lc3RhbXA9IjE3NjUyNDM2NTIiPjE3PC9rZXk+PC9mb3JlaWdu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L0F1dGhvcj48WWVhcj4yMDA3PC9ZZWFyPjxSZWNOdW0+MTY8L1JlY051bT48cmVjb3JkPjxyZWMt
bnVtYmVyPjE2PC9yZWMtbnVtYmVyPjxmb3JlaWduLWtleXM+PGtleSBhcHA9IkVOIiBkYi1pZD0i
ZHBhc2UyZTJvejVyd2NlOWF6c3BwOTVuZjl4dnN3eHAycnZkIiB0aW1lc3RhbXA9IjE3NjUyNDM2
NDgiPjE2PC9rZXk+PC9mb3JlaWduLWtleXM+PHJlZi10eXBlIG5hbWU9IkpvdXJuYWwgQXJ0aWNs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5B0F2F" w:rsidRPr="003E2C69">
        <w:instrText xml:space="preserve"> ADDIN EN.CITE </w:instrText>
      </w:r>
      <w:r w:rsidR="005B0F2F" w:rsidRPr="003E2C69">
        <w:fldChar w:fldCharType="begin">
          <w:fldData xml:space="preserve">PEVuZE5vdGU+PENpdGU+PEF1dGhvcj5JcWJhbCBBaG1lZDwvQXV0aG9yPjxZZWFyPjIwMDE8L1ll
YXI+PFJlY051bT4xODwvUmVjTnVtPjxEaXNwbGF5VGV4dD4oQWRhbSBldCBhbC4sIDIwMDc7IEJl
bmVkaWN0IGV0IGFsLiwgMjAwNDsgSXFiYWwgQWhtZWQgZXQgYWwuLCAyMDAxKTwvRGlzcGxheVRl
eHQ+PHJlY29yZD48cmVjLW51bWJlcj4xODwvcmVjLW51bWJlcj48Zm9yZWlnbi1rZXlzPjxrZXkg
YXBwPSJFTiIgZGItaWQ9ImRwYXNlMmUyb3o1cndjZTlhenNwcDk1bmY5eHZzd3hwMnJ2ZCIgdGlt
ZXN0YW1wPSIxNzY1MjQzNjU0Ij4xODwva2V5PjwvZm9yZWlnbi1rZXlzPjxyZWYtdHlwZSBuYW1l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ZWFyPjxSZWNOdW0+MTc8L1JlY051bT48cmVjb3JkPjxyZWMtbnVtYmVyPjE3PC9yZWMtbnVtYmVy
Pjxmb3JlaWduLWtleXM+PGtleSBhcHA9IkVOIiBkYi1pZD0iZHBhc2UyZTJvejVyd2NlOWF6c3Bw
OTVuZjl4dnN3eHAycnZkIiB0aW1lc3RhbXA9IjE3NjUyNDM2NTIiPjE3PC9rZXk+PC9mb3JlaWdu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L0F1dGhvcj48WWVhcj4yMDA3PC9ZZWFyPjxSZWNOdW0+MTY8L1JlY051bT48cmVjb3JkPjxyZWMt
bnVtYmVyPjE2PC9yZWMtbnVtYmVyPjxmb3JlaWduLWtleXM+PGtleSBhcHA9IkVOIiBkYi1pZD0i
ZHBhc2UyZTJvejVyd2NlOWF6c3BwOTVuZjl4dnN3eHAycnZkIiB0aW1lc3RhbXA9IjE3NjUyNDM2
NDgiPjE2PC9rZXk+PC9mb3JlaWduLWtleXM+PHJlZi10eXBlIG5hbWU9IkpvdXJuYWwgQXJ0aWNs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3" w:tooltip="Adam, 2007 #16" w:history="1">
        <w:r w:rsidR="0027195B" w:rsidRPr="003E2C69">
          <w:rPr>
            <w:noProof/>
          </w:rPr>
          <w:t>Adam et al., 2007</w:t>
        </w:r>
      </w:hyperlink>
      <w:r w:rsidRPr="003E2C69">
        <w:rPr>
          <w:noProof/>
        </w:rPr>
        <w:t xml:space="preserve">; </w:t>
      </w:r>
      <w:hyperlink w:anchor="_ENREF_8" w:tooltip="Benedict, 2004 #17" w:history="1">
        <w:r w:rsidR="0027195B" w:rsidRPr="003E2C69">
          <w:rPr>
            <w:noProof/>
          </w:rPr>
          <w:t>Benedict et al., 2004</w:t>
        </w:r>
      </w:hyperlink>
      <w:r w:rsidRPr="003E2C69">
        <w:rPr>
          <w:noProof/>
        </w:rPr>
        <w:t xml:space="preserve">; </w:t>
      </w:r>
      <w:hyperlink w:anchor="_ENREF_40" w:tooltip="Iqbal Ahmed, 2001 #18" w:history="1">
        <w:r w:rsidR="0027195B" w:rsidRPr="003E2C69">
          <w:rPr>
            <w:noProof/>
          </w:rPr>
          <w:t>Iqbal Ahmed et al., 2001</w:t>
        </w:r>
      </w:hyperlink>
      <w:r w:rsidRPr="003E2C69">
        <w:rPr>
          <w:noProof/>
        </w:rPr>
        <w:t>)</w:t>
      </w:r>
      <w:r w:rsidRPr="003E2C69">
        <w:fldChar w:fldCharType="end"/>
      </w:r>
      <w:r w:rsidRPr="003E2C69">
        <w:t xml:space="preserve">. Treatment of a human liver cancer cell line with the GMO resulted in inhibition of cell growth and potent cellular toxicity, with an increase in caspase 3 induction and DNA fragmentation and resulted in apoptosis </w:t>
      </w:r>
      <w:r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 </w:instrText>
      </w:r>
      <w:r w:rsidR="005B0F2F"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8" w:tooltip="Benedict, 2004 #17" w:history="1">
        <w:r w:rsidR="0027195B" w:rsidRPr="003E2C69">
          <w:rPr>
            <w:noProof/>
          </w:rPr>
          <w:t>Benedict et al., 2004</w:t>
        </w:r>
      </w:hyperlink>
      <w:r w:rsidRPr="003E2C69">
        <w:rPr>
          <w:noProof/>
        </w:rPr>
        <w:t>)</w:t>
      </w:r>
      <w:r w:rsidRPr="003E2C69">
        <w:fldChar w:fldCharType="end"/>
      </w:r>
      <w:r w:rsidRPr="003E2C69">
        <w:t>.</w:t>
      </w:r>
    </w:p>
    <w:p w14:paraId="4034F8BC" w14:textId="4CA1567C" w:rsidR="00107127" w:rsidRPr="003E2C69" w:rsidRDefault="00107127" w:rsidP="00107127">
      <w:pPr>
        <w:pStyle w:val="RARMPnumberedparagraphs"/>
      </w:pPr>
      <w:r w:rsidRPr="003E2C69">
        <w:t xml:space="preserve">The anti-tumour efficacy of the GMO has been demonstrated in several animal species. Intra-tumoral or intravenous administration of the GMO was found to prolong survival and suppression of tumour growth was demonstrated in a dose dependent manner </w:t>
      </w:r>
      <w:r w:rsidRPr="003E2C69">
        <w:fldChar w:fldCharType="begin">
          <w:fldData xml:space="preserve">PEVuZE5vdGU+PENpdGU+PEF1dGhvcj5JcWJhbCBBaG1lZDwvQXV0aG9yPjxZZWFyPjIwMDE8L1ll
YXI+PFJlY051bT4xODwvUmVjTnVtPjxEaXNwbGF5VGV4dD4oSXFiYWwgQWhtZWQgZXQgYWwuLCAy
MDAxKTwvRGlzcGxheVRleHQ+PHJlY29yZD48cmVjLW51bWJlcj4xODwvcmVjLW51bWJlcj48Zm9y
ZWlnbi1rZXlzPjxrZXkgYXBwPSJFTiIgZGItaWQ9ImRwYXNlMmUyb3o1cndjZTlhenNwcDk1bmY5
eHZzd3hwMnJ2ZCIgdGltZXN0YW1wPSIxNzY1MjQzNjU0Ij4xODwva2V5PjwvZm9yZWlnbi1rZXlz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5B0F2F" w:rsidRPr="003E2C69">
        <w:instrText xml:space="preserve"> ADDIN EN.CITE </w:instrText>
      </w:r>
      <w:r w:rsidR="005B0F2F" w:rsidRPr="003E2C69">
        <w:fldChar w:fldCharType="begin">
          <w:fldData xml:space="preserve">PEVuZE5vdGU+PENpdGU+PEF1dGhvcj5JcWJhbCBBaG1lZDwvQXV0aG9yPjxZZWFyPjIwMDE8L1ll
YXI+PFJlY051bT4xODwvUmVjTnVtPjxEaXNwbGF5VGV4dD4oSXFiYWwgQWhtZWQgZXQgYWwuLCAy
MDAxKTwvRGlzcGxheVRleHQ+PHJlY29yZD48cmVjLW51bWJlcj4xODwvcmVjLW51bWJlcj48Zm9y
ZWlnbi1rZXlzPjxrZXkgYXBwPSJFTiIgZGItaWQ9ImRwYXNlMmUyb3o1cndjZTlhenNwcDk1bmY5
eHZzd3hwMnJ2ZCIgdGltZXN0YW1wPSIxNzY1MjQzNjU0Ij4xODwva2V5PjwvZm9yZWlnbi1rZXlz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40" w:tooltip="Iqbal Ahmed, 2001 #18" w:history="1">
        <w:r w:rsidR="0027195B" w:rsidRPr="003E2C69">
          <w:rPr>
            <w:noProof/>
          </w:rPr>
          <w:t>Iqbal Ahmed et al., 2001</w:t>
        </w:r>
      </w:hyperlink>
      <w:r w:rsidRPr="003E2C69">
        <w:rPr>
          <w:noProof/>
        </w:rPr>
        <w:t>)</w:t>
      </w:r>
      <w:r w:rsidRPr="003E2C69">
        <w:fldChar w:fldCharType="end"/>
      </w:r>
      <w:r w:rsidRPr="003E2C69">
        <w:t xml:space="preserve">. In a mouse orthotopic xenograft tumour model for NMIBC, high concentrations of IFN-α2b were expressed in bladders of mice following intravesical administration of the GMO formulated with the excipient Syn3 and bladder tumours significantly regressed </w:t>
      </w:r>
      <w:r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 </w:instrText>
      </w:r>
      <w:r w:rsidR="005B0F2F" w:rsidRPr="003E2C69">
        <w:fldChar w:fldCharType="begin">
          <w:fldData xml:space="preserve">PEVuZE5vdGU+PENpdGU+PEF1dGhvcj5CZW5lZGljdDwvQXV0aG9yPjxZZWFyPjIwMDQ8L1llYXI+
PFJlY051bT4xNzwvUmVjTnVtPjxEaXNwbGF5VGV4dD4oQmVuZWRpY3QgZXQgYWwuLCAyMDA0KTwv
RGlzcGxheVRleHQ+PHJlY29yZD48cmVjLW51bWJlcj4xNzwvcmVjLW51bWJlcj48Zm9yZWlnbi1r
ZXlzPjxrZXkgYXBwPSJFTiIgZGItaWQ9ImRwYXNlMmUyb3o1cndjZTlhenNwcDk1bmY5eHZzd3hw
MnJ2ZCIgdGltZXN0YW1wPSIxNzY1MjQzNjUyIj4xNzwva2V5PjwvZm9yZWlnbi1rZXlzPjxyZWYt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8" w:tooltip="Benedict, 2004 #17" w:history="1">
        <w:r w:rsidR="0027195B" w:rsidRPr="003E2C69">
          <w:rPr>
            <w:noProof/>
          </w:rPr>
          <w:t>Benedict et al., 2004</w:t>
        </w:r>
      </w:hyperlink>
      <w:r w:rsidRPr="003E2C69">
        <w:rPr>
          <w:noProof/>
        </w:rPr>
        <w:t>)</w:t>
      </w:r>
      <w:r w:rsidRPr="003E2C69">
        <w:fldChar w:fldCharType="end"/>
      </w:r>
      <w:r w:rsidRPr="003E2C69">
        <w:t xml:space="preserve">. Syn3 has been identified as an excipient that can increase </w:t>
      </w:r>
      <w:proofErr w:type="spellStart"/>
      <w:r w:rsidRPr="003E2C69">
        <w:t>AdV</w:t>
      </w:r>
      <w:proofErr w:type="spellEnd"/>
      <w:r w:rsidRPr="003E2C69">
        <w:t xml:space="preserve">-mediated gene transfer and expression in the bladder epithelium </w:t>
      </w:r>
      <w:r w:rsidRPr="003E2C69">
        <w:fldChar w:fldCharType="begin">
          <w:fldData xml:space="preserve">PEVuZE5vdGU+PENpdGU+PEF1dGhvcj5Db25ub3I8L0F1dGhvcj48WWVhcj4yMDAxPC9ZZWFyPjxS
ZWNOdW0+MTU8L1JlY051bT48RGlzcGxheVRleHQ+KENvbm5vciBldCBhbC4sIDIwMDEpPC9EaXNw
bGF5VGV4dD48cmVjb3JkPjxyZWMtbnVtYmVyPjE1PC9yZWMtbnVtYmVyPjxmb3JlaWduLWtleXM+
PGtleSBhcHA9IkVOIiBkYi1pZD0iZHBhc2UyZTJvejVyd2NlOWF6c3BwOTVuZjl4dnN3eHAycnZk
IiB0aW1lc3RhbXA9IjE3NjUyNDM2NDgiPjE1PC9rZXk+PC9mb3JlaWduLWtleXM+PHJlZi10eXBl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B0F2F" w:rsidRPr="003E2C69">
        <w:instrText xml:space="preserve"> ADDIN EN.CITE </w:instrText>
      </w:r>
      <w:r w:rsidR="005B0F2F" w:rsidRPr="003E2C69">
        <w:fldChar w:fldCharType="begin">
          <w:fldData xml:space="preserve">PEVuZE5vdGU+PENpdGU+PEF1dGhvcj5Db25ub3I8L0F1dGhvcj48WWVhcj4yMDAxPC9ZZWFyPjxS
ZWNOdW0+MTU8L1JlY051bT48RGlzcGxheVRleHQ+KENvbm5vciBldCBhbC4sIDIwMDEpPC9EaXNw
bGF5VGV4dD48cmVjb3JkPjxyZWMtbnVtYmVyPjE1PC9yZWMtbnVtYmVyPjxmb3JlaWduLWtleXM+
PGtleSBhcHA9IkVOIiBkYi1pZD0iZHBhc2UyZTJvejVyd2NlOWF6c3BwOTVuZjl4dnN3eHAycnZk
IiB0aW1lc3RhbXA9IjE3NjUyNDM2NDgiPjE1PC9rZXk+PC9mb3JlaWduLWtleXM+PHJlZi10eXBl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B0F2F" w:rsidRPr="003E2C69">
        <w:instrText xml:space="preserve"> ADDIN EN.CITE.DATA </w:instrText>
      </w:r>
      <w:r w:rsidR="005B0F2F" w:rsidRPr="003E2C69">
        <w:fldChar w:fldCharType="end"/>
      </w:r>
      <w:r w:rsidRPr="003E2C69">
        <w:fldChar w:fldCharType="separate"/>
      </w:r>
      <w:r w:rsidRPr="003E2C69">
        <w:rPr>
          <w:noProof/>
        </w:rPr>
        <w:t>(</w:t>
      </w:r>
      <w:hyperlink w:anchor="_ENREF_19" w:tooltip="Connor, 2001 #15" w:history="1">
        <w:r w:rsidR="0027195B" w:rsidRPr="003E2C69">
          <w:rPr>
            <w:noProof/>
          </w:rPr>
          <w:t>Connor et al., 2001</w:t>
        </w:r>
      </w:hyperlink>
      <w:r w:rsidRPr="003E2C69">
        <w:rPr>
          <w:noProof/>
        </w:rPr>
        <w:t>)</w:t>
      </w:r>
      <w:r w:rsidRPr="003E2C69">
        <w:fldChar w:fldCharType="end"/>
      </w:r>
      <w:r w:rsidRPr="003E2C69">
        <w:t>.</w:t>
      </w:r>
    </w:p>
    <w:p w14:paraId="4B3724F4" w14:textId="315573E9" w:rsidR="00107127" w:rsidRPr="003E2C69" w:rsidRDefault="00107127" w:rsidP="00107127">
      <w:pPr>
        <w:pStyle w:val="RARMPnumberedparagraphs"/>
      </w:pPr>
      <w:r w:rsidRPr="003E2C69">
        <w:t>According to information provided by the applicant, in a pilot study, cynomolgus monkeys following intravesical administration of 2.5 x 10</w:t>
      </w:r>
      <w:r w:rsidRPr="003E2C69">
        <w:rPr>
          <w:vertAlign w:val="superscript"/>
        </w:rPr>
        <w:t>13</w:t>
      </w:r>
      <w:r w:rsidRPr="003E2C69">
        <w:t xml:space="preserve"> </w:t>
      </w:r>
      <w:proofErr w:type="spellStart"/>
      <w:r w:rsidRPr="003E2C69">
        <w:t>vp</w:t>
      </w:r>
      <w:proofErr w:type="spellEnd"/>
      <w:r w:rsidRPr="003E2C69">
        <w:t xml:space="preserve"> GMO with Syn3 showed peak urinary IFN-α2b protein concentrations &gt;10,000 - 50,000 </w:t>
      </w:r>
      <w:proofErr w:type="spellStart"/>
      <w:r w:rsidRPr="003E2C69">
        <w:t>pg</w:t>
      </w:r>
      <w:proofErr w:type="spellEnd"/>
      <w:r w:rsidRPr="003E2C69">
        <w:t>/mL and concentrations remained above background levels for 14 days. IFN-α2b expression was mainly localised and confined to the bladder and urine. IFN-α2b expression was attenuated after re-dosing, possibly due to neutralising antibodies to the adenovirus and/or IFN</w:t>
      </w:r>
      <w:r w:rsidRPr="003E2C69">
        <w:noBreakHyphen/>
        <w:t xml:space="preserve">α2b protein. Similar results of attenuated IFN-α2b expression following re-dosing were also observed in the rat model </w:t>
      </w:r>
      <w:r w:rsidRPr="003E2C69">
        <w:fldChar w:fldCharType="begin"/>
      </w:r>
      <w:r w:rsidR="005B0F2F" w:rsidRPr="003E2C69">
        <w:instrText xml:space="preserve"> ADDIN EN.CITE &lt;EndNote&gt;&lt;Cite&gt;&lt;Author&gt;Connor&lt;/Author&gt;&lt;Year&gt;2005&lt;/Year&gt;&lt;RecNum&gt;34&lt;/RecNum&gt;&lt;DisplayText&gt;(Connor et al., 2005)&lt;/DisplayText&gt;&lt;record&gt;&lt;rec-number&gt;34&lt;/rec-number&gt;&lt;foreign-keys&gt;&lt;key app="EN" db-id="dpase2e2oz5rwce9azspp95nf9xvswxp2rvd" timestamp="1765243706"&gt;34&lt;/key&gt;&lt;/foreign-keys&gt;&lt;ref-type name="Journal Article"&gt;17&lt;/ref-type&gt;&lt;contributors&gt;&lt;authors&gt;&lt;author&gt;Connor, Robert J.&lt;/author&gt;&lt;author&gt;Anderson, Jennifer M.&lt;/author&gt;&lt;author&gt;Machemer, Todd&lt;/author&gt;&lt;author&gt;Maneval, Daniel C.&lt;/author&gt;&lt;author&gt;Engler, Heidrun&lt;/author&gt;&lt;/authors&gt;&lt;/contributors&gt;&lt;titles&gt;&lt;title&gt;Sustained intravesical interferon protein exposure is achieved using an adenoviral-mediated gene delivery system: A study in rats evaluating dosing regimens&lt;/title&gt;&lt;secondary-title&gt;Urology&lt;/secondary-title&gt;&lt;/titles&gt;&lt;periodical&gt;&lt;full-title&gt;Urology&lt;/full-title&gt;&lt;/periodical&gt;&lt;pages&gt;224-229&lt;/pages&gt;&lt;volume&gt;66&lt;/volume&gt;&lt;number&gt;1&lt;/number&gt;&lt;dates&gt;&lt;year&gt;2005&lt;/year&gt;&lt;pub-dates&gt;&lt;date&gt;2005/07/01/&lt;/date&gt;&lt;/pub-dates&gt;&lt;/dates&gt;&lt;isbn&gt;0090-4295&lt;/isbn&gt;&lt;urls&gt;&lt;related-urls&gt;&lt;url&gt;https://www.sciencedirect.com/science/article/pii/S0090429505002189&lt;/url&gt;&lt;/related-urls&gt;&lt;/urls&gt;&lt;electronic-resource-num&gt;https://doi.org/10.1016/j.urology.2005.02.015&lt;/electronic-resource-num&gt;&lt;/record&gt;&lt;/Cite&gt;&lt;/EndNote&gt;</w:instrText>
      </w:r>
      <w:r w:rsidRPr="003E2C69">
        <w:fldChar w:fldCharType="separate"/>
      </w:r>
      <w:r w:rsidRPr="003E2C69">
        <w:rPr>
          <w:noProof/>
        </w:rPr>
        <w:t>(</w:t>
      </w:r>
      <w:hyperlink w:anchor="_ENREF_18" w:tooltip="Connor, 2005 #34" w:history="1">
        <w:r w:rsidR="0027195B" w:rsidRPr="003E2C69">
          <w:rPr>
            <w:noProof/>
          </w:rPr>
          <w:t>Connor et al., 2005</w:t>
        </w:r>
      </w:hyperlink>
      <w:r w:rsidRPr="003E2C69">
        <w:rPr>
          <w:noProof/>
        </w:rPr>
        <w:t>)</w:t>
      </w:r>
      <w:r w:rsidRPr="003E2C69">
        <w:fldChar w:fldCharType="end"/>
      </w:r>
      <w:r w:rsidRPr="003E2C69">
        <w:t>.</w:t>
      </w:r>
    </w:p>
    <w:p w14:paraId="1D918A9F" w14:textId="0944EFC0" w:rsidR="00107127" w:rsidRPr="003E2C69" w:rsidRDefault="00107127" w:rsidP="00107127">
      <w:pPr>
        <w:pStyle w:val="RARMPnumberedparagraphs"/>
      </w:pPr>
      <w:r w:rsidRPr="003E2C69">
        <w:lastRenderedPageBreak/>
        <w:t>The systemic exposure of the GMO</w:t>
      </w:r>
      <w:r w:rsidR="006D3036">
        <w:t>,</w:t>
      </w:r>
      <w:r w:rsidRPr="003E2C69">
        <w:t xml:space="preserve"> as measured by copies of GMO</w:t>
      </w:r>
      <w:r w:rsidR="00EB1317">
        <w:t>-</w:t>
      </w:r>
      <w:r w:rsidRPr="003E2C69">
        <w:t>specific DNA/mL in blood and plasma in the different toxicology studies in monkey and rat</w:t>
      </w:r>
      <w:r w:rsidR="006D3036">
        <w:t>,</w:t>
      </w:r>
      <w:r w:rsidRPr="003E2C69">
        <w:t xml:space="preserve"> was low and close to the low level of quantification for all doses and for both species (Information provided by the applicant).</w:t>
      </w:r>
    </w:p>
    <w:p w14:paraId="737FB167" w14:textId="6A6C695B" w:rsidR="00107127" w:rsidRPr="003E2C69" w:rsidRDefault="002C3604" w:rsidP="00107127">
      <w:pPr>
        <w:pStyle w:val="RARMPnumberedparagraphs"/>
      </w:pPr>
      <w:r>
        <w:t>In a different study, b</w:t>
      </w:r>
      <w:r w:rsidR="00107127" w:rsidRPr="003E2C69">
        <w:t>iodistribution and shedding of the GMO were analysed in cynomolgus monkeys by real-time quantitative PCR (qPCR) assay following intravesical administration of the GMO with the doses of 2.5 x 10</w:t>
      </w:r>
      <w:r w:rsidR="00107127" w:rsidRPr="003E2C69">
        <w:rPr>
          <w:vertAlign w:val="superscript"/>
        </w:rPr>
        <w:t>11</w:t>
      </w:r>
      <w:r w:rsidR="00107127" w:rsidRPr="003E2C69">
        <w:t xml:space="preserve"> or 1.25 x 10</w:t>
      </w:r>
      <w:r w:rsidR="00107127" w:rsidRPr="003E2C69">
        <w:rPr>
          <w:vertAlign w:val="superscript"/>
        </w:rPr>
        <w:t>13</w:t>
      </w:r>
      <w:r w:rsidR="00107127" w:rsidRPr="003E2C69">
        <w:t xml:space="preserve"> </w:t>
      </w:r>
      <w:proofErr w:type="spellStart"/>
      <w:r w:rsidR="00107127" w:rsidRPr="003E2C69">
        <w:t>vp</w:t>
      </w:r>
      <w:proofErr w:type="spellEnd"/>
      <w:r w:rsidR="00107127" w:rsidRPr="003E2C69">
        <w:t xml:space="preserve"> </w:t>
      </w:r>
      <w:r w:rsidR="00107127" w:rsidRPr="003E2C69">
        <w:fldChar w:fldCharType="begin"/>
      </w:r>
      <w:r w:rsidR="00107127" w:rsidRPr="003E2C69">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00107127" w:rsidRPr="003E2C69">
        <w:fldChar w:fldCharType="separate"/>
      </w:r>
      <w:r w:rsidR="00107127" w:rsidRPr="003E2C69">
        <w:t>(</w:t>
      </w:r>
      <w:hyperlink w:anchor="_ENREF_97" w:tooltip="Veneziale, 2011 #7132" w:history="1">
        <w:r w:rsidR="0027195B" w:rsidRPr="003E2C69">
          <w:t>Veneziale et al., 2011</w:t>
        </w:r>
      </w:hyperlink>
      <w:r w:rsidR="00107127" w:rsidRPr="003E2C69">
        <w:t>)</w:t>
      </w:r>
      <w:r w:rsidR="00107127" w:rsidRPr="003E2C69">
        <w:fldChar w:fldCharType="end"/>
      </w:r>
      <w:r w:rsidR="00107127" w:rsidRPr="003E2C69">
        <w:t>. Urine, blood and tissue samples (liver, kidney, bladder and gonads) were collected at various time points from Day 1 to Day 148. Most urine samples tested positive for the GMO DNA-fragments that were amplified (GMO-specific DNA) in the first two days after each dose. On Day 15 and Day 105 (15 days post-second dose), urine from only one and two of the 32 monkeys tested positive, respectively. None of the urine samples tested positive on week 12, prior to the second dose. As expected, due to the route of administration, GMO-specific DNA was detected in bladder tissue on Day 8 post-first dose and Day 98 (8 days post-second dose) in both the low and high-dose group. In blood samples, GMO-specific DNA was detected at low levels in the low-dose group during the first 24 hours in a limited number of monkeys (2/16 post-first dose and 1/10 post-second dose). In the high</w:t>
      </w:r>
      <w:r w:rsidR="00107127" w:rsidRPr="003E2C69">
        <w:noBreakHyphen/>
        <w:t>dose group, two-thirds of the monkeys (11/16 for first dose and 7/10 for repeat dose) tested positive during the first 24 hours. Detection was below quantifiable levels in all monkeys for the remaining samples collected on Days 8, 15, 98 and 148. Low levels of GMO-specific DNA were detected in kidney (1/16 at Day 148) and liver (2/16 at Day 8) in the low dose group. For the high dose group, higher levels of GMO-specific DNA were detected in kidney (3/16 at Day 98) and liver (5/16 at Day 8). In the high dose group</w:t>
      </w:r>
      <w:r w:rsidR="00EB1317">
        <w:t>,</w:t>
      </w:r>
      <w:r w:rsidR="00107127" w:rsidRPr="003E2C69">
        <w:t xml:space="preserve"> GMO-specific DNA was also detected in gonads of one male and one female on Day 8. These monkeys also had the highest level of GMO-specific DNA in their blood samples. GMO-specific DNA was not detected in gonads beyond Day 8.</w:t>
      </w:r>
    </w:p>
    <w:p w14:paraId="3D9EC3F1" w14:textId="46D72864" w:rsidR="00321079" w:rsidRPr="003E2C69" w:rsidRDefault="00107127" w:rsidP="00107127">
      <w:pPr>
        <w:pStyle w:val="RARMPnumberedparagraphs"/>
        <w:rPr>
          <w:rFonts w:eastAsiaTheme="minorHAnsi"/>
          <w:szCs w:val="22"/>
        </w:rPr>
      </w:pPr>
      <w:r w:rsidRPr="003E2C69">
        <w:t>The applicant stated that the potential of the GMO for genotoxicity or carcinogenicity, or for toxicity to reproduction and development, has not been studied.</w:t>
      </w:r>
      <w:r w:rsidR="00321079" w:rsidRPr="003E2C69">
        <w:rPr>
          <w:rFonts w:eastAsiaTheme="minorHAnsi"/>
          <w:szCs w:val="22"/>
        </w:rPr>
        <w:t xml:space="preserve"> </w:t>
      </w:r>
    </w:p>
    <w:p w14:paraId="5F3F2E7F" w14:textId="42B72453" w:rsidR="00CD6818" w:rsidRPr="003E2C69" w:rsidRDefault="002871F7" w:rsidP="00321D13">
      <w:pPr>
        <w:pStyle w:val="4RARMP"/>
      </w:pPr>
      <w:bookmarkStart w:id="224" w:name="_Ref67300410"/>
      <w:bookmarkStart w:id="225" w:name="_Ref216702339"/>
      <w:r w:rsidRPr="003E2C69">
        <w:t xml:space="preserve">Clinical trials </w:t>
      </w:r>
      <w:bookmarkEnd w:id="224"/>
      <w:r w:rsidR="00180ABB" w:rsidRPr="003E2C69">
        <w:t>of the GMO</w:t>
      </w:r>
      <w:bookmarkEnd w:id="225"/>
    </w:p>
    <w:p w14:paraId="35045F4D" w14:textId="775B125E" w:rsidR="00773F63" w:rsidRPr="003E2C69" w:rsidRDefault="00180ABB" w:rsidP="00180ABB">
      <w:pPr>
        <w:pStyle w:val="RARMPnumberedparagraphs"/>
      </w:pPr>
      <w:r w:rsidRPr="003E2C69">
        <w:t xml:space="preserve">The GM therapeutic has been studied in 4 clinical trials from Phase 1 to 3 in the USA for intravesical recombinant </w:t>
      </w:r>
      <w:proofErr w:type="spellStart"/>
      <w:r w:rsidRPr="003E2C69">
        <w:t>AdV</w:t>
      </w:r>
      <w:proofErr w:type="spellEnd"/>
      <w:r w:rsidRPr="003E2C69">
        <w:t xml:space="preserve"> mediated IFN-α2b gene therapy formulated with Syn3 in patients with high-grade BCG-unresponsive NMIBC (Table 1)</w:t>
      </w:r>
      <w:r w:rsidR="00773F63" w:rsidRPr="003E2C69">
        <w:t xml:space="preserve">. </w:t>
      </w:r>
      <w:r w:rsidR="00803C6D" w:rsidRPr="003E2C69">
        <w:t xml:space="preserve"> </w:t>
      </w:r>
    </w:p>
    <w:p w14:paraId="59FD1490" w14:textId="77777777" w:rsidR="00180ABB" w:rsidRPr="003E2C69" w:rsidRDefault="00180ABB" w:rsidP="00180ABB">
      <w:pPr>
        <w:pStyle w:val="RARMPnumberedparagraphs"/>
        <w:numPr>
          <w:ilvl w:val="0"/>
          <w:numId w:val="0"/>
        </w:numPr>
        <w:rPr>
          <w:b/>
          <w:bCs/>
        </w:rPr>
      </w:pPr>
      <w:r w:rsidRPr="003E2C69">
        <w:rPr>
          <w:b/>
          <w:bCs/>
        </w:rPr>
        <w:t>Table 1. Summary of previous clinical trials using the GMO</w:t>
      </w:r>
    </w:p>
    <w:tbl>
      <w:tblPr>
        <w:tblStyle w:val="TableGrid"/>
        <w:tblW w:w="0" w:type="auto"/>
        <w:tblCellMar>
          <w:top w:w="57" w:type="dxa"/>
          <w:left w:w="57" w:type="dxa"/>
          <w:bottom w:w="57" w:type="dxa"/>
          <w:right w:w="57" w:type="dxa"/>
        </w:tblCellMar>
        <w:tblLook w:val="04A0" w:firstRow="1" w:lastRow="0" w:firstColumn="1" w:lastColumn="0" w:noHBand="0" w:noVBand="1"/>
        <w:tblCaption w:val="Summary of previous clinical trials using CG0070 GMO"/>
        <w:tblDescription w:val="This table describes previous clinical trials with the GMO. The column headings are Number, Study design, Number treated, Main adverse events and References."/>
      </w:tblPr>
      <w:tblGrid>
        <w:gridCol w:w="407"/>
        <w:gridCol w:w="2891"/>
        <w:gridCol w:w="764"/>
        <w:gridCol w:w="3685"/>
        <w:gridCol w:w="1316"/>
      </w:tblGrid>
      <w:tr w:rsidR="003E2C69" w:rsidRPr="003E2C69" w14:paraId="2905EFD8" w14:textId="77777777" w:rsidTr="0073540C">
        <w:trPr>
          <w:trHeight w:val="283"/>
          <w:tblHeader/>
        </w:trPr>
        <w:tc>
          <w:tcPr>
            <w:tcW w:w="0" w:type="auto"/>
            <w:shd w:val="clear" w:color="auto" w:fill="E6E6E6" w:themeFill="background1" w:themeFillShade="E6"/>
            <w:vAlign w:val="center"/>
          </w:tcPr>
          <w:p w14:paraId="5D0AD118"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No.</w:t>
            </w:r>
          </w:p>
        </w:tc>
        <w:tc>
          <w:tcPr>
            <w:tcW w:w="0" w:type="auto"/>
            <w:shd w:val="clear" w:color="auto" w:fill="E6E6E6" w:themeFill="background1" w:themeFillShade="E6"/>
            <w:vAlign w:val="center"/>
          </w:tcPr>
          <w:p w14:paraId="03047E6F"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Clinical study</w:t>
            </w:r>
          </w:p>
        </w:tc>
        <w:tc>
          <w:tcPr>
            <w:tcW w:w="0" w:type="auto"/>
            <w:shd w:val="clear" w:color="auto" w:fill="E6E6E6" w:themeFill="background1" w:themeFillShade="E6"/>
            <w:vAlign w:val="center"/>
          </w:tcPr>
          <w:p w14:paraId="5E730D56"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No. treated</w:t>
            </w:r>
          </w:p>
        </w:tc>
        <w:tc>
          <w:tcPr>
            <w:tcW w:w="0" w:type="auto"/>
            <w:shd w:val="clear" w:color="auto" w:fill="E6E6E6" w:themeFill="background1" w:themeFillShade="E6"/>
            <w:vAlign w:val="center"/>
          </w:tcPr>
          <w:p w14:paraId="7ED3921A"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Adverse events (AE)</w:t>
            </w:r>
            <w:r w:rsidRPr="003E2C69">
              <w:t>*</w:t>
            </w:r>
          </w:p>
        </w:tc>
        <w:tc>
          <w:tcPr>
            <w:tcW w:w="0" w:type="auto"/>
            <w:shd w:val="clear" w:color="auto" w:fill="E6E6E6" w:themeFill="background1" w:themeFillShade="E6"/>
            <w:vAlign w:val="center"/>
          </w:tcPr>
          <w:p w14:paraId="1598FBF0" w14:textId="77777777" w:rsidR="00180ABB" w:rsidRPr="003E2C69" w:rsidRDefault="00180ABB" w:rsidP="0073540C">
            <w:pPr>
              <w:jc w:val="center"/>
              <w:rPr>
                <w:rFonts w:asciiTheme="minorHAnsi" w:hAnsiTheme="minorHAnsi" w:cstheme="minorHAnsi"/>
                <w:b/>
                <w:sz w:val="20"/>
                <w:szCs w:val="20"/>
              </w:rPr>
            </w:pPr>
            <w:r w:rsidRPr="003E2C69">
              <w:rPr>
                <w:rFonts w:asciiTheme="minorHAnsi" w:hAnsiTheme="minorHAnsi" w:cstheme="minorHAnsi"/>
                <w:b/>
                <w:sz w:val="20"/>
                <w:szCs w:val="20"/>
              </w:rPr>
              <w:t>References</w:t>
            </w:r>
          </w:p>
        </w:tc>
      </w:tr>
      <w:tr w:rsidR="003E2C69" w:rsidRPr="003E2C69" w14:paraId="17E6AC5E" w14:textId="77777777" w:rsidTr="0073540C">
        <w:tc>
          <w:tcPr>
            <w:tcW w:w="0" w:type="auto"/>
            <w:vAlign w:val="center"/>
          </w:tcPr>
          <w:p w14:paraId="63CEFA26"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1</w:t>
            </w:r>
          </w:p>
        </w:tc>
        <w:tc>
          <w:tcPr>
            <w:tcW w:w="0" w:type="auto"/>
          </w:tcPr>
          <w:p w14:paraId="165F64FD"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 Phase 1 study of the safety and tolerability of intravesical administration of SCH 721015 in patients with transitional cell carcinoma of the bladder</w:t>
            </w:r>
          </w:p>
        </w:tc>
        <w:tc>
          <w:tcPr>
            <w:tcW w:w="0" w:type="auto"/>
          </w:tcPr>
          <w:p w14:paraId="64B207F0"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17</w:t>
            </w:r>
          </w:p>
        </w:tc>
        <w:tc>
          <w:tcPr>
            <w:tcW w:w="0" w:type="auto"/>
          </w:tcPr>
          <w:p w14:paraId="1CE76DB6"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All patients had at least one AE of grade 1 or 2. Common treatment-related AEs included micturition urgency (88%), headache (59%), fatigue (47%) and nausea (35%).</w:t>
            </w:r>
            <w:r w:rsidRPr="003E2C69">
              <w:rPr>
                <w:rFonts w:ascii="Times New Roman" w:hAnsi="Times New Roman"/>
                <w:sz w:val="20"/>
                <w:szCs w:val="20"/>
              </w:rPr>
              <w:t xml:space="preserve"> </w:t>
            </w:r>
            <w:r w:rsidRPr="003E2C69">
              <w:rPr>
                <w:rFonts w:asciiTheme="minorHAnsi" w:hAnsiTheme="minorHAnsi" w:cstheme="minorHAnsi"/>
                <w:sz w:val="20"/>
                <w:szCs w:val="20"/>
              </w:rPr>
              <w:t>No dose-limiting changes in laboratory parameters were reported, but transient decreases in total white blood cell counts, neutrophil counts, and lymphocyte counts were observed.</w:t>
            </w:r>
          </w:p>
        </w:tc>
        <w:tc>
          <w:tcPr>
            <w:tcW w:w="0" w:type="auto"/>
          </w:tcPr>
          <w:p w14:paraId="7568ABB1" w14:textId="77777777" w:rsidR="00180ABB" w:rsidRPr="003E2C69" w:rsidRDefault="00180ABB" w:rsidP="0073540C">
            <w:pPr>
              <w:spacing w:before="40" w:after="40"/>
              <w:rPr>
                <w:sz w:val="20"/>
                <w:szCs w:val="20"/>
              </w:rPr>
            </w:pPr>
            <w:hyperlink r:id="rId33" w:history="1">
              <w:r w:rsidRPr="003E2C69">
                <w:rPr>
                  <w:rStyle w:val="Hyperlink"/>
                  <w:rFonts w:asciiTheme="minorHAnsi" w:hAnsiTheme="minorHAnsi" w:cstheme="minorHAnsi"/>
                  <w:sz w:val="20"/>
                  <w:szCs w:val="20"/>
                </w:rPr>
                <w:t>NCT00536588</w:t>
              </w:r>
            </w:hyperlink>
          </w:p>
          <w:p w14:paraId="4B8F9791" w14:textId="77777777" w:rsidR="00180ABB" w:rsidRPr="003E2C69" w:rsidRDefault="00180ABB" w:rsidP="0073540C">
            <w:pPr>
              <w:spacing w:before="40" w:after="40"/>
              <w:rPr>
                <w:rStyle w:val="Hyperlink"/>
                <w:rFonts w:asciiTheme="minorHAnsi" w:hAnsiTheme="minorHAnsi" w:cstheme="minorHAnsi"/>
                <w:sz w:val="20"/>
                <w:szCs w:val="20"/>
              </w:rPr>
            </w:pPr>
          </w:p>
          <w:p w14:paraId="5EB66FAA" w14:textId="5081D9BD" w:rsidR="00180ABB" w:rsidRPr="003E2C69" w:rsidRDefault="00180ABB" w:rsidP="0073540C">
            <w:pPr>
              <w:spacing w:before="40" w:after="40"/>
              <w:rPr>
                <w:rStyle w:val="Hyperlink"/>
                <w:rFonts w:asciiTheme="minorHAnsi" w:hAnsiTheme="minorHAnsi" w:cstheme="minorHAnsi"/>
                <w:sz w:val="20"/>
                <w:szCs w:val="20"/>
                <w:u w:val="none"/>
              </w:rPr>
            </w:pPr>
            <w:r w:rsidRPr="003E2C69">
              <w:rPr>
                <w:rStyle w:val="Hyperlink"/>
                <w:rFonts w:asciiTheme="minorHAnsi" w:hAnsiTheme="minorHAnsi" w:cstheme="minorHAnsi"/>
                <w:sz w:val="20"/>
                <w:szCs w:val="20"/>
                <w:u w:val="none"/>
              </w:rPr>
              <w:fldChar w:fldCharType="begin">
                <w:fldData xml:space="preserve">PEVuZE5vdGU+PENpdGU+PEF1dGhvcj5EaW5uZXk8L0F1dGhvcj48WWVhcj4yMDEzPC9ZZWFyPjxS
ZWNOdW0+MjA8L1JlY051bT48RGlzcGxheVRleHQ+KERpbm5leSBldCBhbC4sIDIwMTMpPC9EaXNw
bGF5VGV4dD48cmVjb3JkPjxyZWMtbnVtYmVyPjIwPC9yZWMtbnVtYmVyPjxmb3JlaWduLWtleXM+
PGtleSBhcHA9IkVOIiBkYi1pZD0iZHBhc2UyZTJvejVyd2NlOWF6c3BwOTVuZjl4dnN3eHAycnZk
IiB0aW1lc3RhbXA9IjE3NjUyNDM2NjAiPjIwPC9rZXk+PC9mb3JlaWduLWtleXM+PHJlZi10eXBl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005B0F2F" w:rsidRPr="003E2C69">
              <w:rPr>
                <w:rStyle w:val="Hyperlink"/>
                <w:rFonts w:asciiTheme="minorHAnsi" w:hAnsiTheme="minorHAnsi" w:cstheme="minorHAnsi"/>
                <w:sz w:val="20"/>
                <w:szCs w:val="20"/>
                <w:u w:val="none"/>
              </w:rPr>
              <w:instrText xml:space="preserve"> ADDIN EN.CITE </w:instrText>
            </w:r>
            <w:r w:rsidR="005B0F2F" w:rsidRPr="003E2C69">
              <w:rPr>
                <w:rStyle w:val="Hyperlink"/>
                <w:rFonts w:asciiTheme="minorHAnsi" w:hAnsiTheme="minorHAnsi" w:cstheme="minorHAnsi"/>
                <w:sz w:val="20"/>
                <w:szCs w:val="20"/>
                <w:u w:val="none"/>
              </w:rPr>
              <w:fldChar w:fldCharType="begin">
                <w:fldData xml:space="preserve">PEVuZE5vdGU+PENpdGU+PEF1dGhvcj5EaW5uZXk8L0F1dGhvcj48WWVhcj4yMDEzPC9ZZWFyPjxS
ZWNOdW0+MjA8L1JlY051bT48RGlzcGxheVRleHQ+KERpbm5leSBldCBhbC4sIDIwMTMpPC9EaXNw
bGF5VGV4dD48cmVjb3JkPjxyZWMtbnVtYmVyPjIwPC9yZWMtbnVtYmVyPjxmb3JlaWduLWtleXM+
PGtleSBhcHA9IkVOIiBkYi1pZD0iZHBhc2UyZTJvejVyd2NlOWF6c3BwOTVuZjl4dnN3eHAycnZk
IiB0aW1lc3RhbXA9IjE3NjUyNDM2NjAiPjIwPC9rZXk+PC9mb3JlaWduLWtleXM+PHJlZi10eXBl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005B0F2F" w:rsidRPr="003E2C69">
              <w:rPr>
                <w:rStyle w:val="Hyperlink"/>
                <w:rFonts w:asciiTheme="minorHAnsi" w:hAnsiTheme="minorHAnsi" w:cstheme="minorHAnsi"/>
                <w:sz w:val="20"/>
                <w:szCs w:val="20"/>
                <w:u w:val="none"/>
              </w:rPr>
              <w:instrText xml:space="preserve"> ADDIN EN.CITE.DATA </w:instrText>
            </w:r>
            <w:r w:rsidR="005B0F2F" w:rsidRPr="003E2C69">
              <w:rPr>
                <w:rStyle w:val="Hyperlink"/>
                <w:rFonts w:asciiTheme="minorHAnsi" w:hAnsiTheme="minorHAnsi" w:cstheme="minorHAnsi"/>
                <w:sz w:val="20"/>
                <w:szCs w:val="20"/>
                <w:u w:val="none"/>
              </w:rPr>
            </w:r>
            <w:r w:rsidR="005B0F2F" w:rsidRPr="003E2C69">
              <w:rPr>
                <w:rStyle w:val="Hyperlink"/>
                <w:rFonts w:asciiTheme="minorHAnsi" w:hAnsiTheme="minorHAnsi" w:cstheme="minorHAnsi"/>
                <w:sz w:val="20"/>
                <w:szCs w:val="20"/>
                <w:u w:val="none"/>
              </w:rPr>
              <w:fldChar w:fldCharType="end"/>
            </w:r>
            <w:r w:rsidRPr="003E2C69">
              <w:rPr>
                <w:rStyle w:val="Hyperlink"/>
                <w:rFonts w:asciiTheme="minorHAnsi" w:hAnsiTheme="minorHAnsi" w:cstheme="minorHAnsi"/>
                <w:sz w:val="20"/>
                <w:szCs w:val="20"/>
                <w:u w:val="none"/>
              </w:rPr>
            </w:r>
            <w:r w:rsidRPr="003E2C69">
              <w:rPr>
                <w:rStyle w:val="Hyperlink"/>
                <w:rFonts w:asciiTheme="minorHAnsi" w:hAnsiTheme="minorHAnsi" w:cstheme="minorHAnsi"/>
                <w:sz w:val="20"/>
                <w:szCs w:val="20"/>
                <w:u w:val="none"/>
              </w:rPr>
              <w:fldChar w:fldCharType="separate"/>
            </w:r>
            <w:r w:rsidRPr="003E2C69">
              <w:rPr>
                <w:rStyle w:val="Hyperlink"/>
                <w:rFonts w:asciiTheme="minorHAnsi" w:hAnsiTheme="minorHAnsi" w:cstheme="minorHAnsi"/>
                <w:noProof/>
                <w:sz w:val="20"/>
                <w:szCs w:val="20"/>
                <w:u w:val="none"/>
              </w:rPr>
              <w:t>(</w:t>
            </w:r>
            <w:hyperlink w:anchor="_ENREF_24" w:tooltip="Dinney, 2013 #20" w:history="1">
              <w:r w:rsidR="0027195B" w:rsidRPr="003E2C69">
                <w:rPr>
                  <w:rFonts w:asciiTheme="minorHAnsi" w:hAnsiTheme="minorHAnsi" w:cstheme="minorHAnsi"/>
                  <w:noProof/>
                  <w:sz w:val="20"/>
                  <w:szCs w:val="20"/>
                </w:rPr>
                <w:t>Dinney et al., 2013</w:t>
              </w:r>
            </w:hyperlink>
            <w:r w:rsidRPr="003E2C69">
              <w:rPr>
                <w:rStyle w:val="Hyperlink"/>
                <w:rFonts w:asciiTheme="minorHAnsi" w:hAnsiTheme="minorHAnsi" w:cstheme="minorHAnsi"/>
                <w:noProof/>
                <w:sz w:val="20"/>
                <w:szCs w:val="20"/>
                <w:u w:val="none"/>
              </w:rPr>
              <w:t>)</w:t>
            </w:r>
            <w:r w:rsidRPr="003E2C69">
              <w:rPr>
                <w:rStyle w:val="Hyperlink"/>
                <w:rFonts w:asciiTheme="minorHAnsi" w:hAnsiTheme="minorHAnsi" w:cstheme="minorHAnsi"/>
                <w:sz w:val="20"/>
                <w:szCs w:val="20"/>
                <w:u w:val="none"/>
              </w:rPr>
              <w:fldChar w:fldCharType="end"/>
            </w:r>
          </w:p>
        </w:tc>
      </w:tr>
      <w:tr w:rsidR="003E2C69" w:rsidRPr="003E2C69" w14:paraId="58CCC114" w14:textId="77777777" w:rsidTr="0073540C">
        <w:tc>
          <w:tcPr>
            <w:tcW w:w="0" w:type="auto"/>
            <w:vAlign w:val="center"/>
          </w:tcPr>
          <w:p w14:paraId="076F634D"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2</w:t>
            </w:r>
          </w:p>
        </w:tc>
        <w:tc>
          <w:tcPr>
            <w:tcW w:w="0" w:type="auto"/>
          </w:tcPr>
          <w:p w14:paraId="57412995"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Phase 1b intravesical administration of SCH 721015 (Ad-</w:t>
            </w:r>
            <w:proofErr w:type="spellStart"/>
            <w:r w:rsidRPr="003E2C69">
              <w:rPr>
                <w:rFonts w:asciiTheme="minorHAnsi" w:hAnsiTheme="minorHAnsi" w:cstheme="minorHAnsi"/>
                <w:sz w:val="20"/>
                <w:szCs w:val="20"/>
              </w:rPr>
              <w:t>IFNa</w:t>
            </w:r>
            <w:proofErr w:type="spellEnd"/>
            <w:r w:rsidRPr="003E2C69">
              <w:rPr>
                <w:rFonts w:asciiTheme="minorHAnsi" w:hAnsiTheme="minorHAnsi" w:cstheme="minorHAnsi"/>
                <w:sz w:val="20"/>
                <w:szCs w:val="20"/>
              </w:rPr>
              <w:t>) in admixture with SCH 209702 (Syn3) for the treatment of BCG refractory superficial bladder cancer</w:t>
            </w:r>
          </w:p>
        </w:tc>
        <w:tc>
          <w:tcPr>
            <w:tcW w:w="0" w:type="auto"/>
          </w:tcPr>
          <w:p w14:paraId="79E52433"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7</w:t>
            </w:r>
          </w:p>
        </w:tc>
        <w:tc>
          <w:tcPr>
            <w:tcW w:w="0" w:type="auto"/>
          </w:tcPr>
          <w:p w14:paraId="66AAA805"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One AE reported as a non-serious worsening of lower urinary tract symptoms from one patient.</w:t>
            </w:r>
          </w:p>
        </w:tc>
        <w:tc>
          <w:tcPr>
            <w:tcW w:w="0" w:type="auto"/>
          </w:tcPr>
          <w:p w14:paraId="3BFCAC72" w14:textId="77777777" w:rsidR="00180ABB" w:rsidRPr="003E2C69" w:rsidRDefault="00180ABB" w:rsidP="0073540C">
            <w:pPr>
              <w:spacing w:before="40" w:after="40"/>
              <w:rPr>
                <w:sz w:val="20"/>
                <w:szCs w:val="20"/>
              </w:rPr>
            </w:pPr>
            <w:hyperlink r:id="rId34" w:history="1">
              <w:r w:rsidRPr="003E2C69">
                <w:rPr>
                  <w:rStyle w:val="Hyperlink"/>
                  <w:rFonts w:asciiTheme="minorHAnsi" w:hAnsiTheme="minorHAnsi" w:cstheme="minorHAnsi"/>
                  <w:sz w:val="20"/>
                  <w:szCs w:val="20"/>
                </w:rPr>
                <w:t>NCT01162785</w:t>
              </w:r>
            </w:hyperlink>
          </w:p>
          <w:p w14:paraId="67706914" w14:textId="77777777" w:rsidR="00180ABB" w:rsidRPr="003E2C69" w:rsidRDefault="00180ABB" w:rsidP="0073540C">
            <w:pPr>
              <w:spacing w:before="40" w:after="40"/>
              <w:rPr>
                <w:rFonts w:asciiTheme="minorHAnsi" w:hAnsiTheme="minorHAnsi" w:cstheme="minorHAnsi"/>
                <w:sz w:val="20"/>
                <w:szCs w:val="20"/>
              </w:rPr>
            </w:pPr>
          </w:p>
          <w:p w14:paraId="5E7C1209" w14:textId="2E2C0AEA"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PEVuZE5vdGU+PENpdGU+PEF1dGhvcj5OYXZhaTwvQXV0aG9yPjxZZWFyPjIwMTY8L1llYXI+PFJl
Y051bT4xNDwvUmVjTnVtPjxEaXNwbGF5VGV4dD4oTmF2YWkgZXQgYWwuLCAyMDE2KTwvRGlzcGxh
eVRleHQ+PHJlY29yZD48cmVjLW51bWJlcj4xNDwvcmVjLW51bWJlcj48Zm9yZWlnbi1rZXlzPjxr
ZXkgYXBwPSJFTiIgZGItaWQ9ImRwYXNlMmUyb3o1cndjZTlhenNwcDk1bmY5eHZzd3hwMnJ2ZCIg
dGltZXN0YW1wPSIxNzY1MjQzNjQ4Ij4xNDwva2V5PjwvZm9yZWlnbi1rZXlzPjxyZWYtdHlwZSBu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005B0F2F" w:rsidRPr="003E2C69">
              <w:rPr>
                <w:rFonts w:asciiTheme="minorHAnsi" w:hAnsiTheme="minorHAnsi" w:cstheme="minorHAnsi"/>
                <w:sz w:val="20"/>
                <w:szCs w:val="20"/>
              </w:rPr>
              <w:instrText xml:space="preserve"> ADDIN EN.CITE </w:instrText>
            </w:r>
            <w:r w:rsidR="005B0F2F" w:rsidRPr="003E2C69">
              <w:rPr>
                <w:rFonts w:asciiTheme="minorHAnsi" w:hAnsiTheme="minorHAnsi" w:cstheme="minorHAnsi"/>
                <w:sz w:val="20"/>
                <w:szCs w:val="20"/>
              </w:rPr>
              <w:fldChar w:fldCharType="begin">
                <w:fldData xml:space="preserve">PEVuZE5vdGU+PENpdGU+PEF1dGhvcj5OYXZhaTwvQXV0aG9yPjxZZWFyPjIwMTY8L1llYXI+PFJl
Y051bT4xNDwvUmVjTnVtPjxEaXNwbGF5VGV4dD4oTmF2YWkgZXQgYWwuLCAyMDE2KTwvRGlzcGxh
eVRleHQ+PHJlY29yZD48cmVjLW51bWJlcj4xNDwvcmVjLW51bWJlcj48Zm9yZWlnbi1rZXlzPjxr
ZXkgYXBwPSJFTiIgZGItaWQ9ImRwYXNlMmUyb3o1cndjZTlhenNwcDk1bmY5eHZzd3hwMnJ2ZCIg
dGltZXN0YW1wPSIxNzY1MjQzNjQ4Ij4xNDwva2V5PjwvZm9yZWlnbi1rZXlzPjxyZWYtdHlwZSBu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005B0F2F" w:rsidRPr="003E2C69">
              <w:rPr>
                <w:rFonts w:asciiTheme="minorHAnsi" w:hAnsiTheme="minorHAnsi" w:cstheme="minorHAnsi"/>
                <w:sz w:val="20"/>
                <w:szCs w:val="20"/>
              </w:rPr>
              <w:instrText xml:space="preserve"> ADDIN EN.CITE.DATA </w:instrText>
            </w:r>
            <w:r w:rsidR="005B0F2F" w:rsidRPr="003E2C69">
              <w:rPr>
                <w:rFonts w:asciiTheme="minorHAnsi" w:hAnsiTheme="minorHAnsi" w:cstheme="minorHAnsi"/>
                <w:sz w:val="20"/>
                <w:szCs w:val="20"/>
              </w:rPr>
            </w:r>
            <w:r w:rsidR="005B0F2F"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65" w:tooltip="Navai, 2016 #14" w:history="1">
              <w:r w:rsidR="0027195B" w:rsidRPr="003E2C69">
                <w:rPr>
                  <w:rFonts w:asciiTheme="minorHAnsi" w:hAnsiTheme="minorHAnsi" w:cstheme="minorHAnsi"/>
                  <w:noProof/>
                  <w:sz w:val="20"/>
                  <w:szCs w:val="20"/>
                </w:rPr>
                <w:t>Navai et al., 2016</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r w:rsidR="003E2C69" w:rsidRPr="003E2C69" w14:paraId="3454E652" w14:textId="77777777" w:rsidTr="0073540C">
        <w:tc>
          <w:tcPr>
            <w:tcW w:w="0" w:type="auto"/>
            <w:vAlign w:val="center"/>
          </w:tcPr>
          <w:p w14:paraId="421805FD"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lastRenderedPageBreak/>
              <w:t>3</w:t>
            </w:r>
          </w:p>
        </w:tc>
        <w:tc>
          <w:tcPr>
            <w:tcW w:w="0" w:type="auto"/>
          </w:tcPr>
          <w:p w14:paraId="2EAAA011"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 xml:space="preserve">A Phase 2, randomized, open label, parallel arm study to evaluate the safety and efficacy of </w:t>
            </w:r>
            <w:proofErr w:type="spellStart"/>
            <w:r w:rsidRPr="003E2C69">
              <w:rPr>
                <w:rFonts w:asciiTheme="minorHAnsi" w:hAnsiTheme="minorHAnsi" w:cstheme="minorHAnsi"/>
                <w:sz w:val="20"/>
                <w:szCs w:val="20"/>
              </w:rPr>
              <w:t>rAd</w:t>
            </w:r>
            <w:proofErr w:type="spellEnd"/>
            <w:r w:rsidRPr="003E2C69">
              <w:rPr>
                <w:rFonts w:asciiTheme="minorHAnsi" w:hAnsiTheme="minorHAnsi" w:cstheme="minorHAnsi"/>
                <w:sz w:val="20"/>
                <w:szCs w:val="20"/>
              </w:rPr>
              <w:t>-IFN/Syn3 following intravesical administration in subjects with high grade, BCG refractory or relapsed superficial bladder cancer</w:t>
            </w:r>
          </w:p>
        </w:tc>
        <w:tc>
          <w:tcPr>
            <w:tcW w:w="0" w:type="auto"/>
          </w:tcPr>
          <w:p w14:paraId="62CB67E4"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40</w:t>
            </w:r>
          </w:p>
        </w:tc>
        <w:tc>
          <w:tcPr>
            <w:tcW w:w="0" w:type="auto"/>
          </w:tcPr>
          <w:p w14:paraId="305D8D1E"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97.5% patients experienced at least one AE, with slightly more AEs in the 3×10</w:t>
            </w:r>
            <w:r w:rsidRPr="003E2C69">
              <w:rPr>
                <w:rFonts w:asciiTheme="minorHAnsi" w:hAnsiTheme="minorHAnsi" w:cstheme="minorHAnsi"/>
                <w:sz w:val="20"/>
                <w:szCs w:val="20"/>
                <w:vertAlign w:val="superscript"/>
              </w:rPr>
              <w:t>11</w:t>
            </w:r>
            <w:r w:rsidRPr="003E2C69">
              <w:rPr>
                <w:rFonts w:asciiTheme="minorHAnsi" w:hAnsiTheme="minorHAnsi" w:cstheme="minorHAnsi"/>
                <w:sz w:val="20"/>
                <w:szCs w:val="20"/>
              </w:rPr>
              <w:t xml:space="preserve"> </w:t>
            </w:r>
            <w:proofErr w:type="spellStart"/>
            <w:r w:rsidRPr="003E2C69">
              <w:rPr>
                <w:rFonts w:asciiTheme="minorHAnsi" w:hAnsiTheme="minorHAnsi" w:cstheme="minorHAnsi"/>
                <w:sz w:val="20"/>
                <w:szCs w:val="20"/>
              </w:rPr>
              <w:t>vp</w:t>
            </w:r>
            <w:proofErr w:type="spellEnd"/>
            <w:r w:rsidRPr="003E2C69">
              <w:rPr>
                <w:rFonts w:asciiTheme="minorHAnsi" w:hAnsiTheme="minorHAnsi" w:cstheme="minorHAnsi"/>
                <w:sz w:val="20"/>
                <w:szCs w:val="20"/>
              </w:rPr>
              <w:t>/mL dose group compared to the 1×10</w:t>
            </w:r>
            <w:r w:rsidRPr="003E2C69">
              <w:rPr>
                <w:rFonts w:asciiTheme="minorHAnsi" w:hAnsiTheme="minorHAnsi" w:cstheme="minorHAnsi"/>
                <w:sz w:val="20"/>
                <w:szCs w:val="20"/>
                <w:vertAlign w:val="superscript"/>
              </w:rPr>
              <w:t>11</w:t>
            </w:r>
            <w:r w:rsidRPr="003E2C69">
              <w:rPr>
                <w:rFonts w:asciiTheme="minorHAnsi" w:hAnsiTheme="minorHAnsi" w:cstheme="minorHAnsi"/>
                <w:sz w:val="20"/>
                <w:szCs w:val="20"/>
              </w:rPr>
              <w:t xml:space="preserve"> </w:t>
            </w:r>
            <w:proofErr w:type="spellStart"/>
            <w:r w:rsidRPr="003E2C69">
              <w:rPr>
                <w:rFonts w:asciiTheme="minorHAnsi" w:hAnsiTheme="minorHAnsi" w:cstheme="minorHAnsi"/>
                <w:sz w:val="20"/>
                <w:szCs w:val="20"/>
              </w:rPr>
              <w:t>vp</w:t>
            </w:r>
            <w:proofErr w:type="spellEnd"/>
            <w:r w:rsidRPr="003E2C69">
              <w:rPr>
                <w:rFonts w:asciiTheme="minorHAnsi" w:hAnsiTheme="minorHAnsi" w:cstheme="minorHAnsi"/>
                <w:sz w:val="20"/>
                <w:szCs w:val="20"/>
              </w:rPr>
              <w:t>/mL dose group. Most AEs were Grade 2 or lower, while 9 patients (22.5%) had AEs of Grade 3. There were no Grade 4 or 5 events.</w:t>
            </w:r>
          </w:p>
        </w:tc>
        <w:tc>
          <w:tcPr>
            <w:tcW w:w="0" w:type="auto"/>
          </w:tcPr>
          <w:p w14:paraId="0FFB71F9" w14:textId="77777777" w:rsidR="00180ABB" w:rsidRPr="003E2C69" w:rsidRDefault="00180ABB" w:rsidP="0073540C">
            <w:pPr>
              <w:spacing w:before="40" w:after="40"/>
              <w:rPr>
                <w:sz w:val="20"/>
                <w:szCs w:val="20"/>
              </w:rPr>
            </w:pPr>
            <w:hyperlink r:id="rId35" w:history="1">
              <w:r w:rsidRPr="003E2C69">
                <w:rPr>
                  <w:rStyle w:val="Hyperlink"/>
                  <w:rFonts w:asciiTheme="minorHAnsi" w:hAnsiTheme="minorHAnsi" w:cstheme="minorHAnsi"/>
                  <w:sz w:val="20"/>
                  <w:szCs w:val="20"/>
                </w:rPr>
                <w:t>NCT01687244</w:t>
              </w:r>
            </w:hyperlink>
          </w:p>
          <w:p w14:paraId="3C50082B" w14:textId="77777777" w:rsidR="00180ABB" w:rsidRPr="003E2C69" w:rsidRDefault="00180ABB" w:rsidP="0073540C">
            <w:pPr>
              <w:spacing w:before="40" w:after="40"/>
              <w:rPr>
                <w:rFonts w:cstheme="minorHAnsi"/>
                <w:sz w:val="20"/>
                <w:szCs w:val="20"/>
              </w:rPr>
            </w:pPr>
          </w:p>
          <w:p w14:paraId="655621A0" w14:textId="347790C8"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3E2C69">
              <w:rPr>
                <w:rFonts w:asciiTheme="minorHAnsi" w:hAnsiTheme="minorHAnsi" w:cstheme="minorHAnsi"/>
                <w:sz w:val="20"/>
                <w:szCs w:val="20"/>
              </w:rPr>
              <w:instrText xml:space="preserve"> ADDIN EN.CITE </w:instrText>
            </w:r>
            <w:r w:rsidRPr="003E2C69">
              <w:rPr>
                <w:rFonts w:asciiTheme="minorHAnsi"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3E2C69">
              <w:rPr>
                <w:rFonts w:asciiTheme="minorHAnsi" w:hAnsiTheme="minorHAnsi" w:cstheme="minorHAnsi"/>
                <w:sz w:val="20"/>
                <w:szCs w:val="20"/>
              </w:rPr>
              <w:instrText xml:space="preserve"> ADDIN EN.CITE.DATA </w:instrText>
            </w:r>
            <w:r w:rsidRPr="003E2C69">
              <w:rPr>
                <w:rFonts w:asciiTheme="minorHAnsi" w:hAnsiTheme="minorHAnsi" w:cstheme="minorHAnsi"/>
                <w:sz w:val="20"/>
                <w:szCs w:val="20"/>
              </w:rPr>
            </w:r>
            <w:r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85" w:tooltip="Shore, 2017 #37" w:history="1">
              <w:r w:rsidR="0027195B" w:rsidRPr="003E2C69">
                <w:rPr>
                  <w:rFonts w:asciiTheme="minorHAnsi" w:hAnsiTheme="minorHAnsi" w:cstheme="minorHAnsi"/>
                  <w:noProof/>
                  <w:sz w:val="20"/>
                  <w:szCs w:val="20"/>
                </w:rPr>
                <w:t>Shore et al., 2017</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r w:rsidR="003E2C69" w:rsidRPr="003E2C69" w14:paraId="16032BE4" w14:textId="77777777" w:rsidTr="0073540C">
        <w:tc>
          <w:tcPr>
            <w:tcW w:w="0" w:type="auto"/>
            <w:vAlign w:val="center"/>
          </w:tcPr>
          <w:p w14:paraId="3814A08C" w14:textId="77777777" w:rsidR="00180ABB" w:rsidRPr="003E2C69" w:rsidRDefault="00180ABB" w:rsidP="0073540C">
            <w:pPr>
              <w:spacing w:before="40" w:after="40"/>
              <w:jc w:val="center"/>
              <w:rPr>
                <w:rFonts w:asciiTheme="minorHAnsi" w:hAnsiTheme="minorHAnsi" w:cstheme="minorHAnsi"/>
                <w:sz w:val="20"/>
                <w:szCs w:val="20"/>
              </w:rPr>
            </w:pPr>
            <w:r w:rsidRPr="003E2C69">
              <w:rPr>
                <w:rFonts w:asciiTheme="minorHAnsi" w:hAnsiTheme="minorHAnsi" w:cstheme="minorHAnsi"/>
                <w:sz w:val="20"/>
                <w:szCs w:val="20"/>
              </w:rPr>
              <w:t>4</w:t>
            </w:r>
          </w:p>
        </w:tc>
        <w:tc>
          <w:tcPr>
            <w:tcW w:w="0" w:type="auto"/>
          </w:tcPr>
          <w:p w14:paraId="0A5FDCA6"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A Phase III, open label study to evaluate the safety and efficacy of INSTILADRIN® (</w:t>
            </w:r>
            <w:proofErr w:type="spellStart"/>
            <w:r w:rsidRPr="003E2C69">
              <w:rPr>
                <w:rFonts w:asciiTheme="minorHAnsi" w:hAnsiTheme="minorHAnsi" w:cstheme="minorHAnsi"/>
                <w:sz w:val="20"/>
                <w:szCs w:val="20"/>
              </w:rPr>
              <w:t>rAd</w:t>
            </w:r>
            <w:proofErr w:type="spellEnd"/>
            <w:r w:rsidRPr="003E2C69">
              <w:rPr>
                <w:rFonts w:asciiTheme="minorHAnsi" w:hAnsiTheme="minorHAnsi" w:cstheme="minorHAnsi"/>
                <w:sz w:val="20"/>
                <w:szCs w:val="20"/>
              </w:rPr>
              <w:t xml:space="preserve">-IFN)/Syn3) administered </w:t>
            </w:r>
            <w:proofErr w:type="spellStart"/>
            <w:r w:rsidRPr="003E2C69">
              <w:rPr>
                <w:rFonts w:asciiTheme="minorHAnsi" w:hAnsiTheme="minorHAnsi" w:cstheme="minorHAnsi"/>
                <w:sz w:val="20"/>
                <w:szCs w:val="20"/>
              </w:rPr>
              <w:t>intravesically</w:t>
            </w:r>
            <w:proofErr w:type="spellEnd"/>
            <w:r w:rsidRPr="003E2C69">
              <w:rPr>
                <w:rFonts w:asciiTheme="minorHAnsi" w:hAnsiTheme="minorHAnsi" w:cstheme="minorHAnsi"/>
                <w:sz w:val="20"/>
                <w:szCs w:val="20"/>
              </w:rPr>
              <w:t xml:space="preserve"> to patients with high-grade, BCG unresponsive non-muscle invasive bladder cancer (NMIBC)</w:t>
            </w:r>
          </w:p>
        </w:tc>
        <w:tc>
          <w:tcPr>
            <w:tcW w:w="0" w:type="auto"/>
          </w:tcPr>
          <w:p w14:paraId="1AA09237" w14:textId="77777777" w:rsidR="00180ABB" w:rsidRPr="003E2C69" w:rsidRDefault="00180ABB" w:rsidP="0073540C">
            <w:pPr>
              <w:spacing w:before="40" w:after="40"/>
              <w:rPr>
                <w:rFonts w:asciiTheme="minorHAnsi" w:hAnsiTheme="minorHAnsi" w:cstheme="minorHAnsi"/>
                <w:sz w:val="20"/>
                <w:szCs w:val="20"/>
                <w:vertAlign w:val="subscript"/>
              </w:rPr>
            </w:pPr>
            <w:r w:rsidRPr="003E2C69">
              <w:rPr>
                <w:rFonts w:asciiTheme="minorHAnsi" w:hAnsiTheme="minorHAnsi" w:cstheme="minorHAnsi"/>
                <w:sz w:val="20"/>
                <w:szCs w:val="20"/>
              </w:rPr>
              <w:t>157</w:t>
            </w:r>
          </w:p>
        </w:tc>
        <w:tc>
          <w:tcPr>
            <w:tcW w:w="0" w:type="auto"/>
          </w:tcPr>
          <w:p w14:paraId="1D160D84" w14:textId="77777777"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t>93.0% patients experienced an AE. Most AEs were Grade 2 or lower, while 31 patients (19.7%) and 3 patients (1.9%) had AEs of Grade 3 and 4, respectively. GMO-related AEs occurred in 70.7% of patients; 6 (3.8%) patients had a GMO-related Grade 3 AE. No GMO-related Grade 4 or 5 AEs were reported.</w:t>
            </w:r>
          </w:p>
        </w:tc>
        <w:tc>
          <w:tcPr>
            <w:tcW w:w="0" w:type="auto"/>
          </w:tcPr>
          <w:p w14:paraId="72114A01" w14:textId="77777777" w:rsidR="00180ABB" w:rsidRPr="003E2C69" w:rsidRDefault="00180ABB" w:rsidP="0073540C">
            <w:pPr>
              <w:spacing w:before="40" w:after="40"/>
              <w:rPr>
                <w:sz w:val="20"/>
                <w:szCs w:val="20"/>
              </w:rPr>
            </w:pPr>
            <w:hyperlink r:id="rId36" w:history="1">
              <w:r w:rsidRPr="003E2C69">
                <w:rPr>
                  <w:rStyle w:val="Hyperlink"/>
                  <w:rFonts w:asciiTheme="minorHAnsi" w:hAnsiTheme="minorHAnsi" w:cstheme="minorHAnsi"/>
                  <w:sz w:val="20"/>
                  <w:szCs w:val="20"/>
                </w:rPr>
                <w:t>NCT02773849</w:t>
              </w:r>
            </w:hyperlink>
          </w:p>
          <w:p w14:paraId="1C510C64" w14:textId="77777777" w:rsidR="00180ABB" w:rsidRPr="003E2C69" w:rsidRDefault="00180ABB" w:rsidP="0073540C">
            <w:pPr>
              <w:spacing w:before="40" w:after="40"/>
              <w:rPr>
                <w:rFonts w:cstheme="minorHAnsi"/>
                <w:sz w:val="20"/>
                <w:szCs w:val="20"/>
              </w:rPr>
            </w:pPr>
          </w:p>
          <w:p w14:paraId="6C550DE6" w14:textId="52E4A59A" w:rsidR="00180ABB" w:rsidRPr="003E2C69" w:rsidRDefault="00180ABB" w:rsidP="0073540C">
            <w:pPr>
              <w:spacing w:before="40" w:after="40"/>
              <w:rPr>
                <w:rFonts w:asciiTheme="minorHAnsi" w:hAnsiTheme="minorHAnsi" w:cstheme="minorHAnsi"/>
                <w:sz w:val="20"/>
                <w:szCs w:val="20"/>
              </w:rPr>
            </w:pPr>
            <w:r w:rsidRPr="003E2C69">
              <w:rPr>
                <w:rFonts w:asciiTheme="minorHAnsi" w:hAnsiTheme="minorHAnsi" w:cstheme="minorHAnsi"/>
                <w:sz w:val="20"/>
                <w:szCs w:val="20"/>
              </w:rPr>
              <w:fldChar w:fldCharType="begin">
                <w:fldData xml:space="preserve">PEVuZE5vdGU+PENpdGU+PEF1dGhvcj5Cb29yamlhbjwvQXV0aG9yPjxZZWFyPjIwMjE8L1llYXI+
PFJlY051bT4xMzwvUmVjTnVtPjxEaXNwbGF5VGV4dD4oQm9vcmppYW4gZXQgYWwuLCAyMDIxKTwv
RGlzcGxheVRleHQ+PHJlY29yZD48cmVjLW51bWJlcj4xMzwvcmVjLW51bWJlcj48Zm9yZWlnbi1r
ZXlzPjxrZXkgYXBwPSJFTiIgZGItaWQ9ImRwYXNlMmUyb3o1cndjZTlhenNwcDk1bmY5eHZzd3hw
MnJ2ZCIgdGltZXN0YW1wPSIxNzY1MjQzNjQ3Ij4xMzwva2V5PjwvZm9yZWlnbi1rZXlzPjxyZWYt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005B0F2F" w:rsidRPr="003E2C69">
              <w:rPr>
                <w:rFonts w:asciiTheme="minorHAnsi" w:hAnsiTheme="minorHAnsi" w:cstheme="minorHAnsi"/>
                <w:sz w:val="20"/>
                <w:szCs w:val="20"/>
              </w:rPr>
              <w:instrText xml:space="preserve"> ADDIN EN.CITE </w:instrText>
            </w:r>
            <w:r w:rsidR="005B0F2F" w:rsidRPr="003E2C69">
              <w:rPr>
                <w:rFonts w:asciiTheme="minorHAnsi" w:hAnsiTheme="minorHAnsi" w:cstheme="minorHAnsi"/>
                <w:sz w:val="20"/>
                <w:szCs w:val="20"/>
              </w:rPr>
              <w:fldChar w:fldCharType="begin">
                <w:fldData xml:space="preserve">PEVuZE5vdGU+PENpdGU+PEF1dGhvcj5Cb29yamlhbjwvQXV0aG9yPjxZZWFyPjIwMjE8L1llYXI+
PFJlY051bT4xMzwvUmVjTnVtPjxEaXNwbGF5VGV4dD4oQm9vcmppYW4gZXQgYWwuLCAyMDIxKTwv
RGlzcGxheVRleHQ+PHJlY29yZD48cmVjLW51bWJlcj4xMzwvcmVjLW51bWJlcj48Zm9yZWlnbi1r
ZXlzPjxrZXkgYXBwPSJFTiIgZGItaWQ9ImRwYXNlMmUyb3o1cndjZTlhenNwcDk1bmY5eHZzd3hw
MnJ2ZCIgdGltZXN0YW1wPSIxNzY1MjQzNjQ3Ij4xMzwva2V5PjwvZm9yZWlnbi1rZXlzPjxyZWYt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005B0F2F" w:rsidRPr="003E2C69">
              <w:rPr>
                <w:rFonts w:asciiTheme="minorHAnsi" w:hAnsiTheme="minorHAnsi" w:cstheme="minorHAnsi"/>
                <w:sz w:val="20"/>
                <w:szCs w:val="20"/>
              </w:rPr>
              <w:instrText xml:space="preserve"> ADDIN EN.CITE.DATA </w:instrText>
            </w:r>
            <w:r w:rsidR="005B0F2F" w:rsidRPr="003E2C69">
              <w:rPr>
                <w:rFonts w:asciiTheme="minorHAnsi" w:hAnsiTheme="minorHAnsi" w:cstheme="minorHAnsi"/>
                <w:sz w:val="20"/>
                <w:szCs w:val="20"/>
              </w:rPr>
            </w:r>
            <w:r w:rsidR="005B0F2F" w:rsidRPr="003E2C69">
              <w:rPr>
                <w:rFonts w:asciiTheme="minorHAnsi" w:hAnsiTheme="minorHAnsi" w:cstheme="minorHAnsi"/>
                <w:sz w:val="20"/>
                <w:szCs w:val="20"/>
              </w:rPr>
              <w:fldChar w:fldCharType="end"/>
            </w:r>
            <w:r w:rsidRPr="003E2C69">
              <w:rPr>
                <w:rFonts w:asciiTheme="minorHAnsi" w:hAnsiTheme="minorHAnsi" w:cstheme="minorHAnsi"/>
                <w:sz w:val="20"/>
                <w:szCs w:val="20"/>
              </w:rPr>
            </w:r>
            <w:r w:rsidRPr="003E2C69">
              <w:rPr>
                <w:rFonts w:asciiTheme="minorHAnsi" w:hAnsiTheme="minorHAnsi" w:cstheme="minorHAnsi"/>
                <w:sz w:val="20"/>
                <w:szCs w:val="20"/>
              </w:rPr>
              <w:fldChar w:fldCharType="separate"/>
            </w:r>
            <w:r w:rsidRPr="003E2C69">
              <w:rPr>
                <w:rFonts w:asciiTheme="minorHAnsi" w:hAnsiTheme="minorHAnsi" w:cstheme="minorHAnsi"/>
                <w:noProof/>
                <w:sz w:val="20"/>
                <w:szCs w:val="20"/>
              </w:rPr>
              <w:t>(</w:t>
            </w:r>
            <w:hyperlink w:anchor="_ENREF_12" w:tooltip="Boorjian, 2021 #13" w:history="1">
              <w:r w:rsidR="0027195B" w:rsidRPr="003E2C69">
                <w:rPr>
                  <w:rFonts w:asciiTheme="minorHAnsi" w:hAnsiTheme="minorHAnsi" w:cstheme="minorHAnsi"/>
                  <w:noProof/>
                  <w:sz w:val="20"/>
                  <w:szCs w:val="20"/>
                </w:rPr>
                <w:t>Boorjian et al., 2021</w:t>
              </w:r>
            </w:hyperlink>
            <w:r w:rsidRPr="003E2C69">
              <w:rPr>
                <w:rFonts w:asciiTheme="minorHAnsi" w:hAnsiTheme="minorHAnsi" w:cstheme="minorHAnsi"/>
                <w:noProof/>
                <w:sz w:val="20"/>
                <w:szCs w:val="20"/>
              </w:rPr>
              <w:t>)</w:t>
            </w:r>
            <w:r w:rsidRPr="003E2C69">
              <w:rPr>
                <w:rFonts w:asciiTheme="minorHAnsi" w:hAnsiTheme="minorHAnsi" w:cstheme="minorHAnsi"/>
                <w:sz w:val="20"/>
                <w:szCs w:val="20"/>
              </w:rPr>
              <w:fldChar w:fldCharType="end"/>
            </w:r>
          </w:p>
        </w:tc>
      </w:tr>
    </w:tbl>
    <w:p w14:paraId="0C54C655" w14:textId="12B77CB5" w:rsidR="00180ABB" w:rsidRPr="00B20E17" w:rsidRDefault="00180ABB" w:rsidP="00180ABB">
      <w:pPr>
        <w:pStyle w:val="RARMPnumberedparagraphs"/>
        <w:numPr>
          <w:ilvl w:val="0"/>
          <w:numId w:val="0"/>
        </w:numPr>
        <w:rPr>
          <w:sz w:val="20"/>
          <w:szCs w:val="20"/>
        </w:rPr>
      </w:pPr>
      <w:r w:rsidRPr="00B20E17">
        <w:rPr>
          <w:sz w:val="20"/>
          <w:szCs w:val="20"/>
        </w:rPr>
        <w:t xml:space="preserve">*Based on </w:t>
      </w:r>
      <w:hyperlink r:id="rId37" w:history="1">
        <w:r w:rsidRPr="00B20E17">
          <w:rPr>
            <w:rStyle w:val="Hyperlink"/>
            <w:sz w:val="20"/>
            <w:szCs w:val="20"/>
          </w:rPr>
          <w:t>Common Terminology Criteria for Adverse Events (CTCAE)</w:t>
        </w:r>
      </w:hyperlink>
      <w:r w:rsidRPr="00B20E17">
        <w:rPr>
          <w:sz w:val="20"/>
          <w:szCs w:val="20"/>
        </w:rPr>
        <w:t>: Grade 1 - Mild; Grade 2 -  Moderate; Grade 3 - Severe or medically significant but not immediately life-threatening; Grade 4 - Life-threatening consequences; Grade 5 - Death.</w:t>
      </w:r>
    </w:p>
    <w:p w14:paraId="2D903306" w14:textId="26A9D65A" w:rsidR="00180ABB" w:rsidRPr="003E2C69" w:rsidRDefault="00180ABB" w:rsidP="00180ABB">
      <w:pPr>
        <w:pStyle w:val="RARMPnumberedparagraphs"/>
      </w:pPr>
      <w:r w:rsidRPr="003E2C69">
        <w:t>The Phase 1 trial assessed the safety, tolerability, and maximum tolerated dose (MTD) of the intravesical administered GMO in patients with transitional cell carcinoma of the bladder. No dose limiting toxicity was identified, and no significant GMO-related adverse events were observed. Therefore, the MTD was not reached in this trial and therefore the 2 highest doses (1×10</w:t>
      </w:r>
      <w:r w:rsidRPr="003E2C69">
        <w:rPr>
          <w:vertAlign w:val="superscript"/>
        </w:rPr>
        <w:t>11</w:t>
      </w:r>
      <w:r w:rsidRPr="003E2C69">
        <w:t xml:space="preserve"> </w:t>
      </w:r>
      <w:proofErr w:type="spellStart"/>
      <w:r w:rsidRPr="003E2C69">
        <w:t>vp</w:t>
      </w:r>
      <w:proofErr w:type="spellEnd"/>
      <w:r w:rsidRPr="003E2C69">
        <w:t>/mL and 3×10</w:t>
      </w:r>
      <w:r w:rsidRPr="003E2C69">
        <w:rPr>
          <w:vertAlign w:val="superscript"/>
        </w:rPr>
        <w:t>11</w:t>
      </w:r>
      <w:r w:rsidRPr="003E2C69">
        <w:t xml:space="preserve"> </w:t>
      </w:r>
      <w:proofErr w:type="spellStart"/>
      <w:r w:rsidRPr="003E2C69">
        <w:t>vp</w:t>
      </w:r>
      <w:proofErr w:type="spellEnd"/>
      <w:r w:rsidRPr="003E2C69">
        <w:t>/mL) were selected for the Phase 2 trial. qPCR analysis of blood samples showed no GMO</w:t>
      </w:r>
      <w:r w:rsidRPr="003E2C69">
        <w:noBreakHyphen/>
        <w:t>specific DNA detected in any samples collected</w:t>
      </w:r>
      <w:r w:rsidR="00E1448A" w:rsidRPr="00E1448A">
        <w:t xml:space="preserve"> at 2, 6 and 72 hours post dose </w:t>
      </w:r>
      <w:r w:rsidRPr="003E2C69">
        <w:t>from the 17 patients. The presence of GMO</w:t>
      </w:r>
      <w:r w:rsidRPr="003E2C69">
        <w:noBreakHyphen/>
        <w:t>derived DNA was also assessed in urine using qPCR. Generally, a higher frequency of detection of samples positive for GMO-derived DNA and persistence of presence correlated with increase in dose level with correspondingly more quantifiable samples at higher doses. At the highest dose concentration of 3 × 10</w:t>
      </w:r>
      <w:r w:rsidRPr="003E2C69">
        <w:rPr>
          <w:vertAlign w:val="superscript"/>
        </w:rPr>
        <w:t>11</w:t>
      </w:r>
      <w:r w:rsidRPr="003E2C69">
        <w:t xml:space="preserve"> </w:t>
      </w:r>
      <w:proofErr w:type="spellStart"/>
      <w:r w:rsidRPr="003E2C69">
        <w:t>vp</w:t>
      </w:r>
      <w:proofErr w:type="spellEnd"/>
      <w:r w:rsidRPr="003E2C69">
        <w:t>/mL, quantifiable DNA in urine was noted up to Day 3 in 3 of 4 patients, with detectable levels of DNA in urine persisting up to Day 14. Detection of DNA by qPCR does not necessarily indicate the presence of intact GMO in urine. Infectivity assessment of qPCR-positive samples was not performed.</w:t>
      </w:r>
    </w:p>
    <w:p w14:paraId="10023184" w14:textId="77777777" w:rsidR="00180ABB" w:rsidRPr="003E2C69" w:rsidRDefault="00180ABB" w:rsidP="00180ABB">
      <w:pPr>
        <w:pStyle w:val="RARMPnumberedparagraphs"/>
      </w:pPr>
      <w:r w:rsidRPr="003E2C69">
        <w:t>The Phase 1b trial assessed safety and tolerability of 2 intravesical administrations of the GMO (dose of 3×10</w:t>
      </w:r>
      <w:r w:rsidRPr="003E2C69">
        <w:rPr>
          <w:vertAlign w:val="superscript"/>
        </w:rPr>
        <w:t>11</w:t>
      </w:r>
      <w:r w:rsidRPr="003E2C69">
        <w:t xml:space="preserve"> </w:t>
      </w:r>
      <w:proofErr w:type="spellStart"/>
      <w:r w:rsidRPr="003E2C69">
        <w:t>vp</w:t>
      </w:r>
      <w:proofErr w:type="spellEnd"/>
      <w:r w:rsidRPr="003E2C69">
        <w:t>/mL) in patients with BCG-refractory NMIBC. It showed that treatment was generally well tolerated and a second instillation on Day 4 did not have any notable benefits for sustained IFN</w:t>
      </w:r>
      <w:r w:rsidRPr="003E2C69">
        <w:noBreakHyphen/>
        <w:t>α2b protein synthesis.</w:t>
      </w:r>
    </w:p>
    <w:p w14:paraId="3F32619B" w14:textId="3E9F2F27" w:rsidR="00180ABB" w:rsidRPr="003E2C69" w:rsidRDefault="00180ABB" w:rsidP="00180ABB">
      <w:pPr>
        <w:pStyle w:val="RARMPnumberedparagraphs"/>
      </w:pPr>
      <w:r w:rsidRPr="003E2C69">
        <w:t>The Phase 2 trial evaluated safety and efficacy in patients with high-grade BCG-refractory or relapsed NMIBC at two dose levels (1×10</w:t>
      </w:r>
      <w:r w:rsidRPr="003E2C69">
        <w:rPr>
          <w:vertAlign w:val="superscript"/>
        </w:rPr>
        <w:t>11</w:t>
      </w:r>
      <w:r w:rsidRPr="003E2C69">
        <w:t xml:space="preserve"> </w:t>
      </w:r>
      <w:proofErr w:type="spellStart"/>
      <w:r w:rsidRPr="003E2C69">
        <w:t>vp</w:t>
      </w:r>
      <w:proofErr w:type="spellEnd"/>
      <w:r w:rsidRPr="003E2C69">
        <w:t>/mL and 3×10</w:t>
      </w:r>
      <w:r w:rsidRPr="003E2C69">
        <w:rPr>
          <w:vertAlign w:val="superscript"/>
        </w:rPr>
        <w:t>11</w:t>
      </w:r>
      <w:r w:rsidRPr="003E2C69">
        <w:t xml:space="preserve"> </w:t>
      </w:r>
      <w:proofErr w:type="spellStart"/>
      <w:r w:rsidRPr="003E2C69">
        <w:t>vp</w:t>
      </w:r>
      <w:proofErr w:type="spellEnd"/>
      <w:r w:rsidRPr="003E2C69">
        <w:t>/mL). The 3×10</w:t>
      </w:r>
      <w:r w:rsidRPr="003E2C69">
        <w:rPr>
          <w:vertAlign w:val="superscript"/>
        </w:rPr>
        <w:t>11</w:t>
      </w:r>
      <w:r w:rsidRPr="003E2C69">
        <w:t xml:space="preserve"> </w:t>
      </w:r>
      <w:proofErr w:type="spellStart"/>
      <w:r w:rsidRPr="003E2C69">
        <w:t>vp</w:t>
      </w:r>
      <w:proofErr w:type="spellEnd"/>
      <w:r w:rsidRPr="003E2C69">
        <w:t>/mL dose, administered every 3 months, showed numerically higher efficacy and was well tolerated. None of the 40 patients that received their initial dose had measurable GMO DNA in their blood</w:t>
      </w:r>
      <w:r w:rsidR="00C514DE">
        <w:t xml:space="preserve"> samples collected </w:t>
      </w:r>
      <w:r w:rsidR="00C514DE" w:rsidRPr="00C514DE">
        <w:t>2, 4 and 12</w:t>
      </w:r>
      <w:r w:rsidR="00C514DE">
        <w:t xml:space="preserve"> days post dose</w:t>
      </w:r>
      <w:r w:rsidRPr="003E2C69">
        <w:t xml:space="preserve">. Of the 23 patients receiving a second dose at month 4 day 1, one patient had a positive test result for the GMO DNA in blood </w:t>
      </w:r>
      <w:r w:rsidR="00C514DE">
        <w:t xml:space="preserve">at day 2 </w:t>
      </w:r>
      <w:r w:rsidRPr="003E2C69">
        <w:t xml:space="preserve">following the second dose. All 40 patients had measurable amounts of </w:t>
      </w:r>
      <w:bookmarkStart w:id="226" w:name="_Hlk194853178"/>
      <w:r w:rsidRPr="003E2C69">
        <w:t xml:space="preserve">the GMO </w:t>
      </w:r>
      <w:bookmarkEnd w:id="226"/>
      <w:r w:rsidRPr="003E2C69">
        <w:t xml:space="preserve">DNA in urine after their initial dose. The number of patients with GMO DNA in urine slightly declined to 33 patients (84.6%) at month 1 day 12. Of 23 patients receiving dose 2, pre-dose levels of 20 patients (87.0%) were negative for the GMO </w:t>
      </w:r>
      <w:proofErr w:type="gramStart"/>
      <w:r w:rsidRPr="003E2C69">
        <w:t>DNA</w:t>
      </w:r>
      <w:proofErr w:type="gramEnd"/>
      <w:r w:rsidRPr="003E2C69">
        <w:t xml:space="preserve"> and 3 patients (13.0%) had measurable GMO DNA in urine resulting from the first dose. At month 4 day 4, </w:t>
      </w:r>
      <w:r w:rsidRPr="003E2C69">
        <w:lastRenderedPageBreak/>
        <w:t>19 patients (90.5%) receiving dose 2 had GMO DNA in urine but this dropped to 6 patients (28.6%) by month 4 day 12.</w:t>
      </w:r>
    </w:p>
    <w:p w14:paraId="0AD74A2F" w14:textId="35B13A71" w:rsidR="00180ABB" w:rsidRPr="003E2C69" w:rsidRDefault="00180ABB" w:rsidP="00180ABB">
      <w:pPr>
        <w:pStyle w:val="RARMPnumberedparagraphs"/>
      </w:pPr>
      <w:r w:rsidRPr="003E2C69">
        <w:t xml:space="preserve">The Phase 3 trial </w:t>
      </w:r>
      <w:r w:rsidR="00EB1317" w:rsidRPr="003E2C69">
        <w:t>focus</w:t>
      </w:r>
      <w:r w:rsidR="00EB1317">
        <w:t xml:space="preserve">ed </w:t>
      </w:r>
      <w:r w:rsidRPr="003E2C69">
        <w:t>on confirming the safety and efficacy of the 3×10</w:t>
      </w:r>
      <w:r w:rsidRPr="003E2C69">
        <w:rPr>
          <w:vertAlign w:val="superscript"/>
        </w:rPr>
        <w:t>11</w:t>
      </w:r>
      <w:r w:rsidRPr="003E2C69">
        <w:t xml:space="preserve"> </w:t>
      </w:r>
      <w:proofErr w:type="spellStart"/>
      <w:r w:rsidRPr="003E2C69">
        <w:t>vp</w:t>
      </w:r>
      <w:proofErr w:type="spellEnd"/>
      <w:r w:rsidRPr="003E2C69">
        <w:t>/mL dose of intravesical administered GMO in high-grade BCG-unresponsive NMIBC. It measured the complete response rate in patients with CIS and secondary outcomes such as duration of complete response and high-grade recurrence-free survival or patients with papillary disease.</w:t>
      </w:r>
    </w:p>
    <w:p w14:paraId="00459C82" w14:textId="77777777" w:rsidR="00180ABB" w:rsidRPr="003E2C69" w:rsidRDefault="00180ABB" w:rsidP="00180ABB">
      <w:pPr>
        <w:pStyle w:val="RARMPnumberedparagraphs"/>
      </w:pPr>
      <w:r w:rsidRPr="003E2C69">
        <w:t>The safety of the GMO was also evaluated in the Phase 2 and Phase 3 trials with AEs recorded as shown in Table 1. The most frequently reported AEs (occurring in ≥10% of patients overall) in these trials were micturition urgency, dysuria, fatigue, pollakiuria, haematuria, nocturia, urinary tract infection, pyrexia, chills, nausea, diarrhoea, and urinary incontinence. No GMO-related Grade 4 or 5 AEs were reported.</w:t>
      </w:r>
    </w:p>
    <w:p w14:paraId="232FAC62" w14:textId="0991D9E2" w:rsidR="00180ABB" w:rsidRPr="003E2C69" w:rsidRDefault="00180ABB" w:rsidP="00180ABB">
      <w:pPr>
        <w:pStyle w:val="RARMPnumberedparagraphs"/>
      </w:pPr>
      <w:r w:rsidRPr="003E2C69">
        <w:t>Immunogenicity was evaluated through the measurement of anti-</w:t>
      </w:r>
      <w:proofErr w:type="spellStart"/>
      <w:r w:rsidRPr="003E2C69">
        <w:t>AdV</w:t>
      </w:r>
      <w:proofErr w:type="spellEnd"/>
      <w:r w:rsidRPr="003E2C69">
        <w:t xml:space="preserve"> 5 antibody levels in serum following the intravesical administrations of the GMO in the clinical trials. Five patients (29.4%) in the Phase 1 trial, 22 patients (55.0%) in the Phase 2 trial and 97 patients (72.4%) in the Phase 3 trial revealed a significant anti-</w:t>
      </w:r>
      <w:proofErr w:type="spellStart"/>
      <w:r w:rsidRPr="003E2C69">
        <w:t>AdV</w:t>
      </w:r>
      <w:proofErr w:type="spellEnd"/>
      <w:r w:rsidRPr="003E2C69">
        <w:t xml:space="preserve"> antibody response.</w:t>
      </w:r>
    </w:p>
    <w:p w14:paraId="2A75AD23" w14:textId="1A6564C9" w:rsidR="00FB7E35" w:rsidRPr="00EF68D8" w:rsidRDefault="00FB7E35" w:rsidP="006E06B6">
      <w:pPr>
        <w:pStyle w:val="2RARMP"/>
      </w:pPr>
      <w:bookmarkStart w:id="227" w:name="_Ref191119091"/>
      <w:bookmarkStart w:id="228" w:name="_Toc291151811"/>
      <w:bookmarkStart w:id="229" w:name="_Toc309054012"/>
      <w:bookmarkStart w:id="230" w:name="_Toc309833704"/>
      <w:bookmarkStart w:id="231" w:name="_Toc311188365"/>
      <w:bookmarkStart w:id="232" w:name="_Toc377743567"/>
      <w:bookmarkStart w:id="233" w:name="_Toc46243660"/>
      <w:bookmarkStart w:id="234" w:name="_Toc47536753"/>
      <w:bookmarkStart w:id="235" w:name="_Toc226975009"/>
      <w:bookmarkStart w:id="236" w:name="_Toc219529474"/>
      <w:bookmarkStart w:id="237" w:name="_Ref233512151"/>
      <w:bookmarkStart w:id="238" w:name="_Ref233520982"/>
      <w:bookmarkStart w:id="239" w:name="_Ref235515052"/>
      <w:bookmarkStart w:id="240" w:name="_Toc159907353"/>
      <w:bookmarkEnd w:id="0"/>
      <w:bookmarkEnd w:id="1"/>
      <w:bookmarkEnd w:id="2"/>
      <w:bookmarkEnd w:id="76"/>
      <w:bookmarkEnd w:id="77"/>
      <w:bookmarkEnd w:id="132"/>
      <w:bookmarkEnd w:id="133"/>
      <w:bookmarkEnd w:id="134"/>
      <w:bookmarkEnd w:id="214"/>
      <w:bookmarkEnd w:id="215"/>
      <w:bookmarkEnd w:id="216"/>
      <w:bookmarkEnd w:id="217"/>
      <w:r w:rsidRPr="00EF68D8">
        <w:t>The receiving environment</w:t>
      </w:r>
      <w:bookmarkEnd w:id="227"/>
      <w:bookmarkEnd w:id="228"/>
      <w:bookmarkEnd w:id="229"/>
      <w:bookmarkEnd w:id="230"/>
      <w:bookmarkEnd w:id="231"/>
      <w:bookmarkEnd w:id="232"/>
      <w:bookmarkEnd w:id="233"/>
      <w:bookmarkEnd w:id="234"/>
      <w:bookmarkEnd w:id="235"/>
    </w:p>
    <w:p w14:paraId="7F7FCF6C" w14:textId="4A5354E7" w:rsidR="00FB7E35" w:rsidRPr="00E52B4D" w:rsidRDefault="00FB7E35" w:rsidP="00FB7E35">
      <w:pPr>
        <w:pStyle w:val="RARMPnumberedparagraphs"/>
        <w:rPr>
          <w:rFonts w:cs="Calibri"/>
        </w:rPr>
      </w:pPr>
      <w:bookmarkStart w:id="241" w:name="_Toc291151812"/>
      <w:bookmarkStart w:id="242" w:name="_Toc309054013"/>
      <w:bookmarkStart w:id="243" w:name="_Toc309833705"/>
      <w:bookmarkStart w:id="244" w:name="_Toc311188366"/>
      <w:bookmarkStart w:id="245" w:name="_Toc377743568"/>
      <w:bookmarkEnd w:id="236"/>
      <w:bookmarkEnd w:id="237"/>
      <w:bookmarkEnd w:id="238"/>
      <w:bookmarkEnd w:id="239"/>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C1090B" w:rsidRPr="00E52B4D">
        <w:rPr>
          <w:rFonts w:cs="Calibri"/>
        </w:rPr>
        <w:fldChar w:fldCharType="begin"/>
      </w:r>
      <w:r w:rsidR="00824706">
        <w:rPr>
          <w:rFonts w:cs="Calibri"/>
        </w:rPr>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68" w:tooltip="OGTR, 2013 #1" w:history="1">
        <w:r w:rsidR="0027195B"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46" w:name="_Toc46243661"/>
      <w:bookmarkStart w:id="247" w:name="_Toc47536754"/>
      <w:bookmarkStart w:id="248" w:name="_Toc226975010"/>
      <w:bookmarkEnd w:id="241"/>
      <w:bookmarkEnd w:id="242"/>
      <w:bookmarkEnd w:id="243"/>
      <w:bookmarkEnd w:id="244"/>
      <w:bookmarkEnd w:id="245"/>
      <w:r>
        <w:t>Site of</w:t>
      </w:r>
      <w:r w:rsidR="001D17E3">
        <w:t xml:space="preserve"> </w:t>
      </w:r>
      <w:bookmarkEnd w:id="246"/>
      <w:bookmarkEnd w:id="247"/>
      <w:r w:rsidR="003208BB">
        <w:t>administration</w:t>
      </w:r>
      <w:bookmarkEnd w:id="248"/>
    </w:p>
    <w:p w14:paraId="2194BC29" w14:textId="0F3E9AC6"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w:t>
      </w:r>
      <w:r w:rsidR="00D27651">
        <w:rPr>
          <w:rFonts w:cs="Calibri"/>
        </w:rPr>
        <w:t xml:space="preserve">be </w:t>
      </w:r>
      <w:r w:rsidR="0084061D">
        <w:rPr>
          <w:rFonts w:cs="Calibri"/>
        </w:rPr>
        <w:t>the bladder of participants with NMIBC, administered via intravesical instillation by experienced clinicians in a hospital.</w:t>
      </w:r>
    </w:p>
    <w:p w14:paraId="601FD0C1" w14:textId="497D3826"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fldChar w:fldCharType="begin"/>
      </w:r>
      <w:r w:rsidR="00824706">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fldChar w:fldCharType="separate"/>
      </w:r>
      <w:r>
        <w:rPr>
          <w:noProof/>
        </w:rPr>
        <w:t>(</w:t>
      </w:r>
      <w:hyperlink w:anchor="_ENREF_63" w:tooltip="National Health and Medical Research Council, 2019 #45" w:history="1">
        <w:r w:rsidR="0027195B">
          <w:rPr>
            <w:noProof/>
          </w:rPr>
          <w:t>National Health and Medical Research Council, 2019</w:t>
        </w:r>
      </w:hyperlink>
      <w:r>
        <w:rPr>
          <w:noProof/>
        </w:rPr>
        <w:t>)</w:t>
      </w:r>
      <w:r>
        <w:fldChar w:fldCharType="end"/>
      </w:r>
      <w:r>
        <w:t>.</w:t>
      </w:r>
    </w:p>
    <w:p w14:paraId="62514B5D" w14:textId="60280BEF" w:rsidR="00655C2D" w:rsidRPr="0085598D" w:rsidRDefault="00655C2D" w:rsidP="00E66EF8">
      <w:pPr>
        <w:pStyle w:val="RARMPnumberedparagraphs"/>
        <w:rPr>
          <w:rFonts w:cs="Calibri"/>
        </w:rPr>
      </w:pPr>
      <w:r w:rsidRPr="0085598D">
        <w:rPr>
          <w:rFonts w:cs="Calibri"/>
        </w:rPr>
        <w:t xml:space="preserve">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E66EF8" w:rsidRPr="0085598D">
        <w:rPr>
          <w:rFonts w:cs="Calibri"/>
        </w:rPr>
        <w:t xml:space="preserve"> </w:t>
      </w:r>
      <w:r w:rsidR="0075711B" w:rsidRPr="00B23C8E">
        <w:rPr>
          <w:rFonts w:cs="Calibri"/>
        </w:rPr>
        <w:t>As discussed in Section</w:t>
      </w:r>
      <w:r w:rsidR="003C1AE0" w:rsidRPr="00B23C8E">
        <w:rPr>
          <w:rFonts w:cs="Calibri"/>
        </w:rPr>
        <w:t xml:space="preserve">s </w:t>
      </w:r>
      <w:r w:rsidR="003C1AE0" w:rsidRPr="00B23C8E">
        <w:rPr>
          <w:rFonts w:cs="Calibri"/>
        </w:rPr>
        <w:fldChar w:fldCharType="begin"/>
      </w:r>
      <w:r w:rsidR="003C1AE0" w:rsidRPr="00B23C8E">
        <w:rPr>
          <w:rFonts w:cs="Calibri"/>
        </w:rPr>
        <w:instrText xml:space="preserve"> REF _Ref67475081 \n \h </w:instrText>
      </w:r>
      <w:r w:rsidR="003C1AE0" w:rsidRPr="00B23C8E">
        <w:rPr>
          <w:rFonts w:cs="Calibri"/>
        </w:rPr>
      </w:r>
      <w:r w:rsidR="003C1AE0" w:rsidRPr="00B23C8E">
        <w:rPr>
          <w:rFonts w:cs="Calibri"/>
        </w:rPr>
        <w:fldChar w:fldCharType="separate"/>
      </w:r>
      <w:r w:rsidR="003C1AE0" w:rsidRPr="00B23C8E">
        <w:rPr>
          <w:rFonts w:cs="Calibri"/>
        </w:rPr>
        <w:t>4.3.3</w:t>
      </w:r>
      <w:r w:rsidR="003C1AE0" w:rsidRPr="00B23C8E">
        <w:rPr>
          <w:rFonts w:cs="Calibri"/>
        </w:rPr>
        <w:fldChar w:fldCharType="end"/>
      </w:r>
      <w:r w:rsidR="003C1AE0" w:rsidRPr="00B23C8E">
        <w:rPr>
          <w:rFonts w:cs="Calibri"/>
        </w:rPr>
        <w:t xml:space="preserve"> and </w:t>
      </w:r>
      <w:r w:rsidR="003C1AE0" w:rsidRPr="00B23C8E">
        <w:rPr>
          <w:rFonts w:cs="Calibri"/>
        </w:rPr>
        <w:fldChar w:fldCharType="begin"/>
      </w:r>
      <w:r w:rsidR="003C1AE0" w:rsidRPr="00B23C8E">
        <w:rPr>
          <w:rFonts w:cs="Calibri"/>
        </w:rPr>
        <w:instrText xml:space="preserve"> REF _Ref216702339 \n \h </w:instrText>
      </w:r>
      <w:r w:rsidR="003C1AE0" w:rsidRPr="00B23C8E">
        <w:rPr>
          <w:rFonts w:cs="Calibri"/>
        </w:rPr>
      </w:r>
      <w:r w:rsidR="003C1AE0" w:rsidRPr="00B23C8E">
        <w:rPr>
          <w:rFonts w:cs="Calibri"/>
        </w:rPr>
        <w:fldChar w:fldCharType="separate"/>
      </w:r>
      <w:r w:rsidR="003C1AE0" w:rsidRPr="00B23C8E">
        <w:rPr>
          <w:rFonts w:cs="Calibri"/>
        </w:rPr>
        <w:t>4.3.4</w:t>
      </w:r>
      <w:r w:rsidR="003C1AE0" w:rsidRPr="00B23C8E">
        <w:rPr>
          <w:rFonts w:cs="Calibri"/>
        </w:rPr>
        <w:fldChar w:fldCharType="end"/>
      </w:r>
      <w:r w:rsidR="006C1559" w:rsidRPr="00B23C8E">
        <w:rPr>
          <w:rFonts w:cs="Calibri"/>
        </w:rPr>
        <w:t>, t</w:t>
      </w:r>
      <w:r w:rsidR="00D82810" w:rsidRPr="00B23C8E">
        <w:rPr>
          <w:rFonts w:cs="Calibri"/>
        </w:rPr>
        <w:t xml:space="preserve">he </w:t>
      </w:r>
      <w:r w:rsidR="00E66EF8" w:rsidRPr="00B23C8E">
        <w:rPr>
          <w:rFonts w:cs="Calibri"/>
        </w:rPr>
        <w:t>GMO may be shed</w:t>
      </w:r>
      <w:r w:rsidR="003208BB" w:rsidRPr="00B23C8E">
        <w:rPr>
          <w:rFonts w:cs="Calibri"/>
        </w:rPr>
        <w:t xml:space="preserve"> in minimal quantities</w:t>
      </w:r>
      <w:r w:rsidR="00E66EF8" w:rsidRPr="00B23C8E">
        <w:rPr>
          <w:rFonts w:cs="Calibri"/>
        </w:rPr>
        <w:t xml:space="preserve"> in </w:t>
      </w:r>
      <w:r w:rsidR="0030087F" w:rsidRPr="00B23C8E">
        <w:rPr>
          <w:rFonts w:cs="Calibri"/>
        </w:rPr>
        <w:t xml:space="preserve">urine </w:t>
      </w:r>
      <w:r w:rsidR="00E66EF8" w:rsidRPr="00B23C8E">
        <w:rPr>
          <w:rFonts w:cs="Calibri"/>
        </w:rPr>
        <w:t>after the administration of the GMO</w:t>
      </w:r>
      <w:r w:rsidR="00D82810" w:rsidRPr="00B23C8E">
        <w:rPr>
          <w:rFonts w:cs="Calibri"/>
        </w:rPr>
        <w:t xml:space="preserve"> </w:t>
      </w:r>
      <w:r w:rsidR="002242B5" w:rsidRPr="00B23C8E">
        <w:rPr>
          <w:rFonts w:cs="Calibri"/>
        </w:rPr>
        <w:t xml:space="preserve">for </w:t>
      </w:r>
      <w:r w:rsidR="00EF68D8" w:rsidRPr="00B23C8E">
        <w:rPr>
          <w:rFonts w:cs="Calibri"/>
        </w:rPr>
        <w:t>severa</w:t>
      </w:r>
      <w:r w:rsidR="003E2C69" w:rsidRPr="00B23C8E">
        <w:rPr>
          <w:rFonts w:cs="Calibri"/>
        </w:rPr>
        <w:t xml:space="preserve">l </w:t>
      </w:r>
      <w:r w:rsidR="003208BB" w:rsidRPr="00B23C8E">
        <w:rPr>
          <w:rFonts w:cs="Calibri"/>
        </w:rPr>
        <w:t>days</w:t>
      </w:r>
      <w:r w:rsidR="00E66EF8" w:rsidRPr="00B23C8E">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r w:rsidR="001866A6">
        <w:rPr>
          <w:rFonts w:cs="Calibri"/>
        </w:rPr>
        <w:t xml:space="preserve"> Another route by which the GMO may enter the wider environment is via accidental spills of the GMO during or after administration, or during transport or storage, or following disposal of the vials or syringes contaminated with the GMO.</w:t>
      </w:r>
    </w:p>
    <w:p w14:paraId="0BB549E4" w14:textId="7822EB67" w:rsidR="00FB7E35" w:rsidRPr="00D16361" w:rsidRDefault="00FB7E35" w:rsidP="00FB7E35">
      <w:pPr>
        <w:pStyle w:val="3RARMP"/>
      </w:pPr>
      <w:bookmarkStart w:id="249" w:name="_Toc377743569"/>
      <w:bookmarkStart w:id="250" w:name="_Toc46243662"/>
      <w:bookmarkStart w:id="251" w:name="_Toc47536755"/>
      <w:bookmarkStart w:id="252" w:name="_Ref57119212"/>
      <w:bookmarkStart w:id="253" w:name="_Toc226975011"/>
      <w:bookmarkStart w:id="254" w:name="_Toc169061702"/>
      <w:bookmarkStart w:id="255" w:name="_Ref190155019"/>
      <w:bookmarkStart w:id="256" w:name="_Ref190670449"/>
      <w:bookmarkStart w:id="257" w:name="_Ref190670474"/>
      <w:bookmarkStart w:id="258" w:name="_Ref190670740"/>
      <w:bookmarkStart w:id="259" w:name="_Ref191365337"/>
      <w:bookmarkStart w:id="260" w:name="_Ref191365347"/>
      <w:bookmarkStart w:id="261" w:name="_Ref191716941"/>
      <w:bookmarkStart w:id="262" w:name="_Ref191956918"/>
      <w:bookmarkStart w:id="263" w:name="_Ref206392980"/>
      <w:bookmarkStart w:id="264" w:name="_Toc219529476"/>
      <w:bookmarkStart w:id="265" w:name="_Ref227915152"/>
      <w:bookmarkStart w:id="266" w:name="_Ref227997583"/>
      <w:bookmarkStart w:id="267" w:name="_Ref227997971"/>
      <w:bookmarkStart w:id="268" w:name="_Ref235845124"/>
      <w:r w:rsidRPr="00D16361">
        <w:t xml:space="preserve">Presence of related </w:t>
      </w:r>
      <w:r w:rsidR="00282A86">
        <w:t>vira</w:t>
      </w:r>
      <w:r w:rsidRPr="00D16361">
        <w:t>l species in the receiving environment</w:t>
      </w:r>
      <w:bookmarkEnd w:id="249"/>
      <w:bookmarkEnd w:id="250"/>
      <w:bookmarkEnd w:id="251"/>
      <w:bookmarkEnd w:id="252"/>
      <w:bookmarkEnd w:id="253"/>
    </w:p>
    <w:p w14:paraId="496255E2" w14:textId="78123D2A" w:rsidR="0050440D" w:rsidRPr="00E52B4D" w:rsidRDefault="0050440D" w:rsidP="00FB235C">
      <w:pPr>
        <w:pStyle w:val="RARMPnumberedparagraphs"/>
        <w:rPr>
          <w:rFonts w:eastAsia="Advm1046a" w:cs="Calibri"/>
        </w:rPr>
      </w:pPr>
      <w:bookmarkStart w:id="269" w:name="_Ref270935195"/>
      <w:bookmarkStart w:id="270" w:name="_Toc291151816"/>
      <w:bookmarkStart w:id="271" w:name="_Toc309054017"/>
      <w:bookmarkStart w:id="272" w:name="_Toc309833709"/>
      <w:bookmarkStart w:id="273" w:name="_Toc311188370"/>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57C9800B" w:rsidR="009C75F5" w:rsidRDefault="00F136DB" w:rsidP="009D2EEA">
      <w:pPr>
        <w:pStyle w:val="RARMPnumberedparagraphs"/>
        <w:rPr>
          <w:rFonts w:cs="Calibri"/>
        </w:rPr>
      </w:pPr>
      <w:proofErr w:type="spellStart"/>
      <w:r w:rsidRPr="00E52B4D">
        <w:rPr>
          <w:rFonts w:cs="Calibri"/>
        </w:rPr>
        <w:t>AdVs</w:t>
      </w:r>
      <w:proofErr w:type="spellEnd"/>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proofErr w:type="spellStart"/>
      <w:r w:rsidR="00756911" w:rsidRPr="00E52B4D">
        <w:rPr>
          <w:rFonts w:cs="Calibri"/>
          <w:i/>
        </w:rPr>
        <w:t>A</w:t>
      </w:r>
      <w:r w:rsidR="009D2EEA" w:rsidRPr="00E52B4D">
        <w:rPr>
          <w:rFonts w:cs="Calibri"/>
          <w:i/>
        </w:rPr>
        <w:t>viadenoviruses</w:t>
      </w:r>
      <w:proofErr w:type="spellEnd"/>
      <w:r w:rsidR="00F00212">
        <w:rPr>
          <w:rFonts w:cs="Calibri"/>
        </w:rPr>
        <w:t xml:space="preserve"> (infecting birds), </w:t>
      </w:r>
      <w:proofErr w:type="spellStart"/>
      <w:r w:rsidR="00756911" w:rsidRPr="00E52B4D">
        <w:rPr>
          <w:rFonts w:cs="Calibri"/>
          <w:i/>
        </w:rPr>
        <w:t>M</w:t>
      </w:r>
      <w:r w:rsidR="009D2EEA" w:rsidRPr="00E52B4D">
        <w:rPr>
          <w:rFonts w:cs="Calibri"/>
          <w:i/>
        </w:rPr>
        <w:t>astadenovirus</w:t>
      </w:r>
      <w:proofErr w:type="spellEnd"/>
      <w:r w:rsidR="00F00212">
        <w:rPr>
          <w:rFonts w:cs="Calibri"/>
        </w:rPr>
        <w:t xml:space="preserve"> (infecting mammals), </w:t>
      </w:r>
      <w:proofErr w:type="spellStart"/>
      <w:r w:rsidR="00F00212" w:rsidRPr="0018441A">
        <w:rPr>
          <w:rFonts w:cs="Calibri"/>
          <w:i/>
        </w:rPr>
        <w:t>Atadenovirus</w:t>
      </w:r>
      <w:proofErr w:type="spellEnd"/>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proofErr w:type="spellStart"/>
      <w:r w:rsidR="00F00212" w:rsidRPr="0018441A">
        <w:rPr>
          <w:rFonts w:cs="Calibri"/>
          <w:i/>
        </w:rPr>
        <w:t>Siadenovirus</w:t>
      </w:r>
      <w:proofErr w:type="spellEnd"/>
      <w:r w:rsidR="00F00212">
        <w:rPr>
          <w:rFonts w:cs="Calibri"/>
        </w:rPr>
        <w:t xml:space="preserve"> (infecting</w:t>
      </w:r>
      <w:r w:rsidR="000F2049">
        <w:rPr>
          <w:rFonts w:cs="Calibri"/>
        </w:rPr>
        <w:t xml:space="preserve"> one species of frog and </w:t>
      </w:r>
      <w:r w:rsidR="006C1559">
        <w:rPr>
          <w:rFonts w:cs="Calibri"/>
        </w:rPr>
        <w:t xml:space="preserve">one species of </w:t>
      </w:r>
      <w:r w:rsidR="000F2049">
        <w:rPr>
          <w:rFonts w:cs="Calibri"/>
        </w:rPr>
        <w:t>tortoise and multiple species of domestic, wild and captive birds</w:t>
      </w:r>
      <w:r w:rsidR="00F00212">
        <w:rPr>
          <w:rFonts w:cs="Calibri"/>
        </w:rPr>
        <w:t xml:space="preserve">) and </w:t>
      </w:r>
      <w:proofErr w:type="spellStart"/>
      <w:r w:rsidR="00F00212" w:rsidRPr="0018441A">
        <w:rPr>
          <w:rFonts w:cs="Calibri"/>
          <w:i/>
        </w:rPr>
        <w:t>Ichtadenovirus</w:t>
      </w:r>
      <w:proofErr w:type="spellEnd"/>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Y051bT4zMDwvUmVjTnVtPjxEaXNwbGF5VGV4dD4oTGFuZ2UgZXQgYWwuLCAyMDE5OyBUb25nIGV0
IGFsLiwgMjAxMDsgVmF6IGV0IGFsLiwgMjAyMCk8L0Rpc3BsYXlUZXh0PjxyZWNvcmQ+PHJlYy1u
dW1iZXI+MzA8L3JlYy1udW1iZXI+PGZvcmVpZ24ta2V5cz48a2V5IGFwcD0iRU4iIGRiLWlkPSJk
cGFzZTJlMm96NXJ3Y2U5YXpzcHA5NW5mOXh2c3d4cDJydmQiIHRpbWVzdGFtcD0iMTc2NTI0MzY4
MiI+MzA8L2tleT48L2ZvcmVpZ24ta2V5cz48cmVmLXR5cGUgbmFtZT0iSm91cm5hbCBBcnRpY2xl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245BC5">
        <w:rPr>
          <w:rFonts w:cs="Calibri"/>
        </w:rPr>
        <w:instrText xml:space="preserve"> ADDIN EN.CITE </w:instrText>
      </w:r>
      <w:r w:rsidR="00245BC5">
        <w:rPr>
          <w:rFonts w:cs="Calibri"/>
        </w:rPr>
        <w:fldChar w:fldCharType="begin">
          <w:fldData xml:space="preserve">PEVuZE5vdGU+PENpdGU+PEF1dGhvcj5MYW5nZTwvQXV0aG9yPjxZZWFyPjIwMTk8L1llYXI+PFJl
Y051bT4zMDwvUmVjTnVtPjxEaXNwbGF5VGV4dD4oTGFuZ2UgZXQgYWwuLCAyMDE5OyBUb25nIGV0
IGFsLiwgMjAxMDsgVmF6IGV0IGFsLiwgMjAyMCk8L0Rpc3BsYXlUZXh0PjxyZWNvcmQ+PHJlYy1u
dW1iZXI+MzA8L3JlYy1udW1iZXI+PGZvcmVpZ24ta2V5cz48a2V5IGFwcD0iRU4iIGRiLWlkPSJk
cGFzZTJlMm96NXJ3Y2U5YXpzcHA5NW5mOXh2c3d4cDJydmQiIHRpbWVzdGFtcD0iMTc2NTI0MzY4
MiI+MzA8L2tleT48L2ZvcmVpZ24ta2V5cz48cmVmLXR5cGUgbmFtZT0iSm91cm5hbCBBcnRpY2xl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245BC5">
        <w:rPr>
          <w:rFonts w:cs="Calibri"/>
        </w:rPr>
        <w:instrText xml:space="preserve"> ADDIN EN.CITE.DATA </w:instrText>
      </w:r>
      <w:r w:rsidR="00245BC5">
        <w:rPr>
          <w:rFonts w:cs="Calibri"/>
        </w:rPr>
      </w:r>
      <w:r w:rsidR="00245BC5">
        <w:rPr>
          <w:rFonts w:cs="Calibri"/>
        </w:rPr>
        <w:fldChar w:fldCharType="end"/>
      </w:r>
      <w:r w:rsidR="00480194">
        <w:rPr>
          <w:rFonts w:cs="Calibri"/>
        </w:rPr>
      </w:r>
      <w:r w:rsidR="00480194">
        <w:rPr>
          <w:rFonts w:cs="Calibri"/>
        </w:rPr>
        <w:fldChar w:fldCharType="separate"/>
      </w:r>
      <w:r w:rsidR="005B0F2F">
        <w:rPr>
          <w:rFonts w:cs="Calibri"/>
          <w:noProof/>
        </w:rPr>
        <w:t>(</w:t>
      </w:r>
      <w:hyperlink w:anchor="_ENREF_47" w:tooltip="Lange, 2019 #30" w:history="1">
        <w:r w:rsidR="0027195B">
          <w:rPr>
            <w:rFonts w:cs="Calibri"/>
            <w:noProof/>
          </w:rPr>
          <w:t>Lange et al., 2019</w:t>
        </w:r>
      </w:hyperlink>
      <w:r w:rsidR="005B0F2F">
        <w:rPr>
          <w:rFonts w:cs="Calibri"/>
          <w:noProof/>
        </w:rPr>
        <w:t xml:space="preserve">; </w:t>
      </w:r>
      <w:hyperlink w:anchor="_ENREF_94" w:tooltip="Tong, 2010 #135" w:history="1">
        <w:r w:rsidR="0027195B">
          <w:rPr>
            <w:rFonts w:cs="Calibri"/>
            <w:noProof/>
          </w:rPr>
          <w:t>Tong et al., 2010</w:t>
        </w:r>
      </w:hyperlink>
      <w:r w:rsidR="005B0F2F">
        <w:rPr>
          <w:rFonts w:cs="Calibri"/>
          <w:noProof/>
        </w:rPr>
        <w:t xml:space="preserve">; </w:t>
      </w:r>
      <w:hyperlink w:anchor="_ENREF_96" w:tooltip="Vaz, 2020 #134" w:history="1">
        <w:r w:rsidR="0027195B">
          <w:rPr>
            <w:rFonts w:cs="Calibri"/>
            <w:noProof/>
          </w:rPr>
          <w:t>Vaz et al., 2020</w:t>
        </w:r>
      </w:hyperlink>
      <w:r w:rsidR="005B0F2F">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humans</w:t>
      </w:r>
      <w:r w:rsidR="00247083" w:rsidRPr="00E52B4D">
        <w:rPr>
          <w:rFonts w:cs="Calibri"/>
        </w:rPr>
        <w:t xml:space="preserve"> </w:t>
      </w:r>
      <w:r w:rsidR="002A0D79" w:rsidRPr="00E52B4D">
        <w:rPr>
          <w:rFonts w:cs="Calibri"/>
        </w:rPr>
        <w:t>and animals</w:t>
      </w:r>
      <w:r w:rsidR="002A0D79">
        <w:rPr>
          <w:rFonts w:cs="Calibri"/>
        </w:rPr>
        <w:t>,</w:t>
      </w:r>
      <w:r w:rsidR="002A0D79" w:rsidRPr="00E52B4D">
        <w:rPr>
          <w:rFonts w:cs="Calibri"/>
        </w:rPr>
        <w:t xml:space="preserve"> </w:t>
      </w:r>
      <w:r w:rsidR="00247083" w:rsidRPr="00E52B4D">
        <w:rPr>
          <w:rFonts w:cs="Calibri"/>
        </w:rPr>
        <w:t>and can be found in all environments where humans or animals congregate in groups</w:t>
      </w:r>
      <w:r w:rsidR="009D2EEA" w:rsidRPr="00E52B4D">
        <w:rPr>
          <w:rFonts w:cs="Calibri"/>
        </w:rPr>
        <w:t xml:space="preserve"> </w:t>
      </w:r>
      <w:r w:rsidR="009D2EEA" w:rsidRPr="00E52B4D">
        <w:rPr>
          <w:rFonts w:cs="Calibri"/>
        </w:rPr>
        <w:lastRenderedPageBreak/>
        <w:fldChar w:fldCharType="begin"/>
      </w:r>
      <w:r w:rsidR="00824706">
        <w:rPr>
          <w:rFonts w:cs="Calibri"/>
        </w:rPr>
        <w:instrText xml:space="preserve"> ADDIN EN.CITE &lt;EndNote&gt;&lt;Cite&gt;&lt;Author&gt;Usman&lt;/Author&gt;&lt;Year&gt;2020&lt;/Year&gt;&lt;RecNum&gt;136&lt;/RecNum&gt;&lt;DisplayText&gt;(Usman and Suarez, 2020)&lt;/DisplayText&gt;&lt;record&gt;&lt;rec-number&gt;136&lt;/rec-number&gt;&lt;foreign-keys&gt;&lt;key app="EN" db-id="verwe2fxj5fev7epfz8xtdvez025feseze0z" timestamp="1733275117"&gt;136&lt;/key&gt;&lt;/foreign-keys&gt;&lt;ref-type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related-urls&gt;&lt;url&gt;https://www.ncbi.nlm.nih.gov/books/NBK559072/&lt;/url&gt;&lt;/related-urls&gt;&lt;/urls&gt;&lt;/record&gt;&lt;/Cite&gt;&lt;/EndNote&gt;</w:instrText>
      </w:r>
      <w:r w:rsidR="009D2EEA" w:rsidRPr="00E52B4D">
        <w:rPr>
          <w:rFonts w:cs="Calibri"/>
        </w:rPr>
        <w:fldChar w:fldCharType="separate"/>
      </w:r>
      <w:r w:rsidR="009D2EEA" w:rsidRPr="00E52B4D">
        <w:rPr>
          <w:rFonts w:cs="Calibri"/>
          <w:noProof/>
        </w:rPr>
        <w:t>(</w:t>
      </w:r>
      <w:hyperlink w:anchor="_ENREF_95" w:tooltip="Usman, 2020 #136" w:history="1">
        <w:r w:rsidR="0027195B"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proofErr w:type="spellStart"/>
      <w:r w:rsidRPr="00E52B4D">
        <w:rPr>
          <w:rFonts w:cs="Calibri"/>
        </w:rPr>
        <w:t>AdVs</w:t>
      </w:r>
      <w:proofErr w:type="spellEnd"/>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1E7664">
        <w:rPr>
          <w:rFonts w:cs="Calibri"/>
        </w:rPr>
        <w:t>3.5.4</w:t>
      </w:r>
      <w:r w:rsidR="009B70AD">
        <w:rPr>
          <w:rFonts w:cs="Calibri"/>
        </w:rPr>
        <w:fldChar w:fldCharType="end"/>
      </w:r>
      <w:r w:rsidR="009D2EEA" w:rsidRPr="00E52B4D">
        <w:rPr>
          <w:rFonts w:cs="Calibri"/>
        </w:rPr>
        <w:t xml:space="preserve">. </w:t>
      </w:r>
    </w:p>
    <w:p w14:paraId="525B6F5A" w14:textId="4306531F" w:rsidR="009D2EEA" w:rsidRDefault="000775C8" w:rsidP="009D2EEA">
      <w:pPr>
        <w:pStyle w:val="RARMPnumberedparagraphs"/>
        <w:rPr>
          <w:rFonts w:cs="Calibri"/>
        </w:rPr>
      </w:pPr>
      <w:r>
        <w:rPr>
          <w:rFonts w:cs="Calibri"/>
        </w:rPr>
        <w:t xml:space="preserve">The </w:t>
      </w:r>
      <w:proofErr w:type="spellStart"/>
      <w:r>
        <w:rPr>
          <w:rFonts w:cs="Calibri"/>
        </w:rPr>
        <w:t>prevalance</w:t>
      </w:r>
      <w:proofErr w:type="spellEnd"/>
      <w:r>
        <w:rPr>
          <w:rFonts w:cs="Calibri"/>
        </w:rPr>
        <w:t xml:space="preserve"> of </w:t>
      </w:r>
      <w:proofErr w:type="spellStart"/>
      <w:r>
        <w:rPr>
          <w:rFonts w:cs="Calibri"/>
        </w:rPr>
        <w:t>HAdVs</w:t>
      </w:r>
      <w:proofErr w:type="spellEnd"/>
      <w:r>
        <w:rPr>
          <w:rFonts w:cs="Calibri"/>
        </w:rPr>
        <w:t xml:space="preserve"> in Australia based on the reported cases and </w:t>
      </w:r>
      <w:proofErr w:type="spellStart"/>
      <w:r>
        <w:rPr>
          <w:rFonts w:cs="Calibri"/>
        </w:rPr>
        <w:t>seroprevalance</w:t>
      </w:r>
      <w:proofErr w:type="spellEnd"/>
      <w:r>
        <w:rPr>
          <w:rFonts w:cs="Calibri"/>
        </w:rPr>
        <w:t xml:space="preserve"> is low</w:t>
      </w:r>
      <w:r w:rsidR="002A0D79">
        <w:rPr>
          <w:rFonts w:cs="Calibri"/>
        </w:rPr>
        <w:t>,</w:t>
      </w:r>
      <w:r>
        <w:rPr>
          <w:rFonts w:cs="Calibri"/>
        </w:rPr>
        <w:t xml:space="preserve"> 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1E7664">
        <w:rPr>
          <w:rFonts w:cs="Calibri"/>
        </w:rPr>
        <w:t>3.5.3</w:t>
      </w:r>
      <w:r w:rsidR="009B70AD">
        <w:rPr>
          <w:rFonts w:cs="Calibri"/>
        </w:rPr>
        <w:fldChar w:fldCharType="end"/>
      </w:r>
      <w:r w:rsidR="0040730C" w:rsidRPr="00E52B4D">
        <w:rPr>
          <w:rFonts w:cs="Calibri"/>
        </w:rPr>
        <w:t>.</w:t>
      </w:r>
      <w:r w:rsidR="00DF5A57">
        <w:rPr>
          <w:rFonts w:cs="Calibri"/>
        </w:rPr>
        <w:t xml:space="preserve"> </w:t>
      </w:r>
    </w:p>
    <w:p w14:paraId="65235BB1" w14:textId="72629EF2" w:rsidR="00FB7E35" w:rsidRPr="006404A8" w:rsidRDefault="00FB7E35" w:rsidP="00BD40B7">
      <w:pPr>
        <w:pStyle w:val="3RARMP"/>
      </w:pPr>
      <w:bookmarkStart w:id="274" w:name="_Toc377743570"/>
      <w:bookmarkStart w:id="275" w:name="_Toc46243663"/>
      <w:bookmarkStart w:id="276" w:name="_Toc47536756"/>
      <w:bookmarkStart w:id="277" w:name="_Toc226975012"/>
      <w:r w:rsidRPr="006404A8">
        <w:t xml:space="preserve">Presence of similar </w:t>
      </w:r>
      <w:r w:rsidR="00282A86">
        <w:t xml:space="preserve">genetic material </w:t>
      </w:r>
      <w:r w:rsidRPr="006404A8">
        <w:t>in the environment</w:t>
      </w:r>
      <w:bookmarkEnd w:id="269"/>
      <w:bookmarkEnd w:id="270"/>
      <w:bookmarkEnd w:id="271"/>
      <w:bookmarkEnd w:id="272"/>
      <w:bookmarkEnd w:id="273"/>
      <w:bookmarkEnd w:id="274"/>
      <w:bookmarkEnd w:id="275"/>
      <w:bookmarkEnd w:id="276"/>
      <w:bookmarkEnd w:id="277"/>
    </w:p>
    <w:p w14:paraId="03F1B19D" w14:textId="1FD6E2B6" w:rsidR="00D022D7" w:rsidRDefault="00282A86" w:rsidP="008F3EEF">
      <w:pPr>
        <w:pStyle w:val="RARMPnumberedparagraphs"/>
        <w:rPr>
          <w:rFonts w:cs="Calibri"/>
        </w:rPr>
      </w:pPr>
      <w:bookmarkStart w:id="278" w:name="_Toc311188371"/>
      <w:r w:rsidRPr="00D022D7">
        <w:rPr>
          <w:rFonts w:cs="Calibri"/>
        </w:rPr>
        <w:t xml:space="preserve">The balance of a system could be perturbed by the introduction of new genetic material through horizontal gene transfer or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r w:rsidR="001866A6">
        <w:rPr>
          <w:rFonts w:cs="Calibri"/>
        </w:rPr>
        <w:t>.</w:t>
      </w:r>
    </w:p>
    <w:p w14:paraId="3B9C7B5B" w14:textId="00A9E271" w:rsidR="00415211" w:rsidRPr="00D022D7" w:rsidRDefault="0084061D" w:rsidP="008F3EEF">
      <w:pPr>
        <w:pStyle w:val="RARMPnumberedparagraphs"/>
        <w:rPr>
          <w:rFonts w:cs="Calibri"/>
        </w:rPr>
      </w:pPr>
      <w:r w:rsidRPr="000E47CD">
        <w:t xml:space="preserve">All the viral genes in the GM therapeutic are the same or </w:t>
      </w:r>
      <w:proofErr w:type="gramStart"/>
      <w:r w:rsidRPr="000E47CD">
        <w:t>similar to</w:t>
      </w:r>
      <w:proofErr w:type="gramEnd"/>
      <w:r w:rsidRPr="000E47CD">
        <w:t xml:space="preserve"> those present in naturally occurring </w:t>
      </w:r>
      <w:proofErr w:type="spellStart"/>
      <w:r w:rsidRPr="000E47CD">
        <w:t>HAdVs</w:t>
      </w:r>
      <w:proofErr w:type="spellEnd"/>
      <w:r w:rsidRPr="000E47CD">
        <w:t xml:space="preserve">. The </w:t>
      </w:r>
      <w:proofErr w:type="spellStart"/>
      <w:r w:rsidRPr="000E47CD">
        <w:rPr>
          <w:i/>
          <w:iCs/>
        </w:rPr>
        <w:t>hIFN</w:t>
      </w:r>
      <w:proofErr w:type="spellEnd"/>
      <w:r w:rsidRPr="000E47CD">
        <w:rPr>
          <w:i/>
          <w:iCs/>
        </w:rPr>
        <w:t>-</w:t>
      </w:r>
      <w:r w:rsidRPr="000E47CD">
        <w:rPr>
          <w:rFonts w:cs="Calibri"/>
          <w:i/>
          <w:iCs/>
        </w:rPr>
        <w:t>α</w:t>
      </w:r>
      <w:r w:rsidRPr="000E47CD">
        <w:rPr>
          <w:i/>
          <w:iCs/>
        </w:rPr>
        <w:t>2b</w:t>
      </w:r>
      <w:r w:rsidRPr="000E47CD">
        <w:t xml:space="preserve"> gene introduced into the GM therapeutic was derived </w:t>
      </w:r>
      <w:r>
        <w:t xml:space="preserve">from </w:t>
      </w:r>
      <w:r w:rsidRPr="002B0539">
        <w:t>humans</w:t>
      </w:r>
      <w:r>
        <w:t>, and so similar genetic material would already be present in the environment.</w:t>
      </w:r>
    </w:p>
    <w:p w14:paraId="4F09F9A2" w14:textId="1DE8BEB4" w:rsidR="00FB7E35" w:rsidRPr="00304A09" w:rsidRDefault="00FB7E35" w:rsidP="006E06B6">
      <w:pPr>
        <w:pStyle w:val="2RARMP"/>
      </w:pPr>
      <w:bookmarkStart w:id="279" w:name="_Toc46243664"/>
      <w:bookmarkStart w:id="280" w:name="_Toc47536757"/>
      <w:bookmarkStart w:id="281" w:name="_Ref67493452"/>
      <w:bookmarkStart w:id="282" w:name="_Toc226975013"/>
      <w:bookmarkEnd w:id="278"/>
      <w:r w:rsidRPr="00304A09">
        <w:t>Previous authorisations</w:t>
      </w:r>
      <w:bookmarkEnd w:id="279"/>
      <w:bookmarkEnd w:id="280"/>
      <w:bookmarkEnd w:id="281"/>
      <w:bookmarkEnd w:id="282"/>
    </w:p>
    <w:p w14:paraId="6DB8A8E2" w14:textId="5C9766FE" w:rsidR="0084061D" w:rsidRDefault="0084061D" w:rsidP="0084061D">
      <w:pPr>
        <w:pStyle w:val="3RARMP"/>
      </w:pPr>
      <w:bookmarkStart w:id="283" w:name="_Ref216451926"/>
      <w:bookmarkStart w:id="284" w:name="_Toc226975014"/>
      <w:bookmarkStart w:id="285" w:name="_Toc20804197"/>
      <w:r w:rsidRPr="0084061D">
        <w:t>Australian approvals</w:t>
      </w:r>
      <w:bookmarkEnd w:id="283"/>
      <w:bookmarkEnd w:id="284"/>
    </w:p>
    <w:bookmarkEnd w:id="285"/>
    <w:p w14:paraId="466AF089" w14:textId="77777777" w:rsidR="008A7B57" w:rsidRDefault="0084061D" w:rsidP="009D2A6D">
      <w:pPr>
        <w:pStyle w:val="RARMPnumberedparagraphs"/>
        <w:rPr>
          <w:rFonts w:cs="Calibri"/>
        </w:rPr>
      </w:pPr>
      <w:r>
        <w:rPr>
          <w:rFonts w:cs="Calibri"/>
        </w:rPr>
        <w:t xml:space="preserve">In October 2025, the Regulator issued a licence for the </w:t>
      </w:r>
      <w:r w:rsidR="00A759FF">
        <w:rPr>
          <w:rFonts w:cs="Calibri"/>
        </w:rPr>
        <w:t>c</w:t>
      </w:r>
      <w:r w:rsidR="00A759FF" w:rsidRPr="00A759FF">
        <w:rPr>
          <w:rFonts w:cs="Calibri"/>
        </w:rPr>
        <w:t xml:space="preserve">ommercial supply of </w:t>
      </w:r>
      <w:proofErr w:type="spellStart"/>
      <w:r w:rsidR="00A759FF" w:rsidRPr="00A759FF">
        <w:rPr>
          <w:rFonts w:cs="Calibri"/>
        </w:rPr>
        <w:t>nadofaragene</w:t>
      </w:r>
      <w:proofErr w:type="spellEnd"/>
      <w:r w:rsidR="00A759FF" w:rsidRPr="00A759FF">
        <w:rPr>
          <w:rFonts w:cs="Calibri"/>
        </w:rPr>
        <w:t xml:space="preserve"> </w:t>
      </w:r>
      <w:proofErr w:type="spellStart"/>
      <w:r w:rsidR="00A759FF" w:rsidRPr="00A759FF">
        <w:rPr>
          <w:rFonts w:cs="Calibri"/>
        </w:rPr>
        <w:t>firadenovec</w:t>
      </w:r>
      <w:proofErr w:type="spellEnd"/>
      <w:r w:rsidR="00A759FF" w:rsidRPr="00A759FF">
        <w:rPr>
          <w:rFonts w:cs="Calibri"/>
        </w:rPr>
        <w:t xml:space="preserve"> for bladder cancer treatment</w:t>
      </w:r>
      <w:r w:rsidR="00A759FF">
        <w:rPr>
          <w:rFonts w:cs="Calibri"/>
        </w:rPr>
        <w:t xml:space="preserve"> (</w:t>
      </w:r>
      <w:hyperlink r:id="rId38" w:history="1">
        <w:r w:rsidR="00A759FF" w:rsidRPr="00A759FF">
          <w:rPr>
            <w:rStyle w:val="Hyperlink"/>
            <w:rFonts w:cs="Calibri"/>
          </w:rPr>
          <w:t>DIR 217</w:t>
        </w:r>
      </w:hyperlink>
      <w:r w:rsidR="00A759FF">
        <w:rPr>
          <w:rFonts w:cs="Calibri"/>
        </w:rPr>
        <w:t xml:space="preserve">). This licence covers dealings only related to the commercial supply of the GMO, being </w:t>
      </w:r>
      <w:r w:rsidR="00A759FF" w:rsidRPr="00A759FF">
        <w:rPr>
          <w:rFonts w:cs="Calibri"/>
        </w:rPr>
        <w:t>import, transport</w:t>
      </w:r>
      <w:r w:rsidR="00A759FF">
        <w:rPr>
          <w:rFonts w:cs="Calibri"/>
        </w:rPr>
        <w:t>,</w:t>
      </w:r>
      <w:r w:rsidR="00A759FF" w:rsidRPr="00A759FF">
        <w:rPr>
          <w:rFonts w:cs="Calibri"/>
        </w:rPr>
        <w:t xml:space="preserve"> dispos</w:t>
      </w:r>
      <w:r w:rsidR="00A759FF">
        <w:rPr>
          <w:rFonts w:cs="Calibri"/>
        </w:rPr>
        <w:t>al and possession, but not experimentation (i.e. clinical trials)</w:t>
      </w:r>
      <w:r w:rsidR="00781D9F">
        <w:rPr>
          <w:rFonts w:cs="Calibri"/>
        </w:rPr>
        <w:t>.</w:t>
      </w:r>
    </w:p>
    <w:p w14:paraId="3954EDE3" w14:textId="1524369C" w:rsidR="00A759FF" w:rsidRPr="00A759FF" w:rsidRDefault="00A759FF" w:rsidP="009D2A6D">
      <w:pPr>
        <w:pStyle w:val="RARMPnumberedparagraphs"/>
        <w:rPr>
          <w:rFonts w:cs="Calibri"/>
        </w:rPr>
      </w:pPr>
      <w:r w:rsidRPr="000E47CD">
        <w:rPr>
          <w:rFonts w:asciiTheme="minorHAnsi" w:hAnsiTheme="minorHAnsi" w:cstheme="minorHAnsi"/>
        </w:rPr>
        <w:t xml:space="preserve">As </w:t>
      </w:r>
      <w:proofErr w:type="spellStart"/>
      <w:r w:rsidRPr="000E47CD">
        <w:rPr>
          <w:rFonts w:asciiTheme="minorHAnsi" w:hAnsiTheme="minorHAnsi" w:cstheme="minorHAnsi"/>
        </w:rPr>
        <w:t>nadofaragene</w:t>
      </w:r>
      <w:proofErr w:type="spellEnd"/>
      <w:r w:rsidRPr="000E47CD">
        <w:rPr>
          <w:rFonts w:asciiTheme="minorHAnsi" w:hAnsiTheme="minorHAnsi" w:cstheme="minorHAnsi"/>
        </w:rPr>
        <w:t xml:space="preserve"> </w:t>
      </w:r>
      <w:proofErr w:type="spellStart"/>
      <w:r w:rsidRPr="000E47CD">
        <w:rPr>
          <w:rFonts w:asciiTheme="minorHAnsi" w:hAnsiTheme="minorHAnsi" w:cstheme="minorHAnsi"/>
        </w:rPr>
        <w:t>firadenovec</w:t>
      </w:r>
      <w:proofErr w:type="spellEnd"/>
      <w:r w:rsidRPr="000E47CD">
        <w:rPr>
          <w:rFonts w:asciiTheme="minorHAnsi" w:hAnsiTheme="minorHAnsi" w:cstheme="minorHAnsi"/>
        </w:rPr>
        <w:t xml:space="preserve"> is manufactured overseas, a permit from DAFF will be required for its import into Australia.</w:t>
      </w:r>
    </w:p>
    <w:p w14:paraId="7525E732" w14:textId="4554D842" w:rsidR="00A759FF" w:rsidRDefault="00A759FF" w:rsidP="00A759FF">
      <w:pPr>
        <w:pStyle w:val="3RARMP"/>
      </w:pPr>
      <w:bookmarkStart w:id="286" w:name="_Ref216451961"/>
      <w:bookmarkStart w:id="287" w:name="_Toc226975015"/>
      <w:r>
        <w:t>International approvals</w:t>
      </w:r>
      <w:bookmarkEnd w:id="286"/>
      <w:bookmarkEnd w:id="287"/>
    </w:p>
    <w:p w14:paraId="7A4F4F3B" w14:textId="2D9C1B60" w:rsidR="00A759FF" w:rsidRDefault="00A759FF" w:rsidP="00A759FF">
      <w:pPr>
        <w:pStyle w:val="RARMPnumberedparagraphs"/>
      </w:pPr>
      <w:proofErr w:type="spellStart"/>
      <w:r>
        <w:t>Nadofaragene</w:t>
      </w:r>
      <w:proofErr w:type="spellEnd"/>
      <w:r>
        <w:t xml:space="preserve"> </w:t>
      </w:r>
      <w:proofErr w:type="spellStart"/>
      <w:r>
        <w:t>firadenovec</w:t>
      </w:r>
      <w:proofErr w:type="spellEnd"/>
      <w:r>
        <w:t xml:space="preserve"> was approved by the </w:t>
      </w:r>
      <w:r w:rsidR="00C2655A">
        <w:t xml:space="preserve">Food and </w:t>
      </w:r>
      <w:r>
        <w:t>Drug Administration in the USA in December 2022 for the treatment of high-risk BCG-unresponsive NMIBC under the tradename ADSTILADRIN.</w:t>
      </w:r>
    </w:p>
    <w:p w14:paraId="0ABB2552" w14:textId="78C80214" w:rsidR="00A759FF" w:rsidRDefault="00A759FF" w:rsidP="00A759FF">
      <w:pPr>
        <w:pStyle w:val="RARMPnumberedparagraphs"/>
      </w:pPr>
      <w:hyperlink r:id="rId39" w:history="1">
        <w:r w:rsidRPr="00A759FF">
          <w:rPr>
            <w:rStyle w:val="Hyperlink"/>
          </w:rPr>
          <w:t xml:space="preserve">Clinical trials of </w:t>
        </w:r>
        <w:proofErr w:type="spellStart"/>
        <w:r w:rsidRPr="00A759FF">
          <w:rPr>
            <w:rStyle w:val="Hyperlink"/>
          </w:rPr>
          <w:t>nadofaragene</w:t>
        </w:r>
        <w:proofErr w:type="spellEnd"/>
        <w:r w:rsidRPr="00A759FF">
          <w:rPr>
            <w:rStyle w:val="Hyperlink"/>
          </w:rPr>
          <w:t xml:space="preserve"> </w:t>
        </w:r>
        <w:proofErr w:type="spellStart"/>
        <w:r w:rsidRPr="00A759FF">
          <w:rPr>
            <w:rStyle w:val="Hyperlink"/>
          </w:rPr>
          <w:t>firadenovec</w:t>
        </w:r>
        <w:proofErr w:type="spellEnd"/>
      </w:hyperlink>
      <w:r>
        <w:t xml:space="preserve"> are being conducted in the USA and Japan.</w:t>
      </w:r>
    </w:p>
    <w:p w14:paraId="1A904FA9" w14:textId="79E526D1" w:rsidR="00A759FF" w:rsidRDefault="00A759FF" w:rsidP="009D2A6D">
      <w:pPr>
        <w:pStyle w:val="RARMPnumberedparagraphs"/>
        <w:rPr>
          <w:rFonts w:cs="Calibri"/>
        </w:rPr>
        <w:sectPr w:rsidR="00A759FF" w:rsidSect="00D83417">
          <w:footerReference w:type="default" r:id="rId40"/>
          <w:pgSz w:w="11909" w:h="16834" w:code="9"/>
          <w:pgMar w:top="1418" w:right="1418" w:bottom="1418" w:left="1418" w:header="720" w:footer="720" w:gutter="0"/>
          <w:paperSrc w:first="2" w:other="2"/>
          <w:cols w:space="720"/>
          <w:rtlGutter/>
        </w:sectPr>
      </w:pPr>
    </w:p>
    <w:p w14:paraId="3ADD06EB" w14:textId="77777777" w:rsidR="00FB7E35" w:rsidRPr="0000143A" w:rsidRDefault="00FB7E35" w:rsidP="00FB7E35">
      <w:pPr>
        <w:pStyle w:val="1RARMP"/>
      </w:pPr>
      <w:bookmarkStart w:id="288" w:name="_Toc301341849"/>
      <w:bookmarkStart w:id="289" w:name="_Toc46243667"/>
      <w:bookmarkStart w:id="290" w:name="_Toc47536760"/>
      <w:bookmarkStart w:id="291" w:name="_Ref57119450"/>
      <w:bookmarkStart w:id="292" w:name="_Ref57119486"/>
      <w:bookmarkStart w:id="293" w:name="_Ref57119506"/>
      <w:bookmarkStart w:id="294" w:name="_Ref67492223"/>
      <w:bookmarkStart w:id="295" w:name="_Ref67492419"/>
      <w:bookmarkStart w:id="296" w:name="_Toc226975016"/>
      <w:r w:rsidRPr="0000143A">
        <w:lastRenderedPageBreak/>
        <w:t>Risk assessment</w:t>
      </w:r>
      <w:bookmarkEnd w:id="288"/>
      <w:bookmarkEnd w:id="289"/>
      <w:bookmarkEnd w:id="290"/>
      <w:bookmarkEnd w:id="291"/>
      <w:bookmarkEnd w:id="292"/>
      <w:bookmarkEnd w:id="293"/>
      <w:bookmarkEnd w:id="294"/>
      <w:bookmarkEnd w:id="295"/>
      <w:bookmarkEnd w:id="296"/>
    </w:p>
    <w:p w14:paraId="4C5F2FED" w14:textId="77777777" w:rsidR="00FB7E35" w:rsidRPr="0000143A" w:rsidRDefault="00FB7E35" w:rsidP="006E06B6">
      <w:pPr>
        <w:pStyle w:val="2RARMP"/>
      </w:pPr>
      <w:bookmarkStart w:id="297" w:name="_Toc301341850"/>
      <w:bookmarkStart w:id="298" w:name="_Toc446425406"/>
      <w:bookmarkStart w:id="299" w:name="_Toc46243668"/>
      <w:bookmarkStart w:id="300" w:name="_Toc47536761"/>
      <w:bookmarkStart w:id="301" w:name="_Toc226975017"/>
      <w:r w:rsidRPr="0000143A">
        <w:t>Introduction</w:t>
      </w:r>
      <w:bookmarkEnd w:id="297"/>
      <w:bookmarkEnd w:id="298"/>
      <w:bookmarkEnd w:id="299"/>
      <w:bookmarkEnd w:id="300"/>
      <w:bookmarkEnd w:id="301"/>
    </w:p>
    <w:p w14:paraId="7ABE66AB" w14:textId="44CC9253"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163EB7">
        <w:t xml:space="preserve">Figure </w:t>
      </w:r>
      <w:r w:rsidR="00754099">
        <w:t>6</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1E7664">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302" w:name="_Ref298160107"/>
      <w:bookmarkStart w:id="303"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41">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02"/>
    </w:p>
    <w:p w14:paraId="3E1DBE5E" w14:textId="2CC0FE8B" w:rsidR="00FB7E35" w:rsidRPr="007E3AE5" w:rsidRDefault="007E3AE5" w:rsidP="00340E83">
      <w:pPr>
        <w:pStyle w:val="figure"/>
      </w:pPr>
      <w:bookmarkStart w:id="304" w:name="_Ref55378222"/>
      <w:bookmarkStart w:id="305" w:name="_Ref55545144"/>
      <w:r>
        <w:t>Figure</w:t>
      </w:r>
      <w:bookmarkEnd w:id="304"/>
      <w:r w:rsidR="00163EB7">
        <w:t xml:space="preserve"> </w:t>
      </w:r>
      <w:r w:rsidR="00754099">
        <w:t>6</w:t>
      </w:r>
      <w:r>
        <w:t xml:space="preserve">: </w:t>
      </w:r>
      <w:r w:rsidR="00C63E8D">
        <w:rPr>
          <w:b/>
        </w:rPr>
        <w:t xml:space="preserve"> </w:t>
      </w:r>
      <w:r w:rsidR="00FB7E35" w:rsidRPr="00340E83">
        <w:t>The risk assessment process</w:t>
      </w:r>
      <w:bookmarkEnd w:id="303"/>
      <w:bookmarkEnd w:id="305"/>
    </w:p>
    <w:p w14:paraId="161CE475" w14:textId="4F01C572" w:rsidR="00FB7E35" w:rsidRPr="003E2C69" w:rsidRDefault="00FB7E35" w:rsidP="00EE5A10">
      <w:pPr>
        <w:pStyle w:val="RARMPnumberedparagraphs"/>
        <w:tabs>
          <w:tab w:val="clear" w:pos="567"/>
        </w:tabs>
        <w:rPr>
          <w:color w:val="000000" w:themeColor="text1"/>
        </w:rPr>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68" w:tooltip="OGTR, 2013 #1" w:history="1">
        <w:r w:rsidR="0027195B">
          <w:rPr>
            <w:noProof/>
          </w:rPr>
          <w:t>OGTR, 2013</w:t>
        </w:r>
      </w:hyperlink>
      <w:r w:rsidR="0082001F">
        <w:rPr>
          <w:noProof/>
        </w:rPr>
        <w:t>)</w:t>
      </w:r>
      <w:r w:rsidR="0082001F">
        <w:fldChar w:fldCharType="end"/>
      </w:r>
      <w:r w:rsidRPr="007C172B">
        <w:t>.</w:t>
      </w:r>
      <w:r w:rsidR="00B00731" w:rsidRPr="00B00731">
        <w:t xml:space="preserve"> </w:t>
      </w:r>
      <w:r w:rsidR="00B00731" w:rsidRPr="003E2C69">
        <w:rPr>
          <w:color w:val="000000" w:themeColor="text1"/>
        </w:rPr>
        <w:t>Risk scenarios examined in RARMPs prepared for licence applications for the same or similar GMOs, are also considered.</w:t>
      </w:r>
    </w:p>
    <w:p w14:paraId="6D751AD8" w14:textId="77777777" w:rsidR="00FB7E35" w:rsidRPr="007C172B" w:rsidRDefault="00FB7E35" w:rsidP="00EE5A10">
      <w:pPr>
        <w:pStyle w:val="RARMPnumberedparagraphs"/>
        <w:tabs>
          <w:tab w:val="clear" w:pos="567"/>
        </w:tab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8F92AD1"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Figure 8</w:t>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6E06B6">
      <w:pPr>
        <w:pStyle w:val="2RARMP"/>
      </w:pPr>
      <w:bookmarkStart w:id="306" w:name="_Toc301341851"/>
      <w:bookmarkStart w:id="307" w:name="_Toc46243669"/>
      <w:bookmarkStart w:id="308" w:name="_Toc47536762"/>
      <w:bookmarkStart w:id="309" w:name="_Toc226975018"/>
      <w:r w:rsidRPr="0000143A">
        <w:t>Risk identification</w:t>
      </w:r>
      <w:bookmarkEnd w:id="306"/>
      <w:bookmarkEnd w:id="307"/>
      <w:bookmarkEnd w:id="308"/>
      <w:bookmarkEnd w:id="309"/>
    </w:p>
    <w:p w14:paraId="4A94BE29" w14:textId="16CFDD93"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163EB7">
        <w:t xml:space="preserve">Figure </w:t>
      </w:r>
      <w:r w:rsidR="00754099">
        <w:t>7</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AFFC7"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5FF100FB" w:rsidR="00FB7E35" w:rsidRPr="00232F77" w:rsidRDefault="00232F77" w:rsidP="00340E83">
      <w:pPr>
        <w:pStyle w:val="figure"/>
      </w:pPr>
      <w:bookmarkStart w:id="310" w:name="_Ref55379143"/>
      <w:bookmarkStart w:id="311" w:name="_Ref475973580"/>
      <w:bookmarkStart w:id="312" w:name="_Toc34906266"/>
      <w:r>
        <w:t>Figure</w:t>
      </w:r>
      <w:bookmarkEnd w:id="310"/>
      <w:r w:rsidR="00163EB7">
        <w:t xml:space="preserve"> </w:t>
      </w:r>
      <w:r w:rsidR="00754099">
        <w:t>7</w:t>
      </w:r>
      <w:r>
        <w:t>:</w:t>
      </w:r>
      <w:r w:rsidR="00FB7E35" w:rsidRPr="00C63E8D">
        <w:rPr>
          <w:b/>
        </w:rPr>
        <w:t xml:space="preserve"> </w:t>
      </w:r>
      <w:r w:rsidR="00FB7E35" w:rsidRPr="00340E83">
        <w:t>Components of a risk scenario</w:t>
      </w:r>
      <w:bookmarkEnd w:id="311"/>
      <w:bookmarkEnd w:id="312"/>
    </w:p>
    <w:p w14:paraId="0C78C9A8" w14:textId="494DD9E0" w:rsidR="00FB7E35" w:rsidRPr="0000143A" w:rsidRDefault="00FB7E35" w:rsidP="00FB7E35">
      <w:pPr>
        <w:pStyle w:val="RARMPnumberedparagraphs"/>
        <w:tabs>
          <w:tab w:val="clear" w:pos="567"/>
        </w:tabs>
        <w:ind w:left="360" w:hanging="360"/>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1E7664">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313" w:name="_Ref490461333"/>
      <w:bookmarkStart w:id="314" w:name="_Ref496597381"/>
      <w:bookmarkStart w:id="315" w:name="_Toc46243670"/>
      <w:bookmarkStart w:id="316" w:name="_Toc47536763"/>
      <w:bookmarkStart w:id="317" w:name="_Toc226975019"/>
      <w:r w:rsidRPr="0000143A">
        <w:t>Risk source</w:t>
      </w:r>
      <w:bookmarkEnd w:id="313"/>
      <w:bookmarkEnd w:id="314"/>
      <w:bookmarkEnd w:id="315"/>
      <w:bookmarkEnd w:id="316"/>
      <w:bookmarkEnd w:id="317"/>
    </w:p>
    <w:p w14:paraId="3D2A919B" w14:textId="0916346C" w:rsidR="000334B9" w:rsidRPr="003B6497" w:rsidRDefault="003B6497" w:rsidP="003B6497">
      <w:pPr>
        <w:pStyle w:val="RARMPnumberedparagraphs"/>
        <w:tabs>
          <w:tab w:val="clear" w:pos="567"/>
        </w:tabs>
      </w:pPr>
      <w:r>
        <w:t>T</w:t>
      </w:r>
      <w:r w:rsidRPr="003B6497">
        <w:t>he parent organism is a HAdV-</w:t>
      </w:r>
      <w:r w:rsidRPr="003E2C69">
        <w:rPr>
          <w:color w:val="000000" w:themeColor="text1"/>
        </w:rPr>
        <w:t>C5</w:t>
      </w:r>
      <w:r w:rsidR="00F1397D">
        <w:t>. Details of</w:t>
      </w:r>
      <w:r w:rsidR="00FB7E35">
        <w:t xml:space="preserve"> the pathogenicity and transmissibility of</w:t>
      </w:r>
      <w:r w:rsidR="00FB7E35" w:rsidRPr="00F6440E">
        <w:t xml:space="preserve"> </w:t>
      </w:r>
      <w:proofErr w:type="spellStart"/>
      <w:r w:rsidR="00340E83">
        <w:t>HAdV</w:t>
      </w:r>
      <w:proofErr w:type="spellEnd"/>
      <w:r w:rsidR="00340E83">
        <w:t xml:space="preserve"> </w:t>
      </w:r>
      <w:r w:rsidR="00FB7E35">
        <w:t xml:space="preserve">is </w:t>
      </w:r>
      <w:r w:rsidR="00472456">
        <w:t xml:space="preserve">discussed in </w:t>
      </w:r>
      <w:r w:rsidR="00472456">
        <w:fldChar w:fldCharType="begin"/>
      </w:r>
      <w:r w:rsidR="00472456">
        <w:instrText xml:space="preserve"> REF _Ref57118949 \r \h </w:instrText>
      </w:r>
      <w:r w:rsidR="00472456">
        <w:fldChar w:fldCharType="separate"/>
      </w:r>
      <w:r w:rsidR="001E7664">
        <w:t>Chapter 1</w:t>
      </w:r>
      <w:r w:rsidR="00472456">
        <w:fldChar w:fldCharType="end"/>
      </w:r>
      <w:r w:rsidR="00FB7E35">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proofErr w:type="spellStart"/>
      <w:r w:rsidR="00340E83">
        <w:t>HAdV</w:t>
      </w:r>
      <w:proofErr w:type="spellEnd"/>
      <w:r w:rsidR="00F6440E">
        <w:t xml:space="preserve"> infects </w:t>
      </w:r>
      <w:r w:rsidR="00340E83">
        <w:t>humans</w:t>
      </w:r>
      <w:r w:rsidR="00F1397D">
        <w:t xml:space="preserve"> and causes common cold-</w:t>
      </w:r>
      <w:r w:rsidR="00340E83">
        <w:t>like symptoms, eye</w:t>
      </w:r>
      <w:r w:rsidR="00F6440E">
        <w:t xml:space="preserve"> infections or diarrhoea.</w:t>
      </w:r>
    </w:p>
    <w:p w14:paraId="2AC87261" w14:textId="374748BF"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1E7664">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1E7664">
        <w:t>4.1</w:t>
      </w:r>
      <w:r>
        <w:fldChar w:fldCharType="end"/>
      </w:r>
      <w:r w:rsidR="00D02E9A">
        <w:t xml:space="preserve">, the GMO </w:t>
      </w:r>
      <w:r w:rsidR="003B6497" w:rsidRPr="004207A4">
        <w:t xml:space="preserve">has been modified by deleting specific gene sequences and replacing a deleted DNA sequence with the </w:t>
      </w:r>
      <w:proofErr w:type="spellStart"/>
      <w:r w:rsidR="003B6497" w:rsidRPr="004207A4">
        <w:rPr>
          <w:i/>
          <w:iCs/>
        </w:rPr>
        <w:t>hIFN</w:t>
      </w:r>
      <w:proofErr w:type="spellEnd"/>
      <w:r w:rsidR="003B6497" w:rsidRPr="004207A4">
        <w:rPr>
          <w:i/>
          <w:iCs/>
        </w:rPr>
        <w:t>-α2b</w:t>
      </w:r>
      <w:r w:rsidR="003B6497" w:rsidRPr="004207A4">
        <w:t xml:space="preserve"> gene expression cassette. This introduced gene and its encoded protein are considered further as a potential source of risk.</w:t>
      </w:r>
    </w:p>
    <w:p w14:paraId="21D24CF5" w14:textId="41F41A0E" w:rsidR="00FB7E35" w:rsidRPr="0000143A" w:rsidRDefault="00FB7E35" w:rsidP="00FB7E35">
      <w:pPr>
        <w:pStyle w:val="3RARMP"/>
      </w:pPr>
      <w:bookmarkStart w:id="318" w:name="_Toc46243671"/>
      <w:bookmarkStart w:id="319" w:name="_Toc47536764"/>
      <w:bookmarkStart w:id="320" w:name="_Toc226975020"/>
      <w:r w:rsidRPr="0000143A">
        <w:t>Causal pathway</w:t>
      </w:r>
      <w:bookmarkEnd w:id="318"/>
      <w:bookmarkEnd w:id="319"/>
      <w:bookmarkEnd w:id="320"/>
    </w:p>
    <w:p w14:paraId="1BDF27AD" w14:textId="77777777" w:rsidR="00FB7E35" w:rsidRPr="0000143A" w:rsidRDefault="00FB7E35" w:rsidP="00EE5A10">
      <w:pPr>
        <w:pStyle w:val="RARMPnumberedparagraphs"/>
        <w:tabs>
          <w:tab w:val="clear" w:pos="567"/>
        </w:tab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61EF7CD6" w:rsidR="00FB7E35" w:rsidRPr="0000143A" w:rsidRDefault="00FB7E35" w:rsidP="00FB7E35">
      <w:pPr>
        <w:pStyle w:val="BulletedRARMP"/>
        <w:tabs>
          <w:tab w:val="clear" w:pos="567"/>
          <w:tab w:val="num" w:pos="851"/>
        </w:tabs>
        <w:spacing w:after="60"/>
        <w:ind w:left="851" w:hanging="425"/>
      </w:pPr>
      <w:r>
        <w:t xml:space="preserve">the proposed dealings, which are </w:t>
      </w:r>
      <w:r w:rsidR="00BD54C7">
        <w:t xml:space="preserve">conducting experiments </w:t>
      </w:r>
      <w:r w:rsidR="00BD54C7">
        <w:rPr>
          <w:szCs w:val="22"/>
        </w:rPr>
        <w:t>with the GMO</w:t>
      </w:r>
      <w:r>
        <w:t xml:space="preserve">, </w:t>
      </w:r>
      <w:r w:rsidR="00BD54C7">
        <w:t xml:space="preserve">and </w:t>
      </w:r>
      <w:r>
        <w:t xml:space="preserve">transport or disposal of </w:t>
      </w:r>
      <w:r w:rsidR="00A460DD">
        <w:t xml:space="preserve">the GMO </w:t>
      </w:r>
      <w:r>
        <w:t xml:space="preserve">and possession (including storage) </w:t>
      </w:r>
      <w:proofErr w:type="gramStart"/>
      <w:r>
        <w:t>in the course of</w:t>
      </w:r>
      <w:proofErr w:type="gramEnd"/>
      <w:r>
        <w:t xml:space="preserve"> any of these dealings</w:t>
      </w:r>
      <w:r w:rsidR="00AC424E">
        <w:t xml:space="preserve"> (excluding any dealings already covered by licence DIR 217</w:t>
      </w:r>
      <w:proofErr w:type="gramStart"/>
      <w:r w:rsidR="00AC424E">
        <w:t>)</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lastRenderedPageBreak/>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2273F36A" w:rsidR="00FB7E35" w:rsidRPr="00961290" w:rsidRDefault="00FB7E35" w:rsidP="00FB7E35">
      <w:pPr>
        <w:pStyle w:val="BulletedRARMP"/>
        <w:tabs>
          <w:tab w:val="clear" w:pos="567"/>
          <w:tab w:val="num" w:pos="851"/>
        </w:tabs>
        <w:spacing w:after="60"/>
        <w:ind w:left="851" w:hanging="425"/>
      </w:pPr>
      <w:r w:rsidRPr="00961290">
        <w:t>routes of exposure to the GMO,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554DEEE4"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GMO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29D28250" w:rsidR="00FB7E35" w:rsidRPr="00961290" w:rsidRDefault="00FB7E35" w:rsidP="00FB7E35">
      <w:pPr>
        <w:pStyle w:val="BulletedRARMP"/>
        <w:tabs>
          <w:tab w:val="clear" w:pos="567"/>
          <w:tab w:val="num" w:pos="851"/>
        </w:tabs>
        <w:spacing w:after="60"/>
        <w:ind w:left="851" w:hanging="425"/>
      </w:pPr>
      <w:r w:rsidRPr="00961290">
        <w:t>spread and persistence of the GMO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1E176101" w14:textId="04B9930B" w:rsidR="00FB7E35" w:rsidRPr="00961290" w:rsidRDefault="00FB7E35" w:rsidP="00FB7E35">
      <w:pPr>
        <w:pStyle w:val="BulletedRARMP"/>
        <w:tabs>
          <w:tab w:val="clear" w:pos="567"/>
          <w:tab w:val="num" w:pos="851"/>
        </w:tabs>
        <w:spacing w:after="60"/>
        <w:ind w:left="851" w:hanging="425"/>
      </w:pPr>
      <w:r w:rsidRPr="00961290">
        <w:t xml:space="preserve">gene transfer by horizontal gene </w:t>
      </w:r>
      <w:proofErr w:type="gramStart"/>
      <w:r w:rsidRPr="00961290">
        <w:t>transfer</w:t>
      </w:r>
      <w:r w:rsidR="00546ED8">
        <w:t>;</w:t>
      </w:r>
      <w:proofErr w:type="gramEnd"/>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6D848A88" w:rsidR="003D4576" w:rsidRPr="003D4576" w:rsidRDefault="000E1237" w:rsidP="00546ED8">
      <w:pPr>
        <w:pStyle w:val="RARMPnumberedparagraphs"/>
        <w:tabs>
          <w:tab w:val="clear" w:pos="567"/>
        </w:tabs>
      </w:pPr>
      <w:r>
        <w:t xml:space="preserve">As discussed in Chapter 1 Section </w:t>
      </w:r>
      <w:r w:rsidR="00B00731">
        <w:fldChar w:fldCharType="begin"/>
      </w:r>
      <w:r w:rsidR="00B00731">
        <w:instrText xml:space="preserve"> REF _Ref425251282 \n \h </w:instrText>
      </w:r>
      <w:r w:rsidR="00B00731">
        <w:fldChar w:fldCharType="separate"/>
      </w:r>
      <w:r w:rsidR="00B00731">
        <w:t>1.1</w:t>
      </w:r>
      <w:r w:rsidR="00B00731">
        <w:fldChar w:fldCharType="end"/>
      </w:r>
      <w:r>
        <w:t xml:space="preserve">,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fldChar w:fldCharType="separate"/>
      </w:r>
      <w:r>
        <w:rPr>
          <w:noProof/>
        </w:rPr>
        <w:t>(</w:t>
      </w:r>
      <w:hyperlink w:anchor="_ENREF_64" w:tooltip="National Health and Medical Research Council, 2018 #2" w:history="1">
        <w:r w:rsidR="0027195B">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w:t>
      </w:r>
      <w:proofErr w:type="gramStart"/>
      <w:r w:rsidRPr="00961290">
        <w:t>conditions, and</w:t>
      </w:r>
      <w:proofErr w:type="gramEnd"/>
      <w:r w:rsidRPr="00961290">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05C6EBC" w14:textId="34348A3B" w:rsidR="00580665" w:rsidRDefault="00580665" w:rsidP="00580665">
      <w:pPr>
        <w:pStyle w:val="RARMPnumberedparagraphs"/>
      </w:pPr>
      <w:r w:rsidRPr="00580665">
        <w:t xml:space="preserve">As mentioned in Chapter 1, Section </w:t>
      </w:r>
      <w:r w:rsidR="00612D03">
        <w:fldChar w:fldCharType="begin"/>
      </w:r>
      <w:r w:rsidR="00612D03">
        <w:instrText xml:space="preserve"> REF _Ref57119116 \n \h </w:instrText>
      </w:r>
      <w:r w:rsidR="00612D03">
        <w:fldChar w:fldCharType="separate"/>
      </w:r>
      <w:r w:rsidR="00612D03">
        <w:t>3.4</w:t>
      </w:r>
      <w:r w:rsidR="00612D03">
        <w:fldChar w:fldCharType="end"/>
      </w:r>
      <w:r w:rsidRPr="00580665">
        <w:t xml:space="preserve">, adenoviruses remain episomal throughout the infection and </w:t>
      </w:r>
      <w:r w:rsidR="00247008">
        <w:t>rarely integrate</w:t>
      </w:r>
      <w:r w:rsidRPr="00580665">
        <w:t xml:space="preserv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w:t>
      </w:r>
      <w:r w:rsidR="00544679">
        <w:t xml:space="preserve">(such as HAdV-C5) </w:t>
      </w:r>
      <w:r w:rsidRPr="00580665">
        <w:t xml:space="preserve">have been used extensively in clinical studies as a vaccine and </w:t>
      </w:r>
      <w:r w:rsidR="00011E9C">
        <w:t xml:space="preserve">as a </w:t>
      </w:r>
      <w:r w:rsidRPr="00580665">
        <w:t>gene therapy for almost 30 years (Crystal, 2014) and there is no evidence of integration of viral DNA into the host genome. Thus, the consequences of integration of viral DNA into a host cell genome will not be further discussed.</w:t>
      </w:r>
    </w:p>
    <w:p w14:paraId="76DFBFA4" w14:textId="52CD730F" w:rsidR="00F248AB" w:rsidRPr="00A27729" w:rsidRDefault="00F248AB" w:rsidP="00580665">
      <w:pPr>
        <w:pStyle w:val="RARMPnumberedparagraphs"/>
      </w:pPr>
      <w:r w:rsidRPr="00A27729">
        <w:t xml:space="preserve">Recombination between different </w:t>
      </w:r>
      <w:r w:rsidR="003208BB" w:rsidRPr="00A27729">
        <w:t xml:space="preserve">GMOs </w:t>
      </w:r>
      <w:r w:rsidRPr="00A27729">
        <w:t xml:space="preserve">using adenovirus platforms is highly unlikely because it is </w:t>
      </w:r>
      <w:r w:rsidR="00544679" w:rsidRPr="00A27729">
        <w:t>improbable</w:t>
      </w:r>
      <w:r w:rsidRPr="00A27729">
        <w:t xml:space="preserve"> that two or more </w:t>
      </w:r>
      <w:r w:rsidR="003208BB" w:rsidRPr="00A27729">
        <w:t>adenovirus-based</w:t>
      </w:r>
      <w:r w:rsidR="002A0824" w:rsidRPr="00A27729">
        <w:t xml:space="preserve"> therapies</w:t>
      </w:r>
      <w:r w:rsidRPr="00A27729">
        <w:t xml:space="preserve"> are administered at the same time </w:t>
      </w:r>
      <w:r w:rsidR="006063ED" w:rsidRPr="00A27729">
        <w:t>with the same route</w:t>
      </w:r>
      <w:r w:rsidR="00653A97" w:rsidRPr="00A27729">
        <w:t xml:space="preserve"> (</w:t>
      </w:r>
      <w:r w:rsidR="003B6497" w:rsidRPr="00A27729">
        <w:t>intravesical</w:t>
      </w:r>
      <w:r w:rsidR="00653A97" w:rsidRPr="00A27729">
        <w:t>)</w:t>
      </w:r>
      <w:r w:rsidRPr="00A27729">
        <w:t xml:space="preserve"> </w:t>
      </w:r>
      <w:r w:rsidR="002A0824" w:rsidRPr="00A27729">
        <w:t xml:space="preserve">and </w:t>
      </w:r>
      <w:r w:rsidRPr="00A27729">
        <w:t>the lack of homology between adenoviral vectors further reduces the possibility of recombination</w:t>
      </w:r>
      <w:r w:rsidR="002A0824" w:rsidRPr="00A27729">
        <w:t>.</w:t>
      </w:r>
      <w:r w:rsidRPr="00A27729">
        <w:t xml:space="preserve"> Thus, the potential of recombination between adenoviral </w:t>
      </w:r>
      <w:r w:rsidR="002A0824" w:rsidRPr="00A27729">
        <w:t xml:space="preserve">therapies </w:t>
      </w:r>
      <w:r w:rsidRPr="00A27729">
        <w:t xml:space="preserve">will not be further discussed. </w:t>
      </w:r>
    </w:p>
    <w:p w14:paraId="3EF2DE1E" w14:textId="2A84602E" w:rsidR="003B6497" w:rsidRDefault="003B6497" w:rsidP="00580665">
      <w:pPr>
        <w:pStyle w:val="RARMPnumberedparagraphs"/>
      </w:pPr>
      <w:r w:rsidRPr="006F12DE">
        <w:rPr>
          <w:snapToGrid w:val="0"/>
        </w:rPr>
        <w:t xml:space="preserve">Potential sources of harm can be </w:t>
      </w:r>
      <w:r>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Pr>
          <w:snapToGrid w:val="0"/>
        </w:rPr>
        <w:t xml:space="preserve"> which is </w:t>
      </w:r>
      <w:r w:rsidRPr="006F12DE">
        <w:rPr>
          <w:snapToGrid w:val="0"/>
        </w:rPr>
        <w:t xml:space="preserve">the stable transfer of genetic material from one organism to another without </w:t>
      </w:r>
      <w:r>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w:t>
      </w:r>
      <w:r w:rsidRPr="006F12DE">
        <w:rPr>
          <w:snapToGrid w:val="0"/>
        </w:rPr>
        <w:lastRenderedPageBreak/>
        <w:t xml:space="preserve">organism. The novel trait may result in negative, neutral or positive effects on the fitness of the recipient organism. HGT </w:t>
      </w:r>
      <w:r>
        <w:rPr>
          <w:snapToGrid w:val="0"/>
        </w:rPr>
        <w:t xml:space="preserve">commonly occurs from cells to viruses but </w:t>
      </w:r>
      <w:r w:rsidRPr="006F12DE">
        <w:rPr>
          <w:snapToGrid w:val="0"/>
        </w:rPr>
        <w:t xml:space="preserve">rarely occurs from </w:t>
      </w:r>
      <w:r>
        <w:rPr>
          <w:snapToGrid w:val="0"/>
        </w:rPr>
        <w:t xml:space="preserve">viruses to their host cells, </w:t>
      </w:r>
      <w:r w:rsidR="002C3A30">
        <w:rPr>
          <w:snapToGrid w:val="0"/>
        </w:rPr>
        <w:t>except for</w:t>
      </w:r>
      <w:r>
        <w:rPr>
          <w:snapToGrid w:val="0"/>
        </w:rPr>
        <w:t xml:space="preserve"> retroviruses and some DNA viruses</w:t>
      </w:r>
      <w:r w:rsidRPr="006F12DE">
        <w:rPr>
          <w:snapToGrid w:val="0"/>
        </w:rPr>
        <w:t xml:space="preserve">. </w:t>
      </w:r>
      <w:r>
        <w:rPr>
          <w:snapToGrid w:val="0"/>
        </w:rPr>
        <w:t>This pathway is further considered as a potential source of risk.</w:t>
      </w:r>
    </w:p>
    <w:p w14:paraId="613B92FF" w14:textId="01E7E8E5" w:rsidR="00FB7E35" w:rsidRPr="00961290" w:rsidRDefault="00FB7E35" w:rsidP="00FB7E35">
      <w:pPr>
        <w:pStyle w:val="3RARMP"/>
        <w:spacing w:before="240"/>
      </w:pPr>
      <w:bookmarkStart w:id="321" w:name="_Toc453825264"/>
      <w:bookmarkStart w:id="322" w:name="_Toc534809825"/>
      <w:bookmarkStart w:id="323" w:name="_Toc37145972"/>
      <w:bookmarkStart w:id="324" w:name="_Toc46243672"/>
      <w:bookmarkStart w:id="325" w:name="_Toc47536765"/>
      <w:bookmarkStart w:id="326" w:name="_Toc226975021"/>
      <w:r w:rsidRPr="00961290">
        <w:t>Potential harm</w:t>
      </w:r>
      <w:bookmarkEnd w:id="321"/>
      <w:bookmarkEnd w:id="322"/>
      <w:bookmarkEnd w:id="323"/>
      <w:bookmarkEnd w:id="324"/>
      <w:bookmarkEnd w:id="325"/>
      <w:r w:rsidR="000D3070">
        <w:t>s</w:t>
      </w:r>
      <w:bookmarkEnd w:id="326"/>
    </w:p>
    <w:p w14:paraId="458319CD" w14:textId="59401F09" w:rsidR="00FB7E35" w:rsidRPr="00961290" w:rsidRDefault="000D3070" w:rsidP="00B32534">
      <w:pPr>
        <w:pStyle w:val="RARMPnumberedparagraphs"/>
        <w:tabs>
          <w:tab w:val="clear" w:pos="567"/>
        </w:tab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33E5C523" w:rsidR="00FB7E35"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p>
    <w:p w14:paraId="286D189D" w14:textId="764F4DC7" w:rsidR="003B6497" w:rsidRPr="00664190" w:rsidRDefault="003B6497" w:rsidP="003B6497">
      <w:pPr>
        <w:pStyle w:val="RARMPnumberedparagraphs"/>
      </w:pPr>
      <w:r w:rsidRPr="003B6497">
        <w:t xml:space="preserve">Toxicity and allergenicity of the introduced genes and their protein products have not been directly considered but are </w:t>
      </w:r>
      <w:proofErr w:type="gramStart"/>
      <w:r w:rsidRPr="003B6497">
        <w:t>taken into account</w:t>
      </w:r>
      <w:proofErr w:type="gramEnd"/>
      <w:r w:rsidRPr="003B6497">
        <w:t xml:space="preserve"> in the context of their contribution to ill health.</w:t>
      </w:r>
    </w:p>
    <w:p w14:paraId="0B4B3E29" w14:textId="77777777" w:rsidR="00FB7E35" w:rsidRPr="0000143A" w:rsidRDefault="00FB7E35" w:rsidP="00FB7E35">
      <w:pPr>
        <w:pStyle w:val="3RARMP"/>
      </w:pPr>
      <w:bookmarkStart w:id="327" w:name="_Toc46243673"/>
      <w:bookmarkStart w:id="328" w:name="_Toc47536766"/>
      <w:bookmarkStart w:id="329" w:name="_Toc226975022"/>
      <w:r w:rsidRPr="0000143A">
        <w:t>Postulated risk scenarios</w:t>
      </w:r>
      <w:bookmarkEnd w:id="327"/>
      <w:bookmarkEnd w:id="328"/>
      <w:bookmarkEnd w:id="329"/>
    </w:p>
    <w:p w14:paraId="609C700D" w14:textId="7AEB6D4A" w:rsidR="00FB7E35" w:rsidRDefault="00FB7E35" w:rsidP="00B32534">
      <w:pPr>
        <w:pStyle w:val="RARMPnumberedparagraphs"/>
        <w:tabs>
          <w:tab w:val="clear" w:pos="567"/>
        </w:tab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 xml:space="preserve">in Table </w:t>
      </w:r>
      <w:r w:rsidR="0049232C" w:rsidRPr="003E2C69">
        <w:rPr>
          <w:color w:val="000000" w:themeColor="text1"/>
        </w:rPr>
        <w:t>2</w:t>
      </w:r>
      <w:r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1E7664">
        <w:t>2.4.1</w:t>
      </w:r>
      <w:r w:rsidR="009B70AD">
        <w:fldChar w:fldCharType="end"/>
      </w:r>
      <w:r w:rsidR="00F10728">
        <w:t>-</w:t>
      </w:r>
      <w:r w:rsidR="009B70AD">
        <w:fldChar w:fldCharType="begin"/>
      </w:r>
      <w:r w:rsidR="009B70AD">
        <w:instrText xml:space="preserve"> REF _Ref61527106 \n \h </w:instrText>
      </w:r>
      <w:r w:rsidR="009B70AD">
        <w:fldChar w:fldCharType="separate"/>
      </w:r>
      <w:r w:rsidR="001E7664">
        <w:t>2.4.3</w:t>
      </w:r>
      <w:r w:rsidR="009B70AD">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tabs>
          <w:tab w:val="clear" w:pos="567"/>
        </w:tab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30" w:name="_Ref490043887"/>
      <w:bookmarkStart w:id="331" w:name="_Ref490207084"/>
    </w:p>
    <w:p w14:paraId="0F1166AA" w14:textId="37D8D417" w:rsidR="00FB7E35" w:rsidRPr="008F7A8B" w:rsidRDefault="000D224E" w:rsidP="00787440">
      <w:pPr>
        <w:pStyle w:val="table"/>
      </w:pPr>
      <w:bookmarkStart w:id="332" w:name="_Ref191117258"/>
      <w:bookmarkStart w:id="333" w:name="_Ref222561300"/>
      <w:bookmarkStart w:id="334" w:name="_Ref376429439"/>
      <w:bookmarkEnd w:id="330"/>
      <w:bookmarkEnd w:id="331"/>
      <w:r w:rsidRPr="003E2C69">
        <w:t xml:space="preserve">Table 2. </w:t>
      </w:r>
      <w:r w:rsidR="00FB7E35" w:rsidRPr="008F7A8B">
        <w:t xml:space="preserve">Summary of </w:t>
      </w:r>
      <w:bookmarkStart w:id="335" w:name="_Hlk216278550"/>
      <w:r w:rsidR="004F05DE" w:rsidRPr="008F7A8B">
        <w:t xml:space="preserve">hypothetical </w:t>
      </w:r>
      <w:r w:rsidR="00FB7E35" w:rsidRPr="008F7A8B">
        <w:t xml:space="preserve">risk scenarios from dealings with </w:t>
      </w:r>
      <w:r w:rsidR="00785E9A">
        <w:t xml:space="preserve">the </w:t>
      </w:r>
      <w:r w:rsidR="00FB7E35" w:rsidRPr="008F7A8B">
        <w:t>GM</w:t>
      </w:r>
      <w:bookmarkEnd w:id="332"/>
      <w:bookmarkEnd w:id="333"/>
      <w:r w:rsidR="003208BB">
        <w:t>O</w:t>
      </w:r>
      <w:bookmarkEnd w:id="335"/>
      <w:r w:rsidR="00F9436A" w:rsidRPr="008F7A8B">
        <w:t xml:space="preserve"> </w:t>
      </w:r>
      <w:bookmarkEnd w:id="334"/>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9"/>
        <w:gridCol w:w="2172"/>
        <w:gridCol w:w="1358"/>
        <w:gridCol w:w="1195"/>
        <w:gridCol w:w="2635"/>
      </w:tblGrid>
      <w:tr w:rsidR="00FB7E35" w:rsidRPr="006404A8" w14:paraId="4A27E72C" w14:textId="77777777" w:rsidTr="00DC38EE">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5"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201"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751"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457"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DC38EE">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5"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201" w:type="pct"/>
            <w:tcBorders>
              <w:top w:val="single" w:sz="12" w:space="0" w:color="auto"/>
              <w:left w:val="single" w:sz="4" w:space="0" w:color="auto"/>
              <w:bottom w:val="single" w:sz="4" w:space="0" w:color="auto"/>
              <w:right w:val="single" w:sz="4" w:space="0" w:color="auto"/>
            </w:tcBorders>
          </w:tcPr>
          <w:p w14:paraId="17F83C76" w14:textId="7FC25121"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people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rsidP="00B50718">
            <w:pPr>
              <w:pStyle w:val="textfortable"/>
              <w:numPr>
                <w:ilvl w:val="0"/>
                <w:numId w:val="25"/>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Pr="0048606F" w:rsidRDefault="00313C19" w:rsidP="00B50718">
            <w:pPr>
              <w:pStyle w:val="textfortable"/>
              <w:numPr>
                <w:ilvl w:val="0"/>
                <w:numId w:val="25"/>
              </w:numPr>
              <w:jc w:val="left"/>
              <w:rPr>
                <w:rFonts w:ascii="Calibri" w:hAnsi="Calibri"/>
              </w:rPr>
            </w:pPr>
            <w:r>
              <w:rPr>
                <w:rFonts w:ascii="Calibri" w:hAnsi="Calibri"/>
              </w:rPr>
              <w:t>During i</w:t>
            </w:r>
            <w:r w:rsidR="00FB7E35" w:rsidRPr="0048606F">
              <w:rPr>
                <w:rFonts w:ascii="Calibri" w:hAnsi="Calibri"/>
              </w:rPr>
              <w:t>mport, transport or storage of the GMO</w:t>
            </w:r>
          </w:p>
          <w:p w14:paraId="3D6EED90" w14:textId="0025E67D" w:rsidR="00B70686" w:rsidRPr="00B70686" w:rsidRDefault="00B70686" w:rsidP="00B70686">
            <w:pPr>
              <w:pStyle w:val="textfortable"/>
              <w:numPr>
                <w:ilvl w:val="0"/>
                <w:numId w:val="25"/>
              </w:numPr>
              <w:jc w:val="left"/>
              <w:rPr>
                <w:rFonts w:ascii="Calibri" w:hAnsi="Calibri"/>
              </w:rPr>
            </w:pPr>
            <w:r w:rsidRPr="00B70686">
              <w:rPr>
                <w:rFonts w:ascii="Calibri" w:hAnsi="Calibri"/>
              </w:rPr>
              <w:t>Handling of samples containing the GMO</w:t>
            </w:r>
          </w:p>
          <w:p w14:paraId="2F6C7BF4" w14:textId="5E67C390" w:rsidR="00313C19" w:rsidRPr="00B70686" w:rsidRDefault="00FB7E35" w:rsidP="00B70686">
            <w:pPr>
              <w:pStyle w:val="textfortable"/>
              <w:numPr>
                <w:ilvl w:val="0"/>
                <w:numId w:val="25"/>
              </w:numPr>
              <w:jc w:val="left"/>
              <w:rPr>
                <w:rFonts w:ascii="Calibri" w:hAnsi="Calibri"/>
              </w:rPr>
            </w:pPr>
            <w:r w:rsidRPr="0048606F">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lastRenderedPageBreak/>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345F7A02" w:rsidR="00B82AC6" w:rsidRPr="0048606F" w:rsidRDefault="00D63584" w:rsidP="00B82AC6">
            <w:pPr>
              <w:pStyle w:val="Style4"/>
              <w:numPr>
                <w:ilvl w:val="0"/>
                <w:numId w:val="0"/>
              </w:numPr>
              <w:jc w:val="center"/>
              <w:rPr>
                <w:rFonts w:ascii="Calibri" w:hAnsi="Calibri"/>
                <w:color w:val="auto"/>
                <w:sz w:val="20"/>
                <w:szCs w:val="20"/>
              </w:rPr>
            </w:pPr>
            <w:r w:rsidRPr="00D63584">
              <w:rPr>
                <w:rFonts w:ascii="Calibri" w:hAnsi="Calibri"/>
                <w:color w:val="auto"/>
                <w:sz w:val="20"/>
                <w:szCs w:val="20"/>
              </w:rPr>
              <w:t>Expression of the IFN-α2b protein</w:t>
            </w:r>
          </w:p>
          <w:p w14:paraId="0259B53F" w14:textId="77777777" w:rsidR="00FB7E35" w:rsidRPr="0048606F" w:rsidRDefault="00FB7E35" w:rsidP="004B20AB">
            <w:pPr>
              <w:pStyle w:val="textfortable"/>
              <w:jc w:val="left"/>
              <w:rPr>
                <w:rFonts w:ascii="Calibri" w:hAnsi="Calibri"/>
              </w:rPr>
            </w:pPr>
          </w:p>
        </w:tc>
        <w:tc>
          <w:tcPr>
            <w:tcW w:w="751" w:type="pct"/>
            <w:tcBorders>
              <w:top w:val="single" w:sz="12" w:space="0" w:color="auto"/>
              <w:left w:val="single" w:sz="4" w:space="0" w:color="auto"/>
              <w:bottom w:val="single" w:sz="4" w:space="0" w:color="auto"/>
              <w:right w:val="single" w:sz="4" w:space="0" w:color="auto"/>
            </w:tcBorders>
          </w:tcPr>
          <w:p w14:paraId="468AD16E" w14:textId="039E5FED" w:rsidR="00FB7E35" w:rsidRPr="0048606F" w:rsidRDefault="00041401" w:rsidP="00F1397D">
            <w:pPr>
              <w:pStyle w:val="textfortable"/>
              <w:spacing w:before="60" w:after="60"/>
              <w:jc w:val="left"/>
              <w:rPr>
                <w:rFonts w:ascii="Calibri" w:hAnsi="Calibri"/>
              </w:rPr>
            </w:pPr>
            <w:r>
              <w:rPr>
                <w:rFonts w:ascii="Calibri" w:hAnsi="Calibri"/>
                <w:color w:val="000000" w:themeColor="text1"/>
              </w:rPr>
              <w:lastRenderedPageBreak/>
              <w:t>A</w:t>
            </w:r>
            <w:r w:rsidRPr="00050667">
              <w:rPr>
                <w:rFonts w:ascii="Calibri" w:hAnsi="Calibri"/>
                <w:color w:val="000000" w:themeColor="text1"/>
              </w:rPr>
              <w:t xml:space="preserve">dverse </w:t>
            </w:r>
            <w:r w:rsidR="00FF0635" w:rsidRPr="00050667">
              <w:rPr>
                <w:rFonts w:ascii="Calibri" w:hAnsi="Calibri"/>
                <w:color w:val="000000" w:themeColor="text1"/>
              </w:rPr>
              <w:t>immune reactions</w:t>
            </w:r>
            <w:r w:rsidR="002C4210">
              <w:rPr>
                <w:rFonts w:ascii="Calibri" w:hAnsi="Calibri"/>
                <w:color w:val="000000" w:themeColor="text1"/>
              </w:rPr>
              <w:t xml:space="preserve">; </w:t>
            </w:r>
            <w:r w:rsidR="002C4210" w:rsidRPr="002C4210">
              <w:rPr>
                <w:rFonts w:ascii="Calibri" w:hAnsi="Calibri"/>
                <w:color w:val="000000" w:themeColor="text1"/>
              </w:rPr>
              <w:t>illness, local inflammation, flu-like symptoms</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457" w:type="pct"/>
            <w:tcBorders>
              <w:top w:val="single" w:sz="12" w:space="0" w:color="auto"/>
              <w:left w:val="single" w:sz="4" w:space="0" w:color="auto"/>
              <w:bottom w:val="single" w:sz="4" w:space="0" w:color="auto"/>
              <w:right w:val="single" w:sz="12" w:space="0" w:color="auto"/>
            </w:tcBorders>
          </w:tcPr>
          <w:p w14:paraId="7F236680" w14:textId="4ABA085B"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and transport of the GMO would be in accordance with IATA </w:t>
            </w:r>
            <w:r w:rsidR="00E235CA">
              <w:rPr>
                <w:rFonts w:cs="Calibri"/>
                <w:sz w:val="20"/>
                <w:szCs w:val="20"/>
              </w:rPr>
              <w:t xml:space="preserve">3373 </w:t>
            </w:r>
            <w:r>
              <w:rPr>
                <w:rFonts w:cs="Calibri"/>
                <w:sz w:val="20"/>
                <w:szCs w:val="20"/>
              </w:rPr>
              <w:t xml:space="preserve">and/or the Regulator’s </w:t>
            </w:r>
            <w:r>
              <w:rPr>
                <w:rFonts w:cs="Calibri"/>
                <w:i/>
                <w:iCs/>
                <w:sz w:val="20"/>
                <w:szCs w:val="20"/>
              </w:rPr>
              <w:t>Guidelines for Transport, Storage and Disposal of GMOs</w:t>
            </w:r>
            <w:r w:rsidR="00551A0C">
              <w:rPr>
                <w:rFonts w:cs="Calibri"/>
                <w:sz w:val="20"/>
                <w:szCs w:val="20"/>
              </w:rPr>
              <w:t>.</w:t>
            </w:r>
          </w:p>
          <w:p w14:paraId="38801B98" w14:textId="2D77D1D6"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Only trained and experienced personnel would conduct dealings with the GMO, using personal protective equipment to minimise potential exposure</w:t>
            </w:r>
            <w:r w:rsidR="00551A0C">
              <w:rPr>
                <w:rFonts w:cs="Calibri"/>
                <w:sz w:val="20"/>
                <w:szCs w:val="20"/>
              </w:rPr>
              <w:t>.</w:t>
            </w:r>
          </w:p>
          <w:p w14:paraId="4B8035A0" w14:textId="64C46819"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disposed of as infectious clinical waste</w:t>
            </w:r>
            <w:r w:rsidR="00551A0C">
              <w:rPr>
                <w:rFonts w:cs="Calibri"/>
                <w:sz w:val="20"/>
                <w:szCs w:val="20"/>
              </w:rPr>
              <w:t>.</w:t>
            </w:r>
          </w:p>
          <w:p w14:paraId="15B266C8" w14:textId="29095BFA"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The dose received through accidental exposure during preparation or administration would be substantially less than that administered to trial participants and would not </w:t>
            </w:r>
            <w:r>
              <w:rPr>
                <w:rFonts w:cs="Calibri"/>
                <w:sz w:val="20"/>
                <w:szCs w:val="20"/>
              </w:rPr>
              <w:lastRenderedPageBreak/>
              <w:t>be sufficient to result in a serious adverse reaction in exposed persons</w:t>
            </w:r>
            <w:r w:rsidR="00551A0C">
              <w:rPr>
                <w:rFonts w:cs="Calibri"/>
                <w:sz w:val="20"/>
                <w:szCs w:val="20"/>
              </w:rPr>
              <w:t>.</w:t>
            </w:r>
          </w:p>
          <w:p w14:paraId="0B913D70" w14:textId="2E2EB2FA"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At risk people (</w:t>
            </w:r>
            <w:r w:rsidR="00D63584">
              <w:rPr>
                <w:rFonts w:cs="Calibri"/>
                <w:sz w:val="20"/>
                <w:szCs w:val="20"/>
              </w:rPr>
              <w:t>e.g.</w:t>
            </w:r>
            <w:r>
              <w:rPr>
                <w:rFonts w:cs="Calibri"/>
                <w:sz w:val="20"/>
                <w:szCs w:val="20"/>
              </w:rPr>
              <w:t xml:space="preserve"> immunosuppressed) </w:t>
            </w:r>
            <w:r w:rsidR="00655897">
              <w:rPr>
                <w:rFonts w:cs="Calibri"/>
                <w:sz w:val="20"/>
                <w:szCs w:val="20"/>
              </w:rPr>
              <w:t xml:space="preserve">would </w:t>
            </w:r>
            <w:r>
              <w:rPr>
                <w:rFonts w:cs="Calibri"/>
                <w:sz w:val="20"/>
                <w:szCs w:val="20"/>
              </w:rPr>
              <w:t>be excluded from handling the GMO</w:t>
            </w:r>
            <w:r w:rsidR="00551A0C">
              <w:rPr>
                <w:rFonts w:cs="Calibri"/>
                <w:sz w:val="20"/>
                <w:szCs w:val="20"/>
              </w:rPr>
              <w:t>.</w:t>
            </w:r>
          </w:p>
          <w:p w14:paraId="3D162F58" w14:textId="5CF1C25F" w:rsidR="00AB1706" w:rsidRDefault="00D63584" w:rsidP="00655897">
            <w:pPr>
              <w:pStyle w:val="BulletedRARMP"/>
              <w:tabs>
                <w:tab w:val="clear" w:pos="567"/>
              </w:tabs>
              <w:spacing w:before="60" w:after="60"/>
              <w:ind w:left="130" w:hanging="142"/>
              <w:rPr>
                <w:rFonts w:cs="Calibri"/>
                <w:sz w:val="20"/>
                <w:szCs w:val="20"/>
              </w:rPr>
            </w:pPr>
            <w:r w:rsidRPr="00D63584">
              <w:rPr>
                <w:rFonts w:cs="Calibri"/>
                <w:sz w:val="20"/>
                <w:szCs w:val="20"/>
              </w:rPr>
              <w:t>The GMO is replication incompetent and will not produce further viral particles to sustain an infection</w:t>
            </w:r>
            <w:r w:rsidR="00551A0C">
              <w:rPr>
                <w:rFonts w:cs="Calibri"/>
                <w:sz w:val="20"/>
                <w:szCs w:val="20"/>
              </w:rPr>
              <w:t>.</w:t>
            </w:r>
          </w:p>
          <w:p w14:paraId="7B7E038B" w14:textId="18C16E32" w:rsidR="00D63584" w:rsidRDefault="00D63584" w:rsidP="00655897">
            <w:pPr>
              <w:pStyle w:val="BulletedRARMP"/>
              <w:tabs>
                <w:tab w:val="clear" w:pos="567"/>
              </w:tabs>
              <w:spacing w:before="60" w:after="60"/>
              <w:ind w:left="130" w:hanging="142"/>
              <w:rPr>
                <w:rFonts w:cs="Calibri"/>
                <w:sz w:val="20"/>
                <w:szCs w:val="20"/>
              </w:rPr>
            </w:pPr>
            <w:r w:rsidRPr="00D63584">
              <w:rPr>
                <w:rFonts w:cs="Calibri"/>
                <w:sz w:val="20"/>
                <w:szCs w:val="20"/>
              </w:rPr>
              <w:t>The GMO has a good safety profile at doses higher than would be expected through accidental exposure</w:t>
            </w:r>
            <w:r w:rsidR="00551A0C">
              <w:rPr>
                <w:rFonts w:cs="Calibri"/>
                <w:sz w:val="20"/>
                <w:szCs w:val="20"/>
              </w:rPr>
              <w:t>.</w:t>
            </w:r>
          </w:p>
          <w:p w14:paraId="498A1EA6" w14:textId="2F4009DD" w:rsidR="00D63584" w:rsidRDefault="00D63584" w:rsidP="00655897">
            <w:pPr>
              <w:pStyle w:val="BulletedRARMP"/>
              <w:tabs>
                <w:tab w:val="clear" w:pos="567"/>
              </w:tabs>
              <w:spacing w:before="60" w:after="60"/>
              <w:ind w:left="130" w:hanging="142"/>
              <w:rPr>
                <w:rFonts w:cs="Calibri"/>
                <w:sz w:val="20"/>
                <w:szCs w:val="20"/>
              </w:rPr>
            </w:pPr>
            <w:r w:rsidRPr="004207A4">
              <w:rPr>
                <w:sz w:val="20"/>
                <w:szCs w:val="20"/>
              </w:rPr>
              <w:t>IFN-α2b protein has been extensively used in clinical applications for treatment of some viral infection and various cancers with manageable adverse reactions</w:t>
            </w:r>
            <w:r w:rsidR="00551A0C">
              <w:rPr>
                <w:sz w:val="20"/>
                <w:szCs w:val="20"/>
              </w:rPr>
              <w:t>.</w:t>
            </w:r>
          </w:p>
          <w:p w14:paraId="01536410" w14:textId="1CBC5B57"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spellStart"/>
            <w:proofErr w:type="gramStart"/>
            <w:r>
              <w:rPr>
                <w:rFonts w:cs="Calibri"/>
                <w:sz w:val="20"/>
                <w:szCs w:val="20"/>
              </w:rPr>
              <w:t>HAdVs</w:t>
            </w:r>
            <w:proofErr w:type="spellEnd"/>
            <w:proofErr w:type="gramEnd"/>
            <w:r>
              <w:rPr>
                <w:rFonts w:cs="Calibri"/>
                <w:sz w:val="20"/>
                <w:szCs w:val="20"/>
              </w:rPr>
              <w:t xml:space="preserve"> and the genetic modifications do not confer any pathogenic advantage over the wild type</w:t>
            </w:r>
            <w:r w:rsidR="00551A0C">
              <w:rPr>
                <w:rFonts w:cs="Calibri"/>
                <w:sz w:val="20"/>
                <w:szCs w:val="20"/>
              </w:rPr>
              <w:t>.</w:t>
            </w:r>
          </w:p>
          <w:p w14:paraId="76A905EE" w14:textId="45AFF25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Most of the population has pre-existing immunity to </w:t>
            </w:r>
            <w:proofErr w:type="spellStart"/>
            <w:r>
              <w:rPr>
                <w:rFonts w:cs="Calibri"/>
                <w:sz w:val="20"/>
                <w:szCs w:val="20"/>
              </w:rPr>
              <w:t>HAdVs</w:t>
            </w:r>
            <w:proofErr w:type="spellEnd"/>
            <w:r w:rsidR="00551A0C">
              <w:rPr>
                <w:rFonts w:cs="Calibri"/>
                <w:sz w:val="20"/>
                <w:szCs w:val="20"/>
              </w:rPr>
              <w:t>.</w:t>
            </w:r>
          </w:p>
          <w:p w14:paraId="469C251C" w14:textId="0622FAEC" w:rsidR="004C06C3" w:rsidRPr="0097690A" w:rsidRDefault="004C06C3" w:rsidP="00655897">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r w:rsidR="00AE044B">
              <w:rPr>
                <w:rFonts w:cs="Calibri"/>
                <w:sz w:val="20"/>
                <w:szCs w:val="20"/>
              </w:rPr>
              <w:t>.</w:t>
            </w:r>
          </w:p>
        </w:tc>
      </w:tr>
      <w:tr w:rsidR="006E31CD" w:rsidRPr="006404A8" w14:paraId="4D53B5B6" w14:textId="77777777" w:rsidTr="00DC38EE">
        <w:tc>
          <w:tcPr>
            <w:tcW w:w="497" w:type="pct"/>
            <w:tcBorders>
              <w:top w:val="single" w:sz="4" w:space="0" w:color="auto"/>
              <w:left w:val="single" w:sz="12" w:space="0" w:color="auto"/>
              <w:bottom w:val="single" w:sz="4" w:space="0" w:color="auto"/>
              <w:right w:val="single" w:sz="4" w:space="0" w:color="auto"/>
            </w:tcBorders>
          </w:tcPr>
          <w:p w14:paraId="7AE7B6AC" w14:textId="632AC4C1" w:rsidR="006E31CD" w:rsidRPr="0048606F" w:rsidRDefault="009E1313" w:rsidP="00F1397D">
            <w:pPr>
              <w:pStyle w:val="textfortable"/>
              <w:spacing w:before="60" w:after="60"/>
              <w:jc w:val="left"/>
              <w:rPr>
                <w:rFonts w:ascii="Calibri" w:hAnsi="Calibri"/>
              </w:rPr>
            </w:pPr>
            <w:r>
              <w:rPr>
                <w:rFonts w:ascii="Calibri" w:hAnsi="Calibri"/>
              </w:rPr>
              <w:lastRenderedPageBreak/>
              <w:t>2</w:t>
            </w:r>
          </w:p>
        </w:tc>
        <w:tc>
          <w:tcPr>
            <w:tcW w:w="418"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181" w:type="pct"/>
            <w:tcBorders>
              <w:top w:val="single" w:sz="4" w:space="0" w:color="auto"/>
              <w:left w:val="single" w:sz="4" w:space="0" w:color="auto"/>
              <w:bottom w:val="single" w:sz="4" w:space="0" w:color="auto"/>
              <w:right w:val="single" w:sz="4" w:space="0" w:color="auto"/>
            </w:tcBorders>
          </w:tcPr>
          <w:p w14:paraId="2DC67016" w14:textId="12ECF261"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00E235CA">
              <w:rPr>
                <w:rFonts w:cs="Calibri"/>
                <w:sz w:val="20"/>
              </w:rPr>
              <w:t xml:space="preserve">, </w:t>
            </w:r>
            <w:r w:rsidR="00E235CA" w:rsidRPr="00E235CA">
              <w:rPr>
                <w:rFonts w:cs="Calibri"/>
                <w:sz w:val="20"/>
              </w:rPr>
              <w:t>shedding of the GMO from participants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41EAE24E" w:rsidR="006E31CD" w:rsidRDefault="006E31CD" w:rsidP="00952CB3">
            <w:pPr>
              <w:pStyle w:val="textfortable"/>
              <w:jc w:val="left"/>
              <w:rPr>
                <w:rFonts w:ascii="Calibri" w:hAnsi="Calibri"/>
              </w:rPr>
            </w:pPr>
            <w:r w:rsidRPr="006E31CD">
              <w:rPr>
                <w:rFonts w:ascii="Calibri" w:hAnsi="Calibri" w:cs="Calibri"/>
              </w:rPr>
              <w:t xml:space="preserve">As per </w:t>
            </w:r>
            <w:r w:rsidR="00551A0C">
              <w:rPr>
                <w:rFonts w:ascii="Calibri" w:hAnsi="Calibri" w:cs="Calibri"/>
              </w:rPr>
              <w:t xml:space="preserve">Risk </w:t>
            </w:r>
            <w:r w:rsidRPr="006E31CD">
              <w:rPr>
                <w:rFonts w:ascii="Calibri" w:hAnsi="Calibri" w:cs="Calibri"/>
              </w:rPr>
              <w:t>scenario 1</w:t>
            </w:r>
          </w:p>
        </w:tc>
        <w:tc>
          <w:tcPr>
            <w:tcW w:w="738" w:type="pct"/>
            <w:tcBorders>
              <w:top w:val="single" w:sz="4" w:space="0" w:color="auto"/>
              <w:left w:val="single" w:sz="4" w:space="0" w:color="auto"/>
              <w:bottom w:val="single" w:sz="4" w:space="0" w:color="auto"/>
              <w:right w:val="single" w:sz="4" w:space="0" w:color="auto"/>
            </w:tcBorders>
          </w:tcPr>
          <w:p w14:paraId="1DB803E7" w14:textId="10A00958" w:rsidR="006E31CD" w:rsidRPr="0048606F" w:rsidRDefault="002C4210" w:rsidP="005E2438">
            <w:pPr>
              <w:pStyle w:val="textfortable"/>
              <w:jc w:val="left"/>
              <w:rPr>
                <w:rFonts w:ascii="Calibri" w:hAnsi="Calibri"/>
              </w:rPr>
            </w:pPr>
            <w:r>
              <w:rPr>
                <w:rStyle w:val="CommentReference"/>
                <w:rFonts w:ascii="Calibri" w:hAnsi="Calibri"/>
              </w:rPr>
              <w:t>A</w:t>
            </w:r>
            <w:r w:rsidR="00FF0635" w:rsidRPr="00612D03">
              <w:rPr>
                <w:rFonts w:ascii="Calibri" w:hAnsi="Calibri" w:cs="Calibri"/>
                <w:szCs w:val="24"/>
              </w:rPr>
              <w:t>dverse immune reactions; disease in people or animals</w:t>
            </w:r>
          </w:p>
        </w:tc>
        <w:tc>
          <w:tcPr>
            <w:tcW w:w="650"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17" w:type="pct"/>
            <w:tcBorders>
              <w:top w:val="single" w:sz="4" w:space="0" w:color="auto"/>
              <w:left w:val="single" w:sz="4" w:space="0" w:color="auto"/>
              <w:bottom w:val="single" w:sz="4" w:space="0" w:color="auto"/>
              <w:right w:val="single" w:sz="12" w:space="0" w:color="auto"/>
            </w:tcBorders>
          </w:tcPr>
          <w:p w14:paraId="6388DE92" w14:textId="30C177CB" w:rsidR="00112D19" w:rsidRDefault="00622662" w:rsidP="009E1313">
            <w:pPr>
              <w:pStyle w:val="tablebullets"/>
              <w:numPr>
                <w:ilvl w:val="0"/>
                <w:numId w:val="0"/>
              </w:numPr>
              <w:spacing w:before="60"/>
              <w:rPr>
                <w:rFonts w:ascii="Calibri" w:hAnsi="Calibri"/>
              </w:rPr>
            </w:pPr>
            <w:r>
              <w:rPr>
                <w:rFonts w:ascii="Calibri" w:hAnsi="Calibri"/>
              </w:rPr>
              <w:t>As discussed in Risk Scenario 1</w:t>
            </w:r>
            <w:r w:rsidR="00E235CA">
              <w:rPr>
                <w:rFonts w:ascii="Calibri" w:hAnsi="Calibri"/>
              </w:rPr>
              <w:t xml:space="preserve"> and:</w:t>
            </w:r>
          </w:p>
          <w:p w14:paraId="5900FAC9" w14:textId="77777777" w:rsidR="00C02359" w:rsidRDefault="00DC3160" w:rsidP="00655897">
            <w:pPr>
              <w:pStyle w:val="tablebullets"/>
              <w:ind w:left="130" w:hanging="142"/>
              <w:rPr>
                <w:rFonts w:ascii="Calibri" w:hAnsi="Calibri"/>
              </w:rPr>
            </w:pPr>
            <w:r>
              <w:rPr>
                <w:rFonts w:ascii="Calibri" w:hAnsi="Calibri"/>
              </w:rPr>
              <w:t xml:space="preserve">GMO 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 </w:t>
            </w:r>
          </w:p>
          <w:p w14:paraId="70036557" w14:textId="792A07F9" w:rsidR="00B055D3" w:rsidRPr="00C02359" w:rsidRDefault="00834863" w:rsidP="00655897">
            <w:pPr>
              <w:pStyle w:val="tablebullets"/>
              <w:ind w:left="130" w:hanging="142"/>
              <w:rPr>
                <w:rFonts w:ascii="Calibri" w:hAnsi="Calibri"/>
              </w:rPr>
            </w:pPr>
            <w:r w:rsidRPr="00834863">
              <w:rPr>
                <w:rFonts w:ascii="Calibri" w:hAnsi="Calibri"/>
              </w:rPr>
              <w:t>GMO cannot replicate inside or outside the host, hence GMO is only available for one infection cycle.</w:t>
            </w:r>
          </w:p>
        </w:tc>
      </w:tr>
      <w:tr w:rsidR="00E235CA" w:rsidRPr="006404A8" w14:paraId="1C52C2EA" w14:textId="77777777" w:rsidTr="00173E0E">
        <w:tc>
          <w:tcPr>
            <w:tcW w:w="497" w:type="pct"/>
            <w:tcBorders>
              <w:top w:val="single" w:sz="4" w:space="0" w:color="auto"/>
              <w:left w:val="single" w:sz="12" w:space="0" w:color="auto"/>
              <w:bottom w:val="single" w:sz="4" w:space="0" w:color="auto"/>
              <w:right w:val="single" w:sz="4" w:space="0" w:color="auto"/>
            </w:tcBorders>
          </w:tcPr>
          <w:p w14:paraId="62A609AC" w14:textId="7ACB087C" w:rsidR="00E235CA" w:rsidRDefault="009E1313" w:rsidP="00F1397D">
            <w:pPr>
              <w:pStyle w:val="textfortable"/>
              <w:spacing w:before="60" w:after="60"/>
              <w:jc w:val="left"/>
              <w:rPr>
                <w:rFonts w:ascii="Calibri" w:hAnsi="Calibri"/>
              </w:rPr>
            </w:pPr>
            <w:r>
              <w:rPr>
                <w:rFonts w:ascii="Calibri" w:hAnsi="Calibri"/>
              </w:rPr>
              <w:t>3</w:t>
            </w:r>
          </w:p>
        </w:tc>
        <w:tc>
          <w:tcPr>
            <w:tcW w:w="418" w:type="pct"/>
            <w:tcBorders>
              <w:top w:val="single" w:sz="4" w:space="0" w:color="auto"/>
              <w:left w:val="single" w:sz="12" w:space="0" w:color="auto"/>
              <w:bottom w:val="single" w:sz="4" w:space="0" w:color="auto"/>
              <w:right w:val="single" w:sz="4" w:space="0" w:color="auto"/>
            </w:tcBorders>
          </w:tcPr>
          <w:p w14:paraId="16CDFA02" w14:textId="435B84B4" w:rsidR="00E235CA" w:rsidRDefault="009E1313" w:rsidP="00F1397D">
            <w:pPr>
              <w:pStyle w:val="textfortable"/>
              <w:spacing w:before="60" w:after="60"/>
              <w:jc w:val="left"/>
              <w:rPr>
                <w:rFonts w:ascii="Calibri" w:hAnsi="Calibri"/>
              </w:rPr>
            </w:pPr>
            <w:r>
              <w:rPr>
                <w:rFonts w:ascii="Calibri" w:hAnsi="Calibri"/>
              </w:rPr>
              <w:t>GMO</w:t>
            </w:r>
          </w:p>
        </w:tc>
        <w:tc>
          <w:tcPr>
            <w:tcW w:w="1181" w:type="pct"/>
            <w:tcBorders>
              <w:top w:val="single" w:sz="4" w:space="0" w:color="auto"/>
              <w:left w:val="single" w:sz="4" w:space="0" w:color="auto"/>
              <w:bottom w:val="single" w:sz="4" w:space="0" w:color="auto"/>
              <w:right w:val="single" w:sz="4" w:space="0" w:color="auto"/>
            </w:tcBorders>
          </w:tcPr>
          <w:p w14:paraId="79A89A76" w14:textId="7068CD5E" w:rsidR="009E1313" w:rsidRDefault="009E1313" w:rsidP="009E1313">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and animals to the GMO as </w:t>
            </w:r>
            <w:r w:rsidRPr="006E31CD">
              <w:rPr>
                <w:rFonts w:ascii="Calibri" w:hAnsi="Calibri" w:cs="Calibri"/>
                <w:sz w:val="20"/>
                <w:szCs w:val="20"/>
              </w:rPr>
              <w:t>mentioned in Risk Scenario</w:t>
            </w:r>
            <w:r w:rsidR="00A31F69">
              <w:rPr>
                <w:rFonts w:ascii="Calibri" w:hAnsi="Calibri" w:cs="Calibri"/>
                <w:sz w:val="20"/>
                <w:szCs w:val="20"/>
              </w:rPr>
              <w:t>s</w:t>
            </w:r>
            <w:r w:rsidRPr="006E31CD">
              <w:rPr>
                <w:rFonts w:ascii="Calibri" w:hAnsi="Calibri" w:cs="Calibri"/>
                <w:sz w:val="20"/>
                <w:szCs w:val="20"/>
              </w:rPr>
              <w:t xml:space="preserve"> 1</w:t>
            </w:r>
            <w:r w:rsidR="00A31F69">
              <w:rPr>
                <w:rFonts w:ascii="Calibri" w:hAnsi="Calibri" w:cs="Calibri"/>
                <w:sz w:val="20"/>
                <w:szCs w:val="20"/>
              </w:rPr>
              <w:t xml:space="preserve"> and 2</w:t>
            </w:r>
          </w:p>
          <w:p w14:paraId="6EA47E28" w14:textId="77777777" w:rsidR="000D6D8E" w:rsidRPr="00E238EF" w:rsidRDefault="000D6D8E" w:rsidP="000D6D8E">
            <w:pPr>
              <w:pStyle w:val="TableTextRARMP"/>
              <w:rPr>
                <w:color w:val="000000" w:themeColor="text1"/>
                <w:szCs w:val="20"/>
              </w:rPr>
            </w:pPr>
            <w:r w:rsidRPr="00E238EF">
              <w:rPr>
                <w:color w:val="000000" w:themeColor="text1"/>
                <w:szCs w:val="20"/>
              </w:rPr>
              <w:lastRenderedPageBreak/>
              <w:t>Or</w:t>
            </w:r>
          </w:p>
          <w:p w14:paraId="52CFC2B9" w14:textId="617364B2" w:rsidR="000D6D8E" w:rsidRPr="007D4152" w:rsidRDefault="000D6D8E" w:rsidP="00920E28">
            <w:pPr>
              <w:pStyle w:val="TableTextRARMP"/>
              <w:rPr>
                <w:szCs w:val="20"/>
              </w:rPr>
            </w:pPr>
            <w:r w:rsidRPr="00E238EF">
              <w:rPr>
                <w:color w:val="000000" w:themeColor="text1"/>
                <w:szCs w:val="20"/>
              </w:rPr>
              <w:t>Exposure of trial participants during treatment</w:t>
            </w:r>
          </w:p>
          <w:p w14:paraId="543A9501" w14:textId="77777777" w:rsidR="009E1313" w:rsidRPr="0048606F" w:rsidRDefault="009E1313" w:rsidP="009E1313">
            <w:pPr>
              <w:pStyle w:val="TableTextRARMP"/>
              <w:jc w:val="center"/>
              <w:rPr>
                <w:color w:val="000000" w:themeColor="text1"/>
                <w:szCs w:val="20"/>
              </w:rPr>
            </w:pPr>
            <w:r w:rsidRPr="0048606F">
              <w:rPr>
                <w:color w:val="000000" w:themeColor="text1"/>
                <w:szCs w:val="20"/>
              </w:rPr>
              <w:sym w:font="Wingdings 3" w:char="F0C8"/>
            </w:r>
          </w:p>
          <w:p w14:paraId="6673362E" w14:textId="77777777" w:rsidR="009E1313" w:rsidRPr="0048606F" w:rsidRDefault="009E1313" w:rsidP="009E1313">
            <w:pPr>
              <w:pStyle w:val="textfortable"/>
              <w:jc w:val="left"/>
              <w:rPr>
                <w:rFonts w:ascii="Calibri" w:hAnsi="Calibri"/>
              </w:rPr>
            </w:pPr>
            <w:r>
              <w:rPr>
                <w:rFonts w:ascii="Calibri" w:hAnsi="Calibri"/>
              </w:rPr>
              <w:t>Transduction of cells by GMO</w:t>
            </w:r>
          </w:p>
          <w:p w14:paraId="6CF27559" w14:textId="77777777" w:rsidR="009E1313" w:rsidRPr="0048606F" w:rsidRDefault="009E1313" w:rsidP="009E1313">
            <w:pPr>
              <w:pStyle w:val="TableTextRARMP"/>
              <w:jc w:val="center"/>
              <w:rPr>
                <w:color w:val="000000" w:themeColor="text1"/>
                <w:szCs w:val="20"/>
              </w:rPr>
            </w:pPr>
            <w:r w:rsidRPr="0048606F">
              <w:rPr>
                <w:color w:val="000000" w:themeColor="text1"/>
                <w:szCs w:val="20"/>
              </w:rPr>
              <w:sym w:font="Wingdings 3" w:char="F0C8"/>
            </w:r>
          </w:p>
          <w:p w14:paraId="2C8CD417" w14:textId="77777777" w:rsidR="009E1313" w:rsidRDefault="009E1313" w:rsidP="009E1313">
            <w:pPr>
              <w:pStyle w:val="Style4"/>
              <w:numPr>
                <w:ilvl w:val="0"/>
                <w:numId w:val="0"/>
              </w:numPr>
              <w:rPr>
                <w:rFonts w:ascii="Calibri" w:hAnsi="Calibri"/>
                <w:color w:val="auto"/>
                <w:sz w:val="20"/>
                <w:szCs w:val="20"/>
              </w:rPr>
            </w:pPr>
            <w:r>
              <w:rPr>
                <w:rFonts w:ascii="Calibri" w:hAnsi="Calibri"/>
                <w:color w:val="auto"/>
                <w:sz w:val="20"/>
                <w:szCs w:val="20"/>
              </w:rPr>
              <w:t xml:space="preserve">Transduced cells co-infected with </w:t>
            </w:r>
            <w:proofErr w:type="spellStart"/>
            <w:r>
              <w:rPr>
                <w:rFonts w:ascii="Calibri" w:hAnsi="Calibri"/>
                <w:color w:val="auto"/>
                <w:sz w:val="20"/>
                <w:szCs w:val="20"/>
              </w:rPr>
              <w:t>AdV</w:t>
            </w:r>
            <w:proofErr w:type="spellEnd"/>
          </w:p>
          <w:p w14:paraId="31B13A77" w14:textId="77777777" w:rsidR="009E1313" w:rsidRPr="006E31CD" w:rsidRDefault="009E1313" w:rsidP="009E1313">
            <w:pPr>
              <w:pStyle w:val="TableTextRARMP"/>
              <w:jc w:val="center"/>
              <w:rPr>
                <w:color w:val="000000" w:themeColor="text1"/>
                <w:szCs w:val="20"/>
              </w:rPr>
            </w:pPr>
            <w:r w:rsidRPr="0048606F">
              <w:rPr>
                <w:color w:val="000000" w:themeColor="text1"/>
                <w:szCs w:val="20"/>
              </w:rPr>
              <w:sym w:font="Wingdings 3" w:char="F0C8"/>
            </w:r>
          </w:p>
          <w:p w14:paraId="771CC556" w14:textId="77777777" w:rsidR="009E1313" w:rsidRPr="00050667" w:rsidRDefault="009E1313" w:rsidP="009E1313">
            <w:pPr>
              <w:pStyle w:val="Style4"/>
              <w:numPr>
                <w:ilvl w:val="0"/>
                <w:numId w:val="43"/>
              </w:numPr>
              <w:ind w:left="327"/>
              <w:rPr>
                <w:rFonts w:ascii="Calibri" w:hAnsi="Calibri"/>
                <w:sz w:val="20"/>
                <w:szCs w:val="20"/>
              </w:rPr>
            </w:pPr>
            <w:r>
              <w:rPr>
                <w:rFonts w:ascii="Calibri" w:hAnsi="Calibri"/>
                <w:color w:val="auto"/>
                <w:sz w:val="20"/>
                <w:szCs w:val="20"/>
              </w:rPr>
              <w:t xml:space="preserve">Complementation </w:t>
            </w:r>
            <w:r w:rsidRPr="00BE2B94">
              <w:rPr>
                <w:rFonts w:ascii="Calibri" w:hAnsi="Calibri"/>
                <w:color w:val="auto"/>
                <w:sz w:val="20"/>
                <w:szCs w:val="20"/>
              </w:rPr>
              <w:t xml:space="preserve">of </w:t>
            </w:r>
            <w:r w:rsidRPr="00050667">
              <w:rPr>
                <w:rFonts w:ascii="Calibri" w:hAnsi="Calibri"/>
                <w:sz w:val="20"/>
                <w:szCs w:val="20"/>
              </w:rPr>
              <w:t xml:space="preserve">genes responsible for viral replication and immune-evasion properties by </w:t>
            </w:r>
            <w:proofErr w:type="spellStart"/>
            <w:r w:rsidRPr="00050667">
              <w:rPr>
                <w:rFonts w:ascii="Calibri" w:hAnsi="Calibri"/>
                <w:sz w:val="20"/>
                <w:szCs w:val="20"/>
              </w:rPr>
              <w:t>AdV</w:t>
            </w:r>
            <w:proofErr w:type="spellEnd"/>
          </w:p>
          <w:p w14:paraId="25CB79D7" w14:textId="77777777" w:rsidR="009E1313" w:rsidRPr="00050667" w:rsidRDefault="009E1313" w:rsidP="009E1313">
            <w:pPr>
              <w:pStyle w:val="ListParagraph"/>
              <w:numPr>
                <w:ilvl w:val="0"/>
                <w:numId w:val="43"/>
              </w:numPr>
              <w:spacing w:before="60" w:after="60"/>
              <w:ind w:left="327"/>
              <w:rPr>
                <w:rFonts w:cs="Calibri"/>
                <w:color w:val="000000" w:themeColor="text1"/>
                <w:sz w:val="20"/>
              </w:rPr>
            </w:pPr>
            <w:r w:rsidRPr="00050667">
              <w:rPr>
                <w:rFonts w:cs="Calibri"/>
                <w:color w:val="000000" w:themeColor="text1"/>
                <w:sz w:val="20"/>
              </w:rPr>
              <w:t xml:space="preserve">Homologous recombination with </w:t>
            </w:r>
            <w:proofErr w:type="spellStart"/>
            <w:r w:rsidRPr="00050667">
              <w:rPr>
                <w:rFonts w:cs="Calibri"/>
                <w:color w:val="000000" w:themeColor="text1"/>
                <w:sz w:val="20"/>
              </w:rPr>
              <w:t>AdV</w:t>
            </w:r>
            <w:proofErr w:type="spellEnd"/>
          </w:p>
          <w:p w14:paraId="0A0E01DA" w14:textId="77777777" w:rsidR="009E1313" w:rsidRPr="00050667" w:rsidRDefault="009E1313" w:rsidP="009E1313">
            <w:pPr>
              <w:pStyle w:val="TableTextRARMP"/>
              <w:jc w:val="center"/>
              <w:rPr>
                <w:color w:val="000000" w:themeColor="text1"/>
                <w:szCs w:val="20"/>
              </w:rPr>
            </w:pPr>
            <w:r w:rsidRPr="00050667">
              <w:rPr>
                <w:color w:val="000000" w:themeColor="text1"/>
                <w:szCs w:val="20"/>
              </w:rPr>
              <w:sym w:font="Wingdings 3" w:char="F0C8"/>
            </w:r>
          </w:p>
          <w:p w14:paraId="76FCCF21" w14:textId="39AF3587" w:rsidR="00E235CA" w:rsidRPr="006E31CD" w:rsidRDefault="0098338F" w:rsidP="009E1313">
            <w:pPr>
              <w:keepNext/>
              <w:tabs>
                <w:tab w:val="left" w:pos="284"/>
              </w:tabs>
              <w:spacing w:before="60" w:after="60"/>
              <w:rPr>
                <w:rFonts w:cs="Calibri"/>
                <w:sz w:val="20"/>
              </w:rPr>
            </w:pPr>
            <w:r w:rsidRPr="0098338F">
              <w:rPr>
                <w:color w:val="000000" w:themeColor="text1"/>
                <w:sz w:val="20"/>
                <w:szCs w:val="22"/>
              </w:rPr>
              <w:t>Production of other recombinant GMOs including with increased virulence and/or host range</w:t>
            </w:r>
          </w:p>
        </w:tc>
        <w:tc>
          <w:tcPr>
            <w:tcW w:w="738" w:type="pct"/>
            <w:tcBorders>
              <w:top w:val="single" w:sz="4" w:space="0" w:color="auto"/>
              <w:left w:val="single" w:sz="4" w:space="0" w:color="auto"/>
              <w:bottom w:val="single" w:sz="4" w:space="0" w:color="auto"/>
              <w:right w:val="single" w:sz="4" w:space="0" w:color="auto"/>
            </w:tcBorders>
          </w:tcPr>
          <w:p w14:paraId="5BA30BDD" w14:textId="5804337A" w:rsidR="00E235CA" w:rsidRPr="00FF0635" w:rsidRDefault="002C4210" w:rsidP="005E2438">
            <w:pPr>
              <w:pStyle w:val="textfortable"/>
              <w:jc w:val="left"/>
              <w:rPr>
                <w:rFonts w:ascii="Calibri" w:hAnsi="Calibri" w:cs="Calibri"/>
                <w:color w:val="0000FF"/>
                <w:szCs w:val="24"/>
              </w:rPr>
            </w:pPr>
            <w:r>
              <w:rPr>
                <w:rFonts w:ascii="Calibri" w:hAnsi="Calibri"/>
                <w:color w:val="000000" w:themeColor="text1"/>
              </w:rPr>
              <w:lastRenderedPageBreak/>
              <w:t>A</w:t>
            </w:r>
            <w:r w:rsidR="009E1313" w:rsidRPr="00050667">
              <w:rPr>
                <w:rFonts w:ascii="Calibri" w:hAnsi="Calibri"/>
                <w:color w:val="000000" w:themeColor="text1"/>
              </w:rPr>
              <w:t xml:space="preserve">dverse immune reactions; disease in </w:t>
            </w:r>
            <w:r w:rsidR="009E1313" w:rsidRPr="00050667">
              <w:rPr>
                <w:rFonts w:ascii="Calibri" w:hAnsi="Calibri"/>
                <w:color w:val="000000" w:themeColor="text1"/>
              </w:rPr>
              <w:lastRenderedPageBreak/>
              <w:t>people or animals</w:t>
            </w:r>
          </w:p>
        </w:tc>
        <w:tc>
          <w:tcPr>
            <w:tcW w:w="650" w:type="pct"/>
            <w:tcBorders>
              <w:top w:val="single" w:sz="4" w:space="0" w:color="auto"/>
              <w:left w:val="single" w:sz="4" w:space="0" w:color="auto"/>
              <w:bottom w:val="single" w:sz="4" w:space="0" w:color="auto"/>
              <w:right w:val="single" w:sz="4" w:space="0" w:color="auto"/>
            </w:tcBorders>
          </w:tcPr>
          <w:p w14:paraId="190B0643" w14:textId="5030FF7C" w:rsidR="00E235CA" w:rsidRDefault="009E1313" w:rsidP="00F1397D">
            <w:pPr>
              <w:pStyle w:val="textfortable"/>
              <w:spacing w:before="60" w:after="60"/>
              <w:jc w:val="left"/>
              <w:rPr>
                <w:rFonts w:ascii="Calibri" w:hAnsi="Calibri"/>
              </w:rPr>
            </w:pPr>
            <w:r>
              <w:rPr>
                <w:rFonts w:ascii="Calibri" w:hAnsi="Calibri"/>
              </w:rPr>
              <w:lastRenderedPageBreak/>
              <w:t>No</w:t>
            </w:r>
          </w:p>
        </w:tc>
        <w:tc>
          <w:tcPr>
            <w:tcW w:w="1517" w:type="pct"/>
            <w:tcBorders>
              <w:top w:val="single" w:sz="4" w:space="0" w:color="auto"/>
              <w:left w:val="single" w:sz="4" w:space="0" w:color="auto"/>
              <w:bottom w:val="single" w:sz="4" w:space="0" w:color="auto"/>
              <w:right w:val="single" w:sz="12" w:space="0" w:color="auto"/>
            </w:tcBorders>
          </w:tcPr>
          <w:p w14:paraId="26226CBE" w14:textId="3EC19511" w:rsidR="009E1313" w:rsidRPr="009E1313" w:rsidRDefault="009E1313" w:rsidP="009E1313">
            <w:pPr>
              <w:pStyle w:val="BulletedRARMP"/>
              <w:numPr>
                <w:ilvl w:val="0"/>
                <w:numId w:val="0"/>
              </w:numPr>
              <w:spacing w:before="60"/>
              <w:ind w:left="-14" w:firstLine="2"/>
              <w:rPr>
                <w:sz w:val="20"/>
                <w:szCs w:val="20"/>
              </w:rPr>
            </w:pPr>
            <w:r w:rsidRPr="009E1313">
              <w:rPr>
                <w:sz w:val="20"/>
                <w:szCs w:val="20"/>
              </w:rPr>
              <w:t>As for risk scenario 1 and 2</w:t>
            </w:r>
            <w:r w:rsidR="000A22CC">
              <w:rPr>
                <w:sz w:val="20"/>
                <w:szCs w:val="20"/>
              </w:rPr>
              <w:t xml:space="preserve"> and</w:t>
            </w:r>
            <w:r w:rsidRPr="009E1313">
              <w:rPr>
                <w:sz w:val="20"/>
                <w:szCs w:val="20"/>
              </w:rPr>
              <w:t>:</w:t>
            </w:r>
          </w:p>
          <w:p w14:paraId="07CC80BB"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Co-infection of the same cell with both GMO and </w:t>
            </w:r>
            <w:proofErr w:type="spellStart"/>
            <w:r w:rsidRPr="009E1313">
              <w:rPr>
                <w:rFonts w:ascii="Calibri" w:hAnsi="Calibri" w:cs="Calibri"/>
              </w:rPr>
              <w:lastRenderedPageBreak/>
              <w:t>HAdV</w:t>
            </w:r>
            <w:proofErr w:type="spellEnd"/>
            <w:r w:rsidRPr="009E1313">
              <w:rPr>
                <w:rFonts w:ascii="Calibri" w:hAnsi="Calibri" w:cs="Calibri"/>
              </w:rPr>
              <w:t xml:space="preserve"> at the same time is a rare event.</w:t>
            </w:r>
          </w:p>
          <w:p w14:paraId="4B734207"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A large proportion of the population have a pre-existing immunity to HAdV-C5 reducing the likelihood of </w:t>
            </w:r>
            <w:proofErr w:type="spellStart"/>
            <w:r w:rsidRPr="009E1313">
              <w:rPr>
                <w:rFonts w:ascii="Calibri" w:hAnsi="Calibri" w:cs="Calibri"/>
              </w:rPr>
              <w:t>HAdV</w:t>
            </w:r>
            <w:proofErr w:type="spellEnd"/>
            <w:r w:rsidRPr="009E1313">
              <w:rPr>
                <w:rFonts w:ascii="Calibri" w:hAnsi="Calibri" w:cs="Calibri"/>
              </w:rPr>
              <w:t xml:space="preserve"> infection.</w:t>
            </w:r>
          </w:p>
          <w:p w14:paraId="1FB8D3F2"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There is a low probability of continuous complementation of GMO by </w:t>
            </w:r>
            <w:proofErr w:type="spellStart"/>
            <w:r w:rsidRPr="009E1313">
              <w:rPr>
                <w:rFonts w:ascii="Calibri" w:hAnsi="Calibri" w:cs="Calibri"/>
              </w:rPr>
              <w:t>HAdV</w:t>
            </w:r>
            <w:proofErr w:type="spellEnd"/>
            <w:r w:rsidRPr="009E1313">
              <w:rPr>
                <w:rFonts w:ascii="Calibri" w:hAnsi="Calibri" w:cs="Calibri"/>
              </w:rPr>
              <w:t xml:space="preserve"> because </w:t>
            </w:r>
            <w:proofErr w:type="spellStart"/>
            <w:r w:rsidRPr="009E1313">
              <w:rPr>
                <w:rFonts w:ascii="Calibri" w:hAnsi="Calibri" w:cs="Calibri"/>
              </w:rPr>
              <w:t>HAdV</w:t>
            </w:r>
            <w:proofErr w:type="spellEnd"/>
            <w:r w:rsidRPr="009E1313">
              <w:rPr>
                <w:rFonts w:ascii="Calibri" w:hAnsi="Calibri" w:cs="Calibri"/>
              </w:rPr>
              <w:t xml:space="preserve"> infection is self-limiting.</w:t>
            </w:r>
          </w:p>
          <w:p w14:paraId="10A7B6BF"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Recombination among </w:t>
            </w:r>
            <w:proofErr w:type="spellStart"/>
            <w:r w:rsidRPr="009E1313">
              <w:rPr>
                <w:rFonts w:ascii="Calibri" w:hAnsi="Calibri" w:cs="Calibri"/>
              </w:rPr>
              <w:t>AdVs</w:t>
            </w:r>
            <w:proofErr w:type="spellEnd"/>
            <w:r w:rsidRPr="009E1313">
              <w:rPr>
                <w:rFonts w:ascii="Calibri" w:hAnsi="Calibri" w:cs="Calibri"/>
              </w:rPr>
              <w:t xml:space="preserve"> is usually restricted to the same species.</w:t>
            </w:r>
          </w:p>
          <w:p w14:paraId="0D1A69F9" w14:textId="77777777" w:rsidR="009E1313" w:rsidRPr="009E1313" w:rsidRDefault="009E1313" w:rsidP="009E1313">
            <w:pPr>
              <w:pStyle w:val="tablebullets"/>
              <w:ind w:left="128" w:hanging="142"/>
              <w:rPr>
                <w:rFonts w:ascii="Calibri" w:hAnsi="Calibri" w:cs="Calibri"/>
              </w:rPr>
            </w:pPr>
            <w:r w:rsidRPr="009E1313">
              <w:rPr>
                <w:rFonts w:ascii="Calibri" w:hAnsi="Calibri" w:cs="Calibri"/>
              </w:rPr>
              <w:t xml:space="preserve">Homologous recombination in </w:t>
            </w:r>
            <w:proofErr w:type="spellStart"/>
            <w:r w:rsidRPr="009E1313">
              <w:rPr>
                <w:rFonts w:ascii="Calibri" w:hAnsi="Calibri" w:cs="Calibri"/>
              </w:rPr>
              <w:t>HAdV</w:t>
            </w:r>
            <w:proofErr w:type="spellEnd"/>
            <w:r w:rsidRPr="009E1313">
              <w:rPr>
                <w:rFonts w:ascii="Calibri" w:hAnsi="Calibri" w:cs="Calibri"/>
              </w:rPr>
              <w:t>-C is more likely to occur in E1 and E4 regions, which are not involved in virus tropism.</w:t>
            </w:r>
          </w:p>
          <w:p w14:paraId="56FBFE2C" w14:textId="7D263DC5" w:rsidR="00E235CA" w:rsidRPr="00050667" w:rsidRDefault="009E1313" w:rsidP="00050667">
            <w:pPr>
              <w:pStyle w:val="tablebullets"/>
              <w:ind w:left="128" w:hanging="142"/>
              <w:rPr>
                <w:rFonts w:ascii="Calibri" w:hAnsi="Calibri" w:cs="Calibri"/>
                <w:sz w:val="22"/>
                <w:szCs w:val="22"/>
              </w:rPr>
            </w:pPr>
            <w:r w:rsidRPr="009E1313">
              <w:rPr>
                <w:rFonts w:ascii="Calibri" w:hAnsi="Calibri" w:cs="Calibri"/>
              </w:rPr>
              <w:t xml:space="preserve">Multiple recombination events would be required to produce a replication competent </w:t>
            </w:r>
            <w:proofErr w:type="spellStart"/>
            <w:r w:rsidRPr="009E1313">
              <w:rPr>
                <w:rFonts w:ascii="Calibri" w:hAnsi="Calibri" w:cs="Calibri"/>
              </w:rPr>
              <w:t>HAdV</w:t>
            </w:r>
            <w:proofErr w:type="spellEnd"/>
            <w:r w:rsidRPr="009E1313">
              <w:rPr>
                <w:rFonts w:ascii="Calibri" w:hAnsi="Calibri" w:cs="Calibri"/>
              </w:rPr>
              <w:t xml:space="preserve"> with altered tropism and immune evasion properties.</w:t>
            </w:r>
          </w:p>
        </w:tc>
      </w:tr>
    </w:tbl>
    <w:p w14:paraId="5B2CA9DA" w14:textId="78B74DB2" w:rsidR="00FB7E35" w:rsidRDefault="00FB7E35" w:rsidP="00583BD1">
      <w:pPr>
        <w:pStyle w:val="4RARMP"/>
        <w:spacing w:before="240"/>
      </w:pPr>
      <w:bookmarkStart w:id="336" w:name="Chapter_2_2_1"/>
      <w:bookmarkStart w:id="337" w:name="_Ref61527090"/>
      <w:bookmarkStart w:id="338" w:name="_Toc190509008"/>
      <w:bookmarkStart w:id="339" w:name="_Ref191460068"/>
      <w:bookmarkStart w:id="340" w:name="_Toc209859590"/>
      <w:bookmarkStart w:id="341" w:name="_Toc274904769"/>
      <w:bookmarkStart w:id="342" w:name="_Toc291151823"/>
      <w:bookmarkStart w:id="343" w:name="_Toc309054024"/>
      <w:bookmarkStart w:id="344" w:name="_Toc309833716"/>
      <w:bookmarkStart w:id="345" w:name="_Ref341344175"/>
      <w:bookmarkStart w:id="346" w:name="_Toc376438177"/>
      <w:bookmarkStart w:id="347" w:name="_Toc377743578"/>
      <w:bookmarkEnd w:id="336"/>
      <w:r>
        <w:lastRenderedPageBreak/>
        <w:t>Risk scenario 1</w:t>
      </w:r>
      <w:bookmarkEnd w:id="33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3FFF90DC" w:rsidR="00B91203" w:rsidRPr="00B91203" w:rsidRDefault="00B91203" w:rsidP="00B91203">
            <w:pPr>
              <w:pStyle w:val="Style4"/>
              <w:numPr>
                <w:ilvl w:val="0"/>
                <w:numId w:val="0"/>
              </w:numPr>
              <w:rPr>
                <w:rFonts w:ascii="Calibri" w:hAnsi="Calibri"/>
              </w:rPr>
            </w:pPr>
            <w:r w:rsidRPr="00B91203">
              <w:rPr>
                <w:rFonts w:ascii="Calibri" w:hAnsi="Calibri"/>
              </w:rPr>
              <w:t>Exposure of people to the GMO via needle-stick injury, aerosols, fomites, contact with abraded skin or mucous membranes through the following events:</w:t>
            </w:r>
          </w:p>
          <w:p w14:paraId="60AED0B7"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Preparation and administration of the GMO</w:t>
            </w:r>
          </w:p>
          <w:p w14:paraId="2D89DD84"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During import, transport or storage of the GMO</w:t>
            </w:r>
          </w:p>
          <w:p w14:paraId="5D4F19B5" w14:textId="0EF98C6A" w:rsidR="00516165" w:rsidRPr="00516165" w:rsidRDefault="00516165" w:rsidP="00516165">
            <w:pPr>
              <w:pStyle w:val="textfortable"/>
              <w:numPr>
                <w:ilvl w:val="0"/>
                <w:numId w:val="93"/>
              </w:numPr>
              <w:jc w:val="left"/>
              <w:rPr>
                <w:rFonts w:ascii="Calibri" w:hAnsi="Calibri"/>
                <w:sz w:val="22"/>
                <w:szCs w:val="22"/>
              </w:rPr>
            </w:pPr>
            <w:r w:rsidRPr="00516165">
              <w:rPr>
                <w:rFonts w:ascii="Calibri" w:hAnsi="Calibri"/>
                <w:sz w:val="22"/>
                <w:szCs w:val="22"/>
              </w:rPr>
              <w:t>Handling of samples containing the GMO</w:t>
            </w:r>
          </w:p>
          <w:p w14:paraId="1D03CD0C" w14:textId="6604B2E0"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Disposal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7A227CC" w14:textId="77777777" w:rsidR="00B91203" w:rsidRPr="00B91203" w:rsidRDefault="00B91203" w:rsidP="00B91203">
            <w:pPr>
              <w:pStyle w:val="Style4"/>
              <w:numPr>
                <w:ilvl w:val="0"/>
                <w:numId w:val="0"/>
              </w:numPr>
              <w:jc w:val="center"/>
              <w:rPr>
                <w:rFonts w:ascii="Calibri" w:hAnsi="Calibri"/>
                <w:color w:val="auto"/>
              </w:rPr>
            </w:pPr>
            <w:r w:rsidRPr="00B91203">
              <w:rPr>
                <w:rFonts w:ascii="Calibri" w:hAnsi="Calibri"/>
                <w:color w:val="auto"/>
              </w:rPr>
              <w:t>Post infection immune response due to the presence of the virus</w:t>
            </w:r>
          </w:p>
          <w:p w14:paraId="32DD8857" w14:textId="0580F1B2" w:rsidR="00B91203" w:rsidRPr="00B91203" w:rsidRDefault="00655897" w:rsidP="00B91203">
            <w:pPr>
              <w:pStyle w:val="Style4"/>
              <w:numPr>
                <w:ilvl w:val="0"/>
                <w:numId w:val="0"/>
              </w:numPr>
              <w:jc w:val="center"/>
              <w:rPr>
                <w:rFonts w:ascii="Calibri" w:hAnsi="Calibri"/>
                <w:color w:val="auto"/>
              </w:rPr>
            </w:pPr>
            <w:r>
              <w:rPr>
                <w:rFonts w:ascii="Calibri" w:hAnsi="Calibri"/>
                <w:color w:val="auto"/>
              </w:rPr>
              <w:t>a</w:t>
            </w:r>
            <w:r w:rsidRPr="00B91203">
              <w:rPr>
                <w:rFonts w:ascii="Calibri" w:hAnsi="Calibri"/>
                <w:color w:val="auto"/>
              </w:rPr>
              <w:t>nd</w:t>
            </w:r>
            <w:r w:rsidR="00B91203" w:rsidRPr="00B91203">
              <w:rPr>
                <w:rFonts w:ascii="Calibri" w:hAnsi="Calibri"/>
                <w:color w:val="auto"/>
              </w:rPr>
              <w:t>/or</w:t>
            </w:r>
          </w:p>
          <w:p w14:paraId="3CC1D15D" w14:textId="310798B5" w:rsidR="00083CBC" w:rsidRPr="00B91203" w:rsidRDefault="00834863" w:rsidP="00B91203">
            <w:pPr>
              <w:pStyle w:val="Style4"/>
              <w:numPr>
                <w:ilvl w:val="0"/>
                <w:numId w:val="0"/>
              </w:numPr>
              <w:jc w:val="center"/>
              <w:rPr>
                <w:rFonts w:ascii="Calibri" w:hAnsi="Calibri"/>
                <w:color w:val="auto"/>
                <w:sz w:val="20"/>
                <w:szCs w:val="20"/>
              </w:rPr>
            </w:pPr>
            <w:r w:rsidRPr="00834863">
              <w:rPr>
                <w:rFonts w:ascii="Calibri" w:hAnsi="Calibri"/>
                <w:color w:val="auto"/>
              </w:rPr>
              <w:t>Expression of the IFN-α2b protein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45673D18" w:rsidR="00083CBC" w:rsidRPr="00516165" w:rsidRDefault="002C4210" w:rsidP="00FF0635">
            <w:pPr>
              <w:spacing w:before="60" w:after="60"/>
              <w:rPr>
                <w:rFonts w:asciiTheme="minorHAnsi" w:eastAsia="Calibri" w:hAnsiTheme="minorHAnsi" w:cstheme="minorHAnsi"/>
                <w:szCs w:val="22"/>
              </w:rPr>
            </w:pPr>
            <w:r>
              <w:t>A</w:t>
            </w:r>
            <w:r w:rsidR="00FF0635" w:rsidRPr="00516165">
              <w:t>dverse immune reactions</w:t>
            </w:r>
            <w:r>
              <w:t xml:space="preserve">; </w:t>
            </w:r>
            <w:r w:rsidRPr="002C4210">
              <w:t>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lastRenderedPageBreak/>
        <w:t>Ca</w:t>
      </w:r>
      <w:r>
        <w:t>us</w:t>
      </w:r>
      <w:r w:rsidRPr="00D152F4">
        <w:t>al Pathway</w:t>
      </w:r>
    </w:p>
    <w:p w14:paraId="54A3E4E2" w14:textId="7889230C" w:rsidR="00B901C7" w:rsidRDefault="00051C96" w:rsidP="00051C96">
      <w:pPr>
        <w:pStyle w:val="RARMPnumberedparagraphs"/>
      </w:pPr>
      <w:r w:rsidRPr="00621CE0">
        <w:t>Peopl</w:t>
      </w:r>
      <w:r w:rsidR="0027423B">
        <w:t>e (</w:t>
      </w:r>
      <w:r w:rsidR="00360A0D">
        <w:t>other than the intended recipient</w:t>
      </w:r>
      <w:r w:rsidR="0027423B">
        <w:t xml:space="preserve">)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r w:rsidR="002C3A30" w:rsidRPr="00621CE0">
        <w:t>several</w:t>
      </w:r>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D33687">
        <w:t xml:space="preserve">during administration by needlestick </w:t>
      </w:r>
      <w:r w:rsidR="00AE044B">
        <w:t>injury. There</w:t>
      </w:r>
      <w:r w:rsidR="00834863">
        <w:t xml:space="preserve"> is likely to be </w:t>
      </w:r>
      <w:r w:rsidR="00834863" w:rsidRPr="00834863">
        <w:t>transient and low-level shedding of the GMO in urine</w:t>
      </w:r>
      <w:r w:rsidR="00834863">
        <w:t xml:space="preserve"> due to the method of administration</w:t>
      </w:r>
      <w:r w:rsidR="00621CE0" w:rsidRPr="00621CE0">
        <w:t xml:space="preserve">. </w:t>
      </w:r>
      <w:r w:rsidR="0036286F" w:rsidRPr="0036286F">
        <w:t>The collection of samples from trial participants could pose another route of exposure.</w:t>
      </w:r>
      <w:r w:rsidR="002D705D">
        <w:t xml:space="preserve"> </w:t>
      </w:r>
      <w:r w:rsidR="002D705D" w:rsidRPr="002D705D">
        <w:t>These exposures could result in infection with the GMO that could lead to ill health</w:t>
      </w:r>
      <w:r w:rsidR="002D705D">
        <w:t>.</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69F569E8" w14:textId="0BA0E5E8" w:rsidR="00834863"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8E199A">
        <w:t>Chapter 1</w:t>
      </w:r>
      <w:r w:rsidR="008E199A">
        <w:fldChar w:fldCharType="end"/>
      </w:r>
      <w:r w:rsidR="008E199A">
        <w:t xml:space="preserve">, Section </w:t>
      </w:r>
      <w:r w:rsidR="008E199A">
        <w:fldChar w:fldCharType="begin"/>
      </w:r>
      <w:r w:rsidR="008E199A">
        <w:instrText xml:space="preserve"> REF _Ref56778381 \n \h </w:instrText>
      </w:r>
      <w:r w:rsidR="008E199A">
        <w:fldChar w:fldCharType="separate"/>
      </w:r>
      <w:r w:rsidR="008E199A">
        <w:t>2.1</w:t>
      </w:r>
      <w:r w:rsidR="008E199A">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834863">
        <w:t xml:space="preserve">The GMO </w:t>
      </w:r>
      <w:r w:rsidR="00834863" w:rsidRPr="00834863">
        <w:t>is intended to be administered through intravesical inst</w:t>
      </w:r>
      <w:r w:rsidR="007A35AD">
        <w:t>i</w:t>
      </w:r>
      <w:r w:rsidR="00834863" w:rsidRPr="00834863">
        <w:t>llation performed by trained healthcare professionals</w:t>
      </w:r>
      <w:r w:rsidR="00834863">
        <w:t xml:space="preserve">. </w:t>
      </w:r>
      <w:r w:rsidR="00834863" w:rsidRPr="004207A4">
        <w:t xml:space="preserve">The risk of needle stick injuries is eliminated as the applicant stated that vented vial adapters will be used to transfer the GMO from the vial to the syringe </w:t>
      </w:r>
      <w:r w:rsidR="00834863">
        <w:t>(Chapter 1 Section</w:t>
      </w:r>
      <w:r w:rsidR="009409E5">
        <w:t xml:space="preserve"> </w:t>
      </w:r>
      <w:r w:rsidR="009409E5">
        <w:rPr>
          <w:highlight w:val="yellow"/>
        </w:rPr>
        <w:fldChar w:fldCharType="begin"/>
      </w:r>
      <w:r w:rsidR="009409E5">
        <w:instrText xml:space="preserve"> REF _Ref216279175 \n \h </w:instrText>
      </w:r>
      <w:r w:rsidR="009409E5">
        <w:rPr>
          <w:highlight w:val="yellow"/>
        </w:rPr>
      </w:r>
      <w:r w:rsidR="009409E5">
        <w:rPr>
          <w:highlight w:val="yellow"/>
        </w:rPr>
        <w:fldChar w:fldCharType="separate"/>
      </w:r>
      <w:r w:rsidR="009409E5">
        <w:t>2.3.6</w:t>
      </w:r>
      <w:r w:rsidR="009409E5">
        <w:rPr>
          <w:highlight w:val="yellow"/>
        </w:rPr>
        <w:fldChar w:fldCharType="end"/>
      </w:r>
      <w:r w:rsidR="00834863">
        <w:t xml:space="preserve">). </w:t>
      </w:r>
      <w:r w:rsidR="00834863" w:rsidRPr="004207A4">
        <w:t xml:space="preserve">There is potential for exposure of people involved in the preparation or administration of the GM therapeutic </w:t>
      </w:r>
      <w:r w:rsidR="00834863">
        <w:t>through</w:t>
      </w:r>
      <w:r w:rsidR="00834863" w:rsidRPr="004207A4">
        <w:t xml:space="preserve"> aerosol formation during preparation and/or due to breakage/spillage of the GM therapeutic or urine from patients onto surfaces</w:t>
      </w:r>
      <w:r w:rsidR="000D67F4" w:rsidRPr="00785E9A">
        <w:t>.</w:t>
      </w:r>
    </w:p>
    <w:p w14:paraId="3938B605" w14:textId="24479A41" w:rsidR="00EA616E" w:rsidRPr="00785E9A" w:rsidRDefault="00A2318D" w:rsidP="00EA50BC">
      <w:pPr>
        <w:pStyle w:val="RARMPnumberedparagraphs"/>
      </w:pPr>
      <w:r w:rsidRPr="00785E9A">
        <w:t xml:space="preserve">The GMO </w:t>
      </w:r>
      <w:r w:rsidR="00E54946" w:rsidRPr="00785E9A">
        <w:t>will</w:t>
      </w:r>
      <w:r w:rsidRPr="00785E9A">
        <w:t xml:space="preserve"> be prepared and administered by authorised, experienced and trained </w:t>
      </w:r>
      <w:r w:rsidR="00EE3FD5" w:rsidRPr="00785E9A">
        <w:t>health professionals</w:t>
      </w:r>
      <w:r w:rsidRPr="00785E9A">
        <w:t>.</w:t>
      </w:r>
      <w:r w:rsidR="00AD08A9" w:rsidRPr="00785E9A">
        <w:t xml:space="preserve"> </w:t>
      </w:r>
      <w:r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Pr="00785E9A">
        <w:t xml:space="preserve"> are required to comply with the standard precautions for working with potentially infectious material, as described in the</w:t>
      </w:r>
      <w:r w:rsidRPr="00785E9A">
        <w:rPr>
          <w:i/>
        </w:rPr>
        <w:t xml:space="preserve"> Australian Guidelines for the Prevention and Control of Infection </w:t>
      </w:r>
      <w:r w:rsidR="00D16BB2" w:rsidRPr="00785E9A">
        <w:rPr>
          <w:i/>
        </w:rPr>
        <w:t xml:space="preserve">in Healthcare </w:t>
      </w:r>
      <w:r w:rsidR="00D16BB2" w:rsidRPr="00785E9A">
        <w:t>(2019</w:t>
      </w:r>
      <w:r w:rsidRPr="00785E9A">
        <w:t>)</w:t>
      </w:r>
      <w:r w:rsidR="00167609" w:rsidRPr="00785E9A">
        <w:t xml:space="preserve"> </w:t>
      </w:r>
      <w:r w:rsidR="00ED6D2C" w:rsidRPr="00785E9A">
        <w:t xml:space="preserve">and </w:t>
      </w:r>
      <w:r w:rsidR="00167609" w:rsidRPr="00785E9A">
        <w:t>the</w:t>
      </w:r>
      <w:r w:rsidR="00167609" w:rsidRPr="00785E9A">
        <w:rPr>
          <w:i/>
        </w:rPr>
        <w:t xml:space="preserve"> Australian Immunisation Handbook</w:t>
      </w:r>
      <w:r w:rsidR="001D5865" w:rsidRPr="00785E9A">
        <w:rPr>
          <w:i/>
        </w:rPr>
        <w:t>.</w:t>
      </w:r>
      <w:r w:rsidR="00B21905" w:rsidRPr="00785E9A">
        <w:t xml:space="preserve"> </w:t>
      </w:r>
    </w:p>
    <w:p w14:paraId="4A746004" w14:textId="1CE3DC29" w:rsidR="00B15558" w:rsidRDefault="00B15558" w:rsidP="00B15558">
      <w:pPr>
        <w:pStyle w:val="RARMPnumberedparagraphs"/>
      </w:pPr>
      <w:r w:rsidRPr="00A81D8E">
        <w:t xml:space="preserve">Caregivers </w:t>
      </w:r>
      <w:r w:rsidR="00413457" w:rsidRPr="00A81D8E">
        <w:t xml:space="preserve">and healthcare personnel who </w:t>
      </w:r>
      <w:r w:rsidR="00643846">
        <w:t>are in</w:t>
      </w:r>
      <w:r w:rsidR="00413457" w:rsidRPr="00A81D8E">
        <w:t xml:space="preserve"> close contact with people </w:t>
      </w:r>
      <w:r w:rsidR="00052D24">
        <w:t xml:space="preserve">treated with the GMO </w:t>
      </w:r>
      <w:r w:rsidRPr="00A81D8E">
        <w:t>may be inadvertently exposed to the GMO during administration</w:t>
      </w:r>
      <w:r w:rsidR="00B21905">
        <w:t xml:space="preserve"> via spillage</w:t>
      </w:r>
      <w:r w:rsidR="00052D24">
        <w:t xml:space="preserve"> or after patient use of bathrooms</w:t>
      </w:r>
      <w:r w:rsidR="006063ED" w:rsidRPr="006063ED">
        <w:t>.</w:t>
      </w:r>
      <w:r w:rsidR="00413457" w:rsidRPr="00A81D8E">
        <w:t xml:space="preserve"> </w:t>
      </w:r>
      <w:r w:rsidRPr="00A81D8E">
        <w:t xml:space="preserve">Caregivers </w:t>
      </w:r>
      <w:r w:rsidR="00413457" w:rsidRPr="00A81D8E">
        <w:t xml:space="preserve">and others exposed to the </w:t>
      </w:r>
      <w:r w:rsidR="00870A20">
        <w:t>GMO</w:t>
      </w:r>
      <w:r w:rsidR="00413457" w:rsidRPr="00A81D8E">
        <w:t xml:space="preserve"> in this way </w:t>
      </w:r>
      <w:r w:rsidR="00E54946">
        <w:t>will</w:t>
      </w:r>
      <w:r w:rsidRPr="00A81D8E">
        <w:t xml:space="preserve"> only be expected to be exposed to low levels of the GMO.</w:t>
      </w:r>
    </w:p>
    <w:p w14:paraId="5E2D72EF" w14:textId="120BAB0E" w:rsidR="00A2318D" w:rsidRPr="00947F92"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and </w:t>
      </w:r>
      <w:r w:rsidR="00ED6D2C" w:rsidRPr="00ED6D2C">
        <w:t>the</w:t>
      </w:r>
      <w:r w:rsidR="00ED6D2C" w:rsidRPr="00EA50BC">
        <w:rPr>
          <w:i/>
        </w:rPr>
        <w:t xml:space="preserve"> Australian Immunisation Handbook</w:t>
      </w:r>
      <w:r w:rsidR="00ED6D2C">
        <w:rPr>
          <w:rFonts w:cs="Calibri"/>
          <w:color w:val="000000"/>
          <w:szCs w:val="22"/>
        </w:rPr>
        <w:t xml:space="preserve"> 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5625A6A7" w14:textId="03A8614C" w:rsidR="00DC2D82" w:rsidRDefault="00DC2D82" w:rsidP="00947F92">
      <w:pPr>
        <w:pStyle w:val="RARMPnumberedparagraphs"/>
        <w:numPr>
          <w:ilvl w:val="0"/>
          <w:numId w:val="0"/>
        </w:numPr>
        <w:rPr>
          <w:i/>
          <w:iCs/>
        </w:rPr>
      </w:pPr>
      <w:r>
        <w:rPr>
          <w:i/>
          <w:iCs/>
        </w:rPr>
        <w:t>Exposure during import, transport and storage of the GMO</w:t>
      </w:r>
    </w:p>
    <w:p w14:paraId="4A8DCCD2" w14:textId="0B3D447C" w:rsidR="00BA7606" w:rsidRDefault="00DC2D82" w:rsidP="00BA7606">
      <w:pPr>
        <w:pStyle w:val="RARMPnumberedparagraphs"/>
      </w:pPr>
      <w:r>
        <w:t>Import, transport and storage of the GMO have been considered under licence application DIR 217 for the commercial supply of the GMO in Australia.</w:t>
      </w:r>
      <w:r w:rsidR="00AC424E">
        <w:t xml:space="preserve"> </w:t>
      </w:r>
      <w:r w:rsidR="00953860">
        <w:t>To avoid duplication, f</w:t>
      </w:r>
      <w:r w:rsidR="00AC424E">
        <w:t>or this licence only dealings with the GMO occurring at the clinical trial site or downstream dealings such as collection and handling of samples from participants, and transport and disposal of clinical waste containing the GMO will be assessed</w:t>
      </w:r>
      <w:r w:rsidR="00953860">
        <w:t>, while import of the GMO and any transport or storage of the GMO before reaching the clinical trial site is not included.</w:t>
      </w:r>
    </w:p>
    <w:p w14:paraId="6A36CEF0" w14:textId="7294EBC4" w:rsidR="004359E7" w:rsidRPr="00947F92" w:rsidRDefault="004359E7" w:rsidP="00947F92">
      <w:pPr>
        <w:pStyle w:val="RARMPnumberedparagraphs"/>
        <w:numPr>
          <w:ilvl w:val="0"/>
          <w:numId w:val="0"/>
        </w:numPr>
        <w:rPr>
          <w:i/>
          <w:iCs/>
        </w:rPr>
      </w:pPr>
      <w:r w:rsidRPr="00947F92">
        <w:rPr>
          <w:i/>
          <w:iCs/>
        </w:rPr>
        <w:t>Exposure through the collection of samples</w:t>
      </w:r>
    </w:p>
    <w:p w14:paraId="51F952A7" w14:textId="0C97265D" w:rsidR="00D8518F" w:rsidRDefault="004359E7" w:rsidP="00CB0F94">
      <w:pPr>
        <w:pStyle w:val="RARMPnumberedparagraphs"/>
      </w:pPr>
      <w:r w:rsidRPr="004359E7">
        <w:t>Clinical trial staff collecting samples from trial participants could also be exposed to the GMO in the samples. However, as via the shedding route, the exposure via clinical sample collection is expected to be very low. Furthermore, only trained staff will collect the samples</w:t>
      </w:r>
      <w:r w:rsidR="00BA7606">
        <w:t xml:space="preserve"> and any samples that may contain the GMO will be handled </w:t>
      </w:r>
      <w:r w:rsidR="00BA7606" w:rsidRPr="006063ED">
        <w:t xml:space="preserve">according to </w:t>
      </w:r>
      <w:r w:rsidR="00BA7606">
        <w:t xml:space="preserve">the Regulator’s </w:t>
      </w:r>
      <w:r w:rsidR="00BA7606" w:rsidRPr="006B0B65">
        <w:rPr>
          <w:i/>
        </w:rPr>
        <w:t>Guidelines for the Transport, Storage and Disposal of GMOs</w:t>
      </w:r>
      <w:r w:rsidR="00BA7606">
        <w:t xml:space="preserve"> (TSDs</w:t>
      </w:r>
      <w:r w:rsidR="00BA7606" w:rsidRPr="006F1E79">
        <w:t>)</w:t>
      </w:r>
      <w:r w:rsidR="00BA7606" w:rsidRPr="006063ED">
        <w:t xml:space="preserve"> (</w:t>
      </w:r>
      <w:r w:rsidR="00BA7606" w:rsidRPr="006063ED">
        <w:fldChar w:fldCharType="begin"/>
      </w:r>
      <w:r w:rsidR="00BA7606" w:rsidRPr="006063ED">
        <w:instrText xml:space="preserve"> REF _Ref57107703 \n \h  \* MERGEFORMAT </w:instrText>
      </w:r>
      <w:r w:rsidR="00BA7606" w:rsidRPr="006063ED">
        <w:fldChar w:fldCharType="separate"/>
      </w:r>
      <w:r w:rsidR="00BA7606">
        <w:t>Chapter 1</w:t>
      </w:r>
      <w:r w:rsidR="00BA7606" w:rsidRPr="006063ED">
        <w:fldChar w:fldCharType="end"/>
      </w:r>
      <w:r w:rsidR="00BA7606" w:rsidRPr="006063ED">
        <w:t>, Section</w:t>
      </w:r>
      <w:r w:rsidR="00BA7606">
        <w:t xml:space="preserve"> </w:t>
      </w:r>
      <w:r w:rsidR="00BA7606" w:rsidRPr="006B0B65">
        <w:rPr>
          <w:highlight w:val="yellow"/>
        </w:rPr>
        <w:fldChar w:fldCharType="begin"/>
      </w:r>
      <w:r w:rsidR="00BA7606" w:rsidRPr="00612D03">
        <w:instrText xml:space="preserve"> REF _Ref57040802 \n \h </w:instrText>
      </w:r>
      <w:r w:rsidR="00BA7606" w:rsidRPr="006B0B65">
        <w:rPr>
          <w:highlight w:val="yellow"/>
        </w:rPr>
      </w:r>
      <w:r w:rsidR="00BA7606" w:rsidRPr="006B0B65">
        <w:rPr>
          <w:highlight w:val="yellow"/>
        </w:rPr>
        <w:fldChar w:fldCharType="separate"/>
      </w:r>
      <w:r w:rsidR="00BA7606" w:rsidRPr="00612D03">
        <w:t>2.2</w:t>
      </w:r>
      <w:r w:rsidR="00BA7606" w:rsidRPr="006B0B65">
        <w:rPr>
          <w:highlight w:val="yellow"/>
        </w:rPr>
        <w:fldChar w:fldCharType="end"/>
      </w:r>
      <w:r w:rsidR="00BA7606" w:rsidRPr="006063ED">
        <w:t>)</w:t>
      </w:r>
      <w:r>
        <w:t>.</w:t>
      </w:r>
      <w:r w:rsidR="00D8518F" w:rsidRPr="00D8518F">
        <w:t xml:space="preserve"> </w:t>
      </w:r>
    </w:p>
    <w:p w14:paraId="7B2E6340" w14:textId="09873605" w:rsidR="003D2B44" w:rsidRPr="00766B37" w:rsidRDefault="00A359B9" w:rsidP="00766B37">
      <w:pPr>
        <w:pStyle w:val="RARMPnumberedparagraphs"/>
        <w:numPr>
          <w:ilvl w:val="0"/>
          <w:numId w:val="0"/>
        </w:numPr>
        <w:rPr>
          <w:i/>
        </w:rPr>
      </w:pPr>
      <w:r w:rsidRPr="003D2B44">
        <w:rPr>
          <w:i/>
        </w:rPr>
        <w:t xml:space="preserve">Exposure during disposal of </w:t>
      </w:r>
      <w:r w:rsidR="00B43BCB">
        <w:rPr>
          <w:i/>
        </w:rPr>
        <w:t xml:space="preserve">waste containing </w:t>
      </w:r>
      <w:r w:rsidRPr="003D2B44">
        <w:rPr>
          <w:i/>
        </w:rPr>
        <w:t>the GMO</w:t>
      </w:r>
    </w:p>
    <w:p w14:paraId="50ABA115" w14:textId="2ACEE294" w:rsidR="003D2B44" w:rsidRDefault="003D2B44" w:rsidP="003D2B44">
      <w:pPr>
        <w:pStyle w:val="RARMPnumberedparagraphs"/>
      </w:pPr>
      <w:r w:rsidRPr="003D2B44">
        <w:t>Individuals may be inadvertently exposed to GMO</w:t>
      </w:r>
      <w:r w:rsidR="008269FE">
        <w:t>s</w:t>
      </w:r>
      <w:r w:rsidRPr="003D2B44">
        <w:t xml:space="preserve"> while disposing of used</w:t>
      </w:r>
      <w:r w:rsidR="002265AF">
        <w:t xml:space="preserve"> </w:t>
      </w:r>
      <w:r w:rsidRPr="003D2B44">
        <w:t xml:space="preserve">or unused vials of </w:t>
      </w:r>
      <w:r>
        <w:t xml:space="preserve">the </w:t>
      </w:r>
      <w:r w:rsidR="00870A20">
        <w:t>GMO</w:t>
      </w:r>
      <w:r w:rsidR="001F7761">
        <w:t>. The two</w:t>
      </w:r>
      <w:r w:rsidRPr="003D2B44">
        <w:t xml:space="preserve"> locations where this </w:t>
      </w:r>
      <w:r>
        <w:t>is most likely to occur are at:</w:t>
      </w:r>
    </w:p>
    <w:p w14:paraId="12AD380F" w14:textId="413847AF" w:rsidR="003D2B44" w:rsidRDefault="007A35AD" w:rsidP="00B32374">
      <w:pPr>
        <w:pStyle w:val="RARMPnumberedparagraphs"/>
        <w:numPr>
          <w:ilvl w:val="0"/>
          <w:numId w:val="40"/>
        </w:numPr>
      </w:pPr>
      <w:r>
        <w:lastRenderedPageBreak/>
        <w:t xml:space="preserve">sites </w:t>
      </w:r>
      <w:r w:rsidR="00870A20">
        <w:t>where</w:t>
      </w:r>
      <w:r w:rsidR="003D2B44" w:rsidRPr="003D2B44">
        <w:t xml:space="preserve"> stocks of </w:t>
      </w:r>
      <w:r w:rsidR="003D2B44">
        <w:t>the GM</w:t>
      </w:r>
      <w:r w:rsidR="00A54045">
        <w:t>O</w:t>
      </w:r>
      <w:r w:rsidR="003D2B44" w:rsidRPr="003D2B44">
        <w:t xml:space="preserve"> are </w:t>
      </w:r>
      <w:proofErr w:type="gramStart"/>
      <w:r w:rsidR="006943A7">
        <w:t>stored</w:t>
      </w:r>
      <w:r w:rsidR="00275855">
        <w:t>;</w:t>
      </w:r>
      <w:proofErr w:type="gramEnd"/>
      <w:r w:rsidR="003D2B44" w:rsidRPr="003D2B44">
        <w:t xml:space="preserve"> </w:t>
      </w:r>
    </w:p>
    <w:p w14:paraId="60198A23" w14:textId="2722EE13" w:rsidR="00656808" w:rsidRPr="00656808" w:rsidRDefault="007A35AD" w:rsidP="00B32374">
      <w:pPr>
        <w:pStyle w:val="RARMPnumberedparagraphs"/>
        <w:numPr>
          <w:ilvl w:val="0"/>
          <w:numId w:val="40"/>
        </w:numPr>
      </w:pPr>
      <w:r>
        <w:t>site</w:t>
      </w:r>
      <w:r w:rsidRPr="003D2B44">
        <w:t xml:space="preserve">s </w:t>
      </w:r>
      <w:r w:rsidR="003D2B44" w:rsidRPr="003D2B44">
        <w:t xml:space="preserve">where </w:t>
      </w:r>
      <w:r w:rsidR="003D2B44">
        <w:t>the GM</w:t>
      </w:r>
      <w:r w:rsidR="00A54045">
        <w:t>O</w:t>
      </w:r>
      <w:r w:rsidR="003D2B44">
        <w:t xml:space="preserve"> </w:t>
      </w:r>
      <w:r w:rsidR="003D2B44" w:rsidRPr="003D2B44">
        <w:t xml:space="preserve">is administered. </w:t>
      </w:r>
      <w:r w:rsidR="00766B37" w:rsidRPr="00766B37">
        <w:t xml:space="preserve"> </w:t>
      </w:r>
    </w:p>
    <w:p w14:paraId="08A1CD32" w14:textId="02141F28" w:rsidR="00953860" w:rsidRDefault="00953860" w:rsidP="00EF5934">
      <w:pPr>
        <w:pStyle w:val="RARMPnumberedparagraphs"/>
      </w:pPr>
      <w:r>
        <w:t>As discussed above, any transport, storage or disposal of the GMO before reaching the clinical trial site is covered by licence DIR 217</w:t>
      </w:r>
      <w:r w:rsidR="00B46165">
        <w:t xml:space="preserve"> once the GMO is </w:t>
      </w:r>
      <w:r w:rsidR="00EF08CF">
        <w:t>included</w:t>
      </w:r>
      <w:r w:rsidR="00B46165">
        <w:t xml:space="preserve"> on the ARTG</w:t>
      </w:r>
      <w:r>
        <w:t xml:space="preserve">. </w:t>
      </w:r>
    </w:p>
    <w:p w14:paraId="673F8530" w14:textId="54374A3D" w:rsidR="00BA7606" w:rsidRDefault="00BA7606" w:rsidP="00EF5934">
      <w:pPr>
        <w:pStyle w:val="RARMPnumberedparagraphs"/>
      </w:pPr>
      <w:r>
        <w:t>If waste containing the GMO was spilled during</w:t>
      </w:r>
      <w:r w:rsidRPr="00621CE0">
        <w:t xml:space="preserve"> transport or storage, this could result in exposure to people</w:t>
      </w:r>
      <w:r>
        <w:t xml:space="preserve"> </w:t>
      </w:r>
      <w:r w:rsidRPr="00621CE0">
        <w:t>in the area</w:t>
      </w:r>
      <w:r>
        <w:t xml:space="preserve"> via aerosol or liquid contact with eyes, mucous membranes or skin. Further, people could be inadvertently exposed to the GMO via contact with materials contaminated with the GMO and subsequent hand to mouth transmission.</w:t>
      </w:r>
    </w:p>
    <w:p w14:paraId="50C5972C" w14:textId="6D87FC55" w:rsidR="000D7987" w:rsidRPr="00BA7606" w:rsidRDefault="00B57742" w:rsidP="00EF5934">
      <w:pPr>
        <w:pStyle w:val="RARMPnumberedparagraphs"/>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1E7664">
        <w:t>Chapter 1</w:t>
      </w:r>
      <w:r w:rsidR="005F591C" w:rsidRPr="00472456">
        <w:fldChar w:fldCharType="end"/>
      </w:r>
      <w:r w:rsidR="005F591C" w:rsidRPr="00472456">
        <w:t>, Sectio</w:t>
      </w:r>
      <w:r w:rsidR="002265AF">
        <w:t xml:space="preserve">n </w:t>
      </w:r>
      <w:r w:rsidR="002265AF">
        <w:fldChar w:fldCharType="begin"/>
      </w:r>
      <w:r w:rsidR="002265AF">
        <w:instrText xml:space="preserve"> REF _Ref217296814 \n \h </w:instrText>
      </w:r>
      <w:r w:rsidR="002265AF">
        <w:fldChar w:fldCharType="separate"/>
      </w:r>
      <w:r w:rsidR="002265AF">
        <w:t>2.3</w:t>
      </w:r>
      <w:r w:rsidR="002265AF">
        <w:fldChar w:fldCharType="end"/>
      </w:r>
      <w:r w:rsidR="008B6644" w:rsidRPr="00B57742">
        <w:t>, unused</w:t>
      </w:r>
      <w:r w:rsidR="008B6644">
        <w:t xml:space="preserve"> vials of the GMO</w:t>
      </w:r>
      <w:r w:rsidR="00093E9F">
        <w:t>,</w:t>
      </w:r>
      <w:r w:rsidR="008B6644">
        <w:t xml:space="preserve">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methods approved by the Environmental Protection Agency or Health Departm</w:t>
      </w:r>
      <w:r w:rsidR="00AE4706" w:rsidRPr="000D7987">
        <w:rPr>
          <w:rFonts w:cs="Calibri"/>
          <w:szCs w:val="22"/>
        </w:rPr>
        <w:t xml:space="preserve">ent in </w:t>
      </w:r>
      <w:r w:rsidR="007E659E" w:rsidRPr="000D7987">
        <w:rPr>
          <w:rFonts w:cs="Calibri"/>
          <w:szCs w:val="22"/>
        </w:rPr>
        <w:t xml:space="preserve">the relevant </w:t>
      </w:r>
      <w:r w:rsidR="00AE4706" w:rsidRPr="000D7987">
        <w:rPr>
          <w:rFonts w:cs="Calibri"/>
          <w:szCs w:val="22"/>
        </w:rPr>
        <w:t>State or Territory</w:t>
      </w:r>
      <w:r w:rsidR="000840A6" w:rsidRPr="000D7987">
        <w:rPr>
          <w:rFonts w:cs="Calibri"/>
          <w:szCs w:val="22"/>
        </w:rPr>
        <w:t xml:space="preserve"> </w:t>
      </w:r>
      <w:r w:rsidR="000840A6" w:rsidRPr="000D7987">
        <w:rPr>
          <w:rFonts w:cs="Calibri"/>
          <w:szCs w:val="22"/>
        </w:rPr>
        <w:fldChar w:fldCharType="begin">
          <w:fldData xml:space="preserve">PEVuZE5vdGU+PENpdGU+PEF1dGhvcj5BQ1Q8L0F1dGhvcj48WWVhcj4yMDE3PC9ZZWFyPjxSZWNO
dW0+MTQyPC9SZWNOdW0+PERpc3BsYXlUZXh0PihBQ1QsIDIwMTc7IE5TVywgMjAxODsgTlQsIDIw
MTQ7IFFMRCwgMjAxOTsgU0EsIDIwMjA7IFRBUywgMjAwNzsgVklDLCAyMDIwOyBXQSwgMjAxNik8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5B0F2F">
        <w:rPr>
          <w:rFonts w:cs="Calibri"/>
          <w:szCs w:val="22"/>
        </w:rPr>
        <w:instrText xml:space="preserve"> ADDIN EN.CITE </w:instrText>
      </w:r>
      <w:r w:rsidR="005B0F2F">
        <w:rPr>
          <w:rFonts w:cs="Calibri"/>
          <w:szCs w:val="22"/>
        </w:rPr>
        <w:fldChar w:fldCharType="begin">
          <w:fldData xml:space="preserve">PEVuZE5vdGU+PENpdGU+PEF1dGhvcj5BQ1Q8L0F1dGhvcj48WWVhcj4yMDE3PC9ZZWFyPjxSZWNO
dW0+MTQyPC9SZWNOdW0+PERpc3BsYXlUZXh0PihBQ1QsIDIwMTc7IE5TVywgMjAxODsgTlQsIDIw
MTQ7IFFMRCwgMjAxOTsgU0EsIDIwMjA7IFRBUywgMjAwNzsgVklDLCAyMDIwOyBXQSwgMjAxNik8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5B0F2F">
        <w:rPr>
          <w:rFonts w:cs="Calibri"/>
          <w:szCs w:val="22"/>
        </w:rPr>
        <w:instrText xml:space="preserve"> ADDIN EN.CITE.DATA </w:instrText>
      </w:r>
      <w:r w:rsidR="005B0F2F">
        <w:rPr>
          <w:rFonts w:cs="Calibri"/>
          <w:szCs w:val="22"/>
        </w:rPr>
      </w:r>
      <w:r w:rsidR="005B0F2F">
        <w:rPr>
          <w:rFonts w:cs="Calibri"/>
          <w:szCs w:val="22"/>
        </w:rPr>
        <w:fldChar w:fldCharType="end"/>
      </w:r>
      <w:r w:rsidR="000840A6" w:rsidRPr="000D7987">
        <w:rPr>
          <w:rFonts w:cs="Calibri"/>
          <w:szCs w:val="22"/>
        </w:rPr>
      </w:r>
      <w:r w:rsidR="000840A6" w:rsidRPr="000D7987">
        <w:rPr>
          <w:rFonts w:cs="Calibri"/>
          <w:szCs w:val="22"/>
        </w:rPr>
        <w:fldChar w:fldCharType="separate"/>
      </w:r>
      <w:r w:rsidR="005B0F2F">
        <w:rPr>
          <w:rFonts w:cs="Calibri"/>
          <w:noProof/>
          <w:szCs w:val="22"/>
        </w:rPr>
        <w:t>(</w:t>
      </w:r>
      <w:hyperlink w:anchor="_ENREF_2" w:tooltip="ACT, 2017 #142" w:history="1">
        <w:r w:rsidR="0027195B">
          <w:rPr>
            <w:rFonts w:cs="Calibri"/>
            <w:noProof/>
            <w:szCs w:val="22"/>
          </w:rPr>
          <w:t>ACT, 2017</w:t>
        </w:r>
      </w:hyperlink>
      <w:r w:rsidR="005B0F2F">
        <w:rPr>
          <w:rFonts w:cs="Calibri"/>
          <w:noProof/>
          <w:szCs w:val="22"/>
        </w:rPr>
        <w:t xml:space="preserve">; </w:t>
      </w:r>
      <w:hyperlink w:anchor="_ENREF_66" w:tooltip="NSW, 2018 #143" w:history="1">
        <w:r w:rsidR="0027195B">
          <w:rPr>
            <w:rFonts w:cs="Calibri"/>
            <w:noProof/>
            <w:szCs w:val="22"/>
          </w:rPr>
          <w:t>NSW, 2018</w:t>
        </w:r>
      </w:hyperlink>
      <w:r w:rsidR="005B0F2F">
        <w:rPr>
          <w:rFonts w:cs="Calibri"/>
          <w:noProof/>
          <w:szCs w:val="22"/>
        </w:rPr>
        <w:t xml:space="preserve">; </w:t>
      </w:r>
      <w:hyperlink w:anchor="_ENREF_67" w:tooltip="NT, 2014 #144" w:history="1">
        <w:r w:rsidR="0027195B">
          <w:rPr>
            <w:rFonts w:cs="Calibri"/>
            <w:noProof/>
            <w:szCs w:val="22"/>
          </w:rPr>
          <w:t>NT, 2014</w:t>
        </w:r>
      </w:hyperlink>
      <w:r w:rsidR="005B0F2F">
        <w:rPr>
          <w:rFonts w:cs="Calibri"/>
          <w:noProof/>
          <w:szCs w:val="22"/>
        </w:rPr>
        <w:t xml:space="preserve">; </w:t>
      </w:r>
      <w:hyperlink w:anchor="_ENREF_71" w:tooltip="QLD, 2019 #145" w:history="1">
        <w:r w:rsidR="0027195B">
          <w:rPr>
            <w:rFonts w:cs="Calibri"/>
            <w:noProof/>
            <w:szCs w:val="22"/>
          </w:rPr>
          <w:t>QLD, 2019</w:t>
        </w:r>
      </w:hyperlink>
      <w:r w:rsidR="005B0F2F">
        <w:rPr>
          <w:rFonts w:cs="Calibri"/>
          <w:noProof/>
          <w:szCs w:val="22"/>
        </w:rPr>
        <w:t xml:space="preserve">; </w:t>
      </w:r>
      <w:hyperlink w:anchor="_ENREF_78" w:tooltip="SA, 2020 #146" w:history="1">
        <w:r w:rsidR="0027195B">
          <w:rPr>
            <w:rFonts w:cs="Calibri"/>
            <w:noProof/>
            <w:szCs w:val="22"/>
          </w:rPr>
          <w:t>SA, 2020</w:t>
        </w:r>
      </w:hyperlink>
      <w:r w:rsidR="005B0F2F">
        <w:rPr>
          <w:rFonts w:cs="Calibri"/>
          <w:noProof/>
          <w:szCs w:val="22"/>
        </w:rPr>
        <w:t xml:space="preserve">; </w:t>
      </w:r>
      <w:hyperlink w:anchor="_ENREF_90" w:tooltip="TAS, 2007 #147" w:history="1">
        <w:r w:rsidR="0027195B">
          <w:rPr>
            <w:rFonts w:cs="Calibri"/>
            <w:noProof/>
            <w:szCs w:val="22"/>
          </w:rPr>
          <w:t>TAS, 2007</w:t>
        </w:r>
      </w:hyperlink>
      <w:r w:rsidR="005B0F2F">
        <w:rPr>
          <w:rFonts w:cs="Calibri"/>
          <w:noProof/>
          <w:szCs w:val="22"/>
        </w:rPr>
        <w:t xml:space="preserve">; </w:t>
      </w:r>
      <w:hyperlink w:anchor="_ENREF_98" w:tooltip="VIC, 2020 #148" w:history="1">
        <w:r w:rsidR="0027195B">
          <w:rPr>
            <w:rFonts w:cs="Calibri"/>
            <w:noProof/>
            <w:szCs w:val="22"/>
          </w:rPr>
          <w:t>VIC, 2020</w:t>
        </w:r>
      </w:hyperlink>
      <w:r w:rsidR="005B0F2F">
        <w:rPr>
          <w:rFonts w:cs="Calibri"/>
          <w:noProof/>
          <w:szCs w:val="22"/>
        </w:rPr>
        <w:t xml:space="preserve">; </w:t>
      </w:r>
      <w:hyperlink w:anchor="_ENREF_99" w:tooltip="WA, 2016 #149" w:history="1">
        <w:r w:rsidR="0027195B">
          <w:rPr>
            <w:rFonts w:cs="Calibri"/>
            <w:noProof/>
            <w:szCs w:val="22"/>
          </w:rPr>
          <w:t>WA, 2016</w:t>
        </w:r>
      </w:hyperlink>
      <w:r w:rsidR="005B0F2F">
        <w:rPr>
          <w:rFonts w:cs="Calibri"/>
          <w:noProof/>
          <w:szCs w:val="22"/>
        </w:rPr>
        <w:t>)</w:t>
      </w:r>
      <w:r w:rsidR="000840A6" w:rsidRPr="000D7987">
        <w:rPr>
          <w:rFonts w:cs="Calibri"/>
          <w:szCs w:val="22"/>
        </w:rPr>
        <w:fldChar w:fldCharType="end"/>
      </w:r>
      <w:r w:rsidR="008B6644" w:rsidRPr="000D7987">
        <w:rPr>
          <w:rFonts w:cs="Calibri"/>
          <w:szCs w:val="22"/>
        </w:rPr>
        <w:t xml:space="preserve">. </w:t>
      </w:r>
      <w:r w:rsidR="000D6D8E">
        <w:rPr>
          <w:rFonts w:cs="Calibri"/>
          <w:szCs w:val="22"/>
        </w:rPr>
        <w:t xml:space="preserve">Waste containing the GMO will also be handled </w:t>
      </w:r>
      <w:r w:rsidR="000D6D8E" w:rsidRPr="006063ED">
        <w:t xml:space="preserve">according to </w:t>
      </w:r>
      <w:r w:rsidR="000D6D8E">
        <w:t xml:space="preserve">the Regulator’s </w:t>
      </w:r>
      <w:r w:rsidR="000D6D8E" w:rsidRPr="006F1E79">
        <w:rPr>
          <w:i/>
        </w:rPr>
        <w:t>Guidelines for the Transport, Storage and Disposal of GMOs</w:t>
      </w:r>
      <w:r w:rsidR="000D6D8E">
        <w:t xml:space="preserve"> (TSDs</w:t>
      </w:r>
      <w:r w:rsidR="000D6D8E" w:rsidRPr="006F1E79">
        <w:t>)</w:t>
      </w:r>
      <w:r w:rsidR="000D6D8E" w:rsidRPr="006063ED">
        <w:t xml:space="preserve"> (</w:t>
      </w:r>
      <w:r w:rsidR="000D6D8E" w:rsidRPr="006063ED">
        <w:fldChar w:fldCharType="begin"/>
      </w:r>
      <w:r w:rsidR="000D6D8E" w:rsidRPr="006063ED">
        <w:instrText xml:space="preserve"> REF _Ref57107703 \n \h  \* MERGEFORMAT </w:instrText>
      </w:r>
      <w:r w:rsidR="000D6D8E" w:rsidRPr="006063ED">
        <w:fldChar w:fldCharType="separate"/>
      </w:r>
      <w:r w:rsidR="000D6D8E">
        <w:t>Chapter 1</w:t>
      </w:r>
      <w:r w:rsidR="000D6D8E" w:rsidRPr="006063ED">
        <w:fldChar w:fldCharType="end"/>
      </w:r>
      <w:r w:rsidR="000D6D8E" w:rsidRPr="006063ED">
        <w:t>, Section</w:t>
      </w:r>
      <w:r w:rsidR="000D6D8E">
        <w:t xml:space="preserve"> </w:t>
      </w:r>
      <w:r w:rsidR="000D6D8E" w:rsidRPr="00612D03">
        <w:rPr>
          <w:highlight w:val="yellow"/>
        </w:rPr>
        <w:fldChar w:fldCharType="begin"/>
      </w:r>
      <w:r w:rsidR="000D6D8E" w:rsidRPr="00612D03">
        <w:instrText xml:space="preserve"> REF _Ref57040802 \n \h </w:instrText>
      </w:r>
      <w:r w:rsidR="000D6D8E" w:rsidRPr="00612D03">
        <w:rPr>
          <w:highlight w:val="yellow"/>
        </w:rPr>
      </w:r>
      <w:r w:rsidR="000D6D8E" w:rsidRPr="00612D03">
        <w:rPr>
          <w:highlight w:val="yellow"/>
        </w:rPr>
        <w:fldChar w:fldCharType="separate"/>
      </w:r>
      <w:r w:rsidR="000D6D8E" w:rsidRPr="00612D03">
        <w:t>2.2</w:t>
      </w:r>
      <w:r w:rsidR="000D6D8E" w:rsidRPr="00612D03">
        <w:rPr>
          <w:highlight w:val="yellow"/>
        </w:rPr>
        <w:fldChar w:fldCharType="end"/>
      </w:r>
      <w:r w:rsidR="000D6D8E" w:rsidRPr="006063ED">
        <w:t>)</w:t>
      </w:r>
      <w:r w:rsidR="000D6D8E">
        <w:t xml:space="preserve">. </w:t>
      </w:r>
      <w:r w:rsidR="007E659E" w:rsidRPr="000D7987">
        <w:rPr>
          <w:rFonts w:cs="Calibri"/>
          <w:szCs w:val="22"/>
        </w:rPr>
        <w:t xml:space="preserve">Adherence </w:t>
      </w:r>
      <w:r w:rsidR="00093E9F">
        <w:rPr>
          <w:rFonts w:cs="Calibri"/>
          <w:szCs w:val="22"/>
        </w:rPr>
        <w:t>to</w:t>
      </w:r>
      <w:r w:rsidR="00093E9F" w:rsidRPr="000D7987">
        <w:rPr>
          <w:rFonts w:cs="Calibri"/>
          <w:szCs w:val="22"/>
        </w:rPr>
        <w:t xml:space="preserve"> </w:t>
      </w:r>
      <w:r w:rsidR="007E659E" w:rsidRPr="000D7987">
        <w:rPr>
          <w:rFonts w:cs="Calibri"/>
          <w:szCs w:val="22"/>
        </w:rPr>
        <w:t xml:space="preserve">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 of people or animals to the GMO.</w:t>
      </w:r>
    </w:p>
    <w:p w14:paraId="7740BD61" w14:textId="7A248B02" w:rsidR="00BA7606" w:rsidRPr="000D7987" w:rsidRDefault="00BA7606" w:rsidP="00EF5934">
      <w:pPr>
        <w:pStyle w:val="RARMPnumberedparagraphs"/>
      </w:pPr>
      <w:r>
        <w:t>Antiviral disinfectants would be used for decontamination and disinfection in the case of accidental spills of waste containing the GMO.</w:t>
      </w:r>
    </w:p>
    <w:p w14:paraId="27523D63" w14:textId="61F1FAB8" w:rsidR="0050231E"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w:t>
      </w:r>
    </w:p>
    <w:p w14:paraId="11090DAA" w14:textId="07A64C81" w:rsidR="00B43BCB" w:rsidRPr="007D4236" w:rsidRDefault="00B43BCB" w:rsidP="007D4236">
      <w:pPr>
        <w:pStyle w:val="RARMPnumberedparagraphs"/>
        <w:rPr>
          <w:rFonts w:cs="Calibri"/>
        </w:rPr>
      </w:pPr>
      <w:r w:rsidRPr="009231A1">
        <w:t xml:space="preserve">For </w:t>
      </w:r>
      <w:r>
        <w:t xml:space="preserve">a </w:t>
      </w:r>
      <w:r w:rsidRPr="009231A1">
        <w:t>productive infection</w:t>
      </w:r>
      <w:r>
        <w:t xml:space="preserve"> to occur</w:t>
      </w:r>
      <w:r w:rsidRPr="009231A1">
        <w:t xml:space="preserve">, individuals must be exposed to an infectious dose. Residual liquid in used vials </w:t>
      </w:r>
      <w:r>
        <w:t>and used syringes would</w:t>
      </w:r>
      <w:r w:rsidRPr="009231A1">
        <w:t xml:space="preserve"> not contain a sufficient titre to cause </w:t>
      </w:r>
      <w:r>
        <w:t xml:space="preserve">a </w:t>
      </w:r>
      <w:r w:rsidRPr="009231A1">
        <w:t xml:space="preserve">productive infection. The same </w:t>
      </w:r>
      <w:r>
        <w:t>would</w:t>
      </w:r>
      <w:r w:rsidRPr="009231A1">
        <w:t xml:space="preserve"> apply to secondary waste such as gloves that may be contaminated with the </w:t>
      </w:r>
      <w:r>
        <w:t>GMO.</w:t>
      </w:r>
      <w:r w:rsidRPr="009231A1">
        <w:t xml:space="preserve"> </w:t>
      </w:r>
      <w:r>
        <w:t>Thus, the</w:t>
      </w:r>
      <w:r w:rsidRPr="009231A1">
        <w:t xml:space="preserve"> dose received through accidental exposure </w:t>
      </w:r>
      <w:r>
        <w:t>would</w:t>
      </w:r>
      <w:r w:rsidRPr="009231A1">
        <w:t xml:space="preserve"> be far smaller than that administered during </w:t>
      </w:r>
      <w:r>
        <w:t>the clinical trial and lower than that required for productive infection</w:t>
      </w:r>
      <w:r w:rsidRPr="009231A1">
        <w:t xml:space="preserve">. </w:t>
      </w:r>
      <w:r w:rsidRPr="003D2B44">
        <w:t xml:space="preserve">Therefore, even if an individual is inadvertently exposed to the GMO, they are unlikely to </w:t>
      </w:r>
      <w:r>
        <w:t>develop</w:t>
      </w:r>
      <w:r w:rsidRPr="003D2B44">
        <w:t xml:space="preserve"> </w:t>
      </w:r>
      <w:r>
        <w:t>an adverse immune reaction</w:t>
      </w:r>
      <w:r w:rsidRPr="002223AA">
        <w:rPr>
          <w:rFonts w:cs="Calibri"/>
        </w:rPr>
        <w:t>.</w:t>
      </w:r>
    </w:p>
    <w:p w14:paraId="5817B88A" w14:textId="7803B424" w:rsidR="00004F70" w:rsidRPr="001E3D65" w:rsidRDefault="00004F70" w:rsidP="00321D13">
      <w:pPr>
        <w:pStyle w:val="5RARMP"/>
      </w:pPr>
      <w:r w:rsidRPr="001E3D65">
        <w:t>Potential harm</w:t>
      </w:r>
    </w:p>
    <w:p w14:paraId="4AB0B274" w14:textId="2B92E8E6" w:rsidR="00BB0019" w:rsidRDefault="008C70CC" w:rsidP="00B06621">
      <w:pPr>
        <w:pStyle w:val="RARMPnumberedparagraphs"/>
      </w:pPr>
      <w:r>
        <w:t xml:space="preserve">If people are exposed to the GMO,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CD67E0">
        <w:t>could</w:t>
      </w:r>
      <w:r w:rsidR="00BB0019">
        <w:t xml:space="preserve"> experience </w:t>
      </w:r>
      <w:r w:rsidR="000B45FA">
        <w:t xml:space="preserve">an </w:t>
      </w:r>
      <w:r w:rsidR="002223AA">
        <w:t>adverse immune response</w:t>
      </w:r>
      <w:r w:rsidR="00CD67E0">
        <w:t xml:space="preserve"> or disease. </w:t>
      </w:r>
    </w:p>
    <w:p w14:paraId="73F3818A" w14:textId="1AE9497D" w:rsidR="00DA404C" w:rsidRDefault="002E0AC3" w:rsidP="00DA404C">
      <w:pPr>
        <w:pStyle w:val="RARMPnumberedparagraphs"/>
      </w:pPr>
      <w:r w:rsidRPr="00026249">
        <w:t>As the GMO is replication incompetent, it is unable to produce further viral particles which are required to sustain an infection. This would also mean that the IFN-</w:t>
      </w:r>
      <w:r w:rsidRPr="00026249">
        <w:rPr>
          <w:rFonts w:cs="Calibri"/>
        </w:rPr>
        <w:t>α</w:t>
      </w:r>
      <w:r w:rsidRPr="00026249">
        <w:t xml:space="preserve">2b expression would be limited to cells transduced by initial </w:t>
      </w:r>
      <w:r w:rsidR="00AC1EB7">
        <w:t>exposure to the GMO</w:t>
      </w:r>
      <w:r w:rsidR="00AC1EB7" w:rsidRPr="00026249">
        <w:t xml:space="preserve"> </w:t>
      </w:r>
      <w:r w:rsidRPr="00026249">
        <w:t xml:space="preserve">and the protein expressed would be unable to accumulate </w:t>
      </w:r>
      <w:r w:rsidR="0013653A" w:rsidRPr="0013653A">
        <w:t>other than the cells originally transduced</w:t>
      </w:r>
      <w:r w:rsidR="0013653A">
        <w:t xml:space="preserve">, </w:t>
      </w:r>
      <w:r w:rsidRPr="00026249">
        <w:t>and any reactions to the protein would be transient and only persist until the point of clearance of the GMO, limiting the magnitude of toxic effect and any immune response.</w:t>
      </w:r>
    </w:p>
    <w:p w14:paraId="4131BB0D" w14:textId="532D89F0" w:rsidR="002E0AC3" w:rsidRPr="00612D03" w:rsidRDefault="002E0AC3" w:rsidP="00DA404C">
      <w:pPr>
        <w:pStyle w:val="RARMPnumberedparagraphs"/>
      </w:pPr>
      <w:r w:rsidRPr="002E0AC3">
        <w:t>As discussed in Chapter 1, Section</w:t>
      </w:r>
      <w:r w:rsidR="0029461B">
        <w:t xml:space="preserve"> </w:t>
      </w:r>
      <w:r w:rsidR="0029461B" w:rsidRPr="00612D03">
        <w:rPr>
          <w:highlight w:val="yellow"/>
        </w:rPr>
        <w:fldChar w:fldCharType="begin"/>
      </w:r>
      <w:r w:rsidR="0029461B" w:rsidRPr="00612D03">
        <w:instrText xml:space="preserve"> REF _Ref216339301 \n \h </w:instrText>
      </w:r>
      <w:r w:rsidR="0029461B" w:rsidRPr="00612D03">
        <w:rPr>
          <w:highlight w:val="yellow"/>
        </w:rPr>
        <w:instrText xml:space="preserve"> \* MERGEFORMAT </w:instrText>
      </w:r>
      <w:r w:rsidR="0029461B" w:rsidRPr="00612D03">
        <w:rPr>
          <w:highlight w:val="yellow"/>
        </w:rPr>
      </w:r>
      <w:r w:rsidR="0029461B" w:rsidRPr="00612D03">
        <w:rPr>
          <w:highlight w:val="yellow"/>
        </w:rPr>
        <w:fldChar w:fldCharType="separate"/>
      </w:r>
      <w:r w:rsidR="0029461B" w:rsidRPr="00612D03">
        <w:t>4.2.3</w:t>
      </w:r>
      <w:r w:rsidR="0029461B" w:rsidRPr="00612D03">
        <w:rPr>
          <w:highlight w:val="yellow"/>
        </w:rPr>
        <w:fldChar w:fldCharType="end"/>
      </w:r>
      <w:r w:rsidRPr="00612D03">
        <w:t xml:space="preserve">, the purified IFN-α2b protein has been extensively used in clinical applications for treatment of hepatitis B and C infection and various virus induced cancers. Most of the adverse reactions related to the IFN-α2b therapy were mild to moderate and were manageable, and most diminished with continued therapy. </w:t>
      </w:r>
      <w:r w:rsidR="00456F09">
        <w:t xml:space="preserve">While there may be slight differences </w:t>
      </w:r>
      <w:r w:rsidR="007A35AD">
        <w:t>as</w:t>
      </w:r>
      <w:r w:rsidR="007B5D16">
        <w:t xml:space="preserve"> </w:t>
      </w:r>
      <w:r w:rsidR="00456F09" w:rsidRPr="00612D03">
        <w:t>IFN-α2b</w:t>
      </w:r>
      <w:r w:rsidR="00456F09">
        <w:t xml:space="preserve"> </w:t>
      </w:r>
      <w:r w:rsidR="007A35AD">
        <w:t>is delivered by</w:t>
      </w:r>
      <w:r w:rsidR="00456F09">
        <w:t xml:space="preserve"> a viral </w:t>
      </w:r>
      <w:r w:rsidR="007A35AD">
        <w:t>vector, increasing its</w:t>
      </w:r>
      <w:r w:rsidR="00456F09">
        <w:t xml:space="preserve"> immunogenic</w:t>
      </w:r>
      <w:r w:rsidR="007A35AD">
        <w:t xml:space="preserve"> capacity</w:t>
      </w:r>
      <w:r w:rsidR="00456F09">
        <w:t xml:space="preserve">, the safety profile is expected to be reasonably similar. </w:t>
      </w:r>
      <w:r w:rsidRPr="00612D03">
        <w:t>As discussed in Chapter 1, Section 4.3.4, in the Phases 2 and 3 clinical trials of the GMO, no Grade 4 or 5 adverse events related to the GMO treatment were reported.</w:t>
      </w:r>
    </w:p>
    <w:p w14:paraId="37FC4F09" w14:textId="77777777" w:rsidR="00665EAB" w:rsidRDefault="002E0AC3" w:rsidP="00A543DA">
      <w:pPr>
        <w:pStyle w:val="RARMPnumberedparagraphs"/>
      </w:pPr>
      <w:r w:rsidRPr="00612D03">
        <w:lastRenderedPageBreak/>
        <w:t xml:space="preserve">As discussed in Chapter 1, Section </w:t>
      </w:r>
      <w:r w:rsidR="0029461B" w:rsidRPr="00612D03">
        <w:rPr>
          <w:highlight w:val="yellow"/>
        </w:rPr>
        <w:fldChar w:fldCharType="begin"/>
      </w:r>
      <w:r w:rsidR="0029461B" w:rsidRPr="00612D03">
        <w:instrText xml:space="preserve"> REF _Ref216339715 \n \h </w:instrText>
      </w:r>
      <w:r w:rsidR="0029461B" w:rsidRPr="00612D03">
        <w:rPr>
          <w:highlight w:val="yellow"/>
        </w:rPr>
      </w:r>
      <w:r w:rsidR="0029461B" w:rsidRPr="00612D03">
        <w:rPr>
          <w:highlight w:val="yellow"/>
        </w:rPr>
        <w:fldChar w:fldCharType="separate"/>
      </w:r>
      <w:r w:rsidR="0029461B" w:rsidRPr="00612D03">
        <w:t>3.1</w:t>
      </w:r>
      <w:r w:rsidR="0029461B" w:rsidRPr="00612D03">
        <w:rPr>
          <w:highlight w:val="yellow"/>
        </w:rPr>
        <w:fldChar w:fldCharType="end"/>
      </w:r>
      <w:r w:rsidRPr="00612D03">
        <w:t xml:space="preserve">, immunocompromised individuals and children are high-risk groups for development of severe disease following </w:t>
      </w:r>
      <w:proofErr w:type="spellStart"/>
      <w:r w:rsidRPr="00612D03">
        <w:t>HAdV</w:t>
      </w:r>
      <w:proofErr w:type="spellEnd"/>
      <w:r w:rsidRPr="00612D03">
        <w:t xml:space="preserve"> infection. In the event of accidental exposure via mucosa/broken skin, the amount of GMO transferred would be far smaller than that administered during treatment. As the GMO cannot replicate, the minimal exposure and transient nature of infection would be expected to result in very mild or negligible symptoms and would also minimise the potential for an adverse immune response to the GMO. Therefore, the accidental exposure to the GMO is not expected to result in an infection and would not result in an increased disease burden. </w:t>
      </w:r>
    </w:p>
    <w:p w14:paraId="07E85E8B" w14:textId="045B2738" w:rsidR="00A543DA" w:rsidRDefault="00863EE8" w:rsidP="00A543DA">
      <w:pPr>
        <w:pStyle w:val="RARMPnumberedparagraphs"/>
      </w:pPr>
      <w:r>
        <w:t>A</w:t>
      </w:r>
      <w:r w:rsidR="002E0AC3" w:rsidRPr="00612D03">
        <w:t>s discussed in Chapter 1, Section</w:t>
      </w:r>
      <w:r w:rsidR="0029461B" w:rsidRPr="00612D03">
        <w:t xml:space="preserve"> </w:t>
      </w:r>
      <w:r w:rsidR="0029461B" w:rsidRPr="00612D03">
        <w:rPr>
          <w:highlight w:val="yellow"/>
        </w:rPr>
        <w:fldChar w:fldCharType="begin"/>
      </w:r>
      <w:r w:rsidR="0029461B" w:rsidRPr="00612D03">
        <w:instrText xml:space="preserve"> REF _Ref61526734 \n \h </w:instrText>
      </w:r>
      <w:r w:rsidR="0029461B" w:rsidRPr="00612D03">
        <w:rPr>
          <w:highlight w:val="yellow"/>
        </w:rPr>
      </w:r>
      <w:r w:rsidR="0029461B" w:rsidRPr="00612D03">
        <w:rPr>
          <w:highlight w:val="yellow"/>
        </w:rPr>
        <w:fldChar w:fldCharType="separate"/>
      </w:r>
      <w:r w:rsidR="0029461B" w:rsidRPr="00612D03">
        <w:t>4.3.1</w:t>
      </w:r>
      <w:r w:rsidR="0029461B" w:rsidRPr="00612D03">
        <w:rPr>
          <w:highlight w:val="yellow"/>
        </w:rPr>
        <w:fldChar w:fldCharType="end"/>
      </w:r>
      <w:r w:rsidR="002E0AC3" w:rsidRPr="00612D03">
        <w:t xml:space="preserve">, </w:t>
      </w:r>
      <w:r w:rsidR="002E0AC3" w:rsidRPr="002E0AC3">
        <w:t>a very low level of RCA may</w:t>
      </w:r>
      <w:r>
        <w:t xml:space="preserve"> also</w:t>
      </w:r>
      <w:r w:rsidR="002E0AC3" w:rsidRPr="002E0AC3">
        <w:t xml:space="preserve"> be present in the GM therapeutic product. This RCA differs from the wild-type RCA as it is a recombinant virus that is unable to evade the host immune system. Therefore, it is unlikely to infect immune-competent people but could potentially infect immunosuppressed individuals. Clinical data regarding the effect of the GM therapeutic on immunosuppressed individuals are lacking as this group has been excluded from the clinical trials. If an immunosuppressed individual was to be accidentally exposed to the RCA in the therapeutic product, the number of RCA particles would be extremely low and it is unlikely that they would develop severe symptoms or the risk for disseminated </w:t>
      </w:r>
      <w:proofErr w:type="spellStart"/>
      <w:r w:rsidR="002E0AC3" w:rsidRPr="002E0AC3">
        <w:t>HAdV</w:t>
      </w:r>
      <w:proofErr w:type="spellEnd"/>
      <w:r w:rsidR="002E0AC3" w:rsidRPr="002E0AC3">
        <w:t xml:space="preserve"> infection would be significantly increased, although this is an area of some uncertainty as adults who lack antibody could be infected by as few as 5 </w:t>
      </w:r>
      <w:proofErr w:type="spellStart"/>
      <w:r w:rsidR="002E0AC3" w:rsidRPr="002E0AC3">
        <w:t>AdV</w:t>
      </w:r>
      <w:proofErr w:type="spellEnd"/>
      <w:r w:rsidR="002E0AC3" w:rsidRPr="002E0AC3">
        <w:t xml:space="preserve"> particles (see Chapter 1, Section</w:t>
      </w:r>
      <w:r w:rsidR="0094001D">
        <w:t xml:space="preserve"> </w:t>
      </w:r>
      <w:r w:rsidR="0094001D" w:rsidRPr="00612D03">
        <w:rPr>
          <w:highlight w:val="yellow"/>
        </w:rPr>
        <w:fldChar w:fldCharType="begin"/>
      </w:r>
      <w:r w:rsidR="0094001D" w:rsidRPr="00612D03">
        <w:instrText xml:space="preserve"> REF _Ref216339978 \n \h </w:instrText>
      </w:r>
      <w:r w:rsidR="0094001D" w:rsidRPr="00612D03">
        <w:rPr>
          <w:highlight w:val="yellow"/>
        </w:rPr>
      </w:r>
      <w:r w:rsidR="0094001D" w:rsidRPr="00612D03">
        <w:rPr>
          <w:highlight w:val="yellow"/>
        </w:rPr>
        <w:fldChar w:fldCharType="separate"/>
      </w:r>
      <w:r w:rsidR="0094001D" w:rsidRPr="00612D03">
        <w:t>3.5.1</w:t>
      </w:r>
      <w:r w:rsidR="0094001D" w:rsidRPr="00612D03">
        <w:rPr>
          <w:highlight w:val="yellow"/>
        </w:rPr>
        <w:fldChar w:fldCharType="end"/>
      </w:r>
      <w:r w:rsidR="002E0AC3" w:rsidRPr="002E0AC3">
        <w:t>).</w:t>
      </w:r>
      <w:r>
        <w:t xml:space="preserve"> The RCA is attenuated compared to the wild type organisms and would be able to be cleared faster than the wild type HAdv5. Even if an immunosuppressed person is exposed to the RCA, a productive infection would be likely to be transient and mild in nature </w:t>
      </w:r>
      <w:proofErr w:type="gramStart"/>
      <w:r>
        <w:t>as a result of</w:t>
      </w:r>
      <w:proofErr w:type="gramEnd"/>
      <w:r>
        <w:t xml:space="preserve"> the attenuation.</w:t>
      </w:r>
    </w:p>
    <w:p w14:paraId="282E38D4" w14:textId="39C9EDED" w:rsidR="002E0AC3" w:rsidRPr="00EE6796" w:rsidRDefault="002E0AC3" w:rsidP="00A543DA">
      <w:pPr>
        <w:pStyle w:val="RARMPnumberedparagraphs"/>
      </w:pPr>
      <w:r w:rsidRPr="00026249">
        <w:t xml:space="preserve">As per the US </w:t>
      </w:r>
      <w:hyperlink r:id="rId42" w:history="1">
        <w:r w:rsidRPr="00026249">
          <w:rPr>
            <w:rStyle w:val="Hyperlink"/>
          </w:rPr>
          <w:t xml:space="preserve">Package Insert for </w:t>
        </w:r>
        <w:r w:rsidR="00DC1EB4" w:rsidRPr="00026249">
          <w:rPr>
            <w:rStyle w:val="Hyperlink"/>
          </w:rPr>
          <w:t>ADSTILADRIN</w:t>
        </w:r>
      </w:hyperlink>
      <w:r w:rsidRPr="00026249">
        <w:t xml:space="preserve">, individuals who are immunosuppressed or immune-deficient, should not prepare, administer, or come into contact with </w:t>
      </w:r>
      <w:r w:rsidR="00DC1EB4" w:rsidRPr="00026249">
        <w:t>ADSTILADRIN</w:t>
      </w:r>
      <w:r w:rsidRPr="00026249">
        <w:t>. The applicant has also proposed that a similar precaution</w:t>
      </w:r>
      <w:r>
        <w:t xml:space="preserve"> be implemented for the clinical trials in this application. </w:t>
      </w:r>
      <w:r w:rsidRPr="00026249">
        <w:t xml:space="preserve">This would reduce the chance of immunosuppressed persons </w:t>
      </w:r>
      <w:proofErr w:type="gramStart"/>
      <w:r w:rsidRPr="00026249">
        <w:t>coming into contact with</w:t>
      </w:r>
      <w:proofErr w:type="gramEnd"/>
      <w:r w:rsidRPr="00026249">
        <w:t xml:space="preserve"> the GMO, becoming infected and potentially developing severe disease.</w:t>
      </w:r>
    </w:p>
    <w:p w14:paraId="6785523F" w14:textId="77777777" w:rsidR="00004F70" w:rsidRPr="00961290" w:rsidRDefault="00004F70" w:rsidP="00321D13">
      <w:pPr>
        <w:pStyle w:val="5RARMP"/>
      </w:pPr>
      <w:r w:rsidRPr="00961290">
        <w:t>Conclusion</w:t>
      </w:r>
    </w:p>
    <w:p w14:paraId="4DEBD943" w14:textId="46AAFF7D"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w:t>
      </w:r>
      <w:r w:rsidR="00093E9F">
        <w:t xml:space="preserve">to cause harm </w:t>
      </w:r>
      <w:r w:rsidR="002731BC">
        <w:t>via a</w:t>
      </w:r>
      <w:r w:rsidR="008A21AC">
        <w:t xml:space="preserve"> serious adverse immune reaction</w:t>
      </w:r>
      <w:r>
        <w:t xml:space="preserve"> in humans</w:t>
      </w:r>
      <w:r w:rsidR="00FD5789">
        <w:t xml:space="preserve"> </w:t>
      </w:r>
      <w:r w:rsidRPr="006404A8">
        <w:t xml:space="preserve">is not identified as a risk that could be greater than negligible. </w:t>
      </w:r>
      <w:r w:rsidR="002731BC" w:rsidRPr="002731BC">
        <w:t>The main reasons are that</w:t>
      </w:r>
      <w:r w:rsidR="006943A7">
        <w:t xml:space="preserve"> the GMO is not expected to infect or replicate in healthy people</w:t>
      </w:r>
      <w:r w:rsidR="00D61929">
        <w:t xml:space="preserve"> and any infection resulting from potential exposure is expected to be 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2D68106E" w14:textId="77777777" w:rsidR="00FB7E35" w:rsidRPr="00583BD1" w:rsidRDefault="00FB7E35" w:rsidP="00583BD1">
      <w:pPr>
        <w:pStyle w:val="4RARMP"/>
        <w:spacing w:before="240"/>
      </w:pPr>
      <w:r w:rsidRPr="00583BD1">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9258A9" w:rsidRPr="00961290" w14:paraId="3D32A147"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6770FA"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5565CB3C" w14:textId="77777777" w:rsidR="009258A9" w:rsidRPr="008508E0" w:rsidRDefault="009258A9" w:rsidP="009D2E20">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9258A9" w:rsidRPr="00961290" w14:paraId="1639F5E0"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620186"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7CE15E9F" w14:textId="3B4EF598" w:rsidR="009258A9" w:rsidRPr="008508E0" w:rsidRDefault="009258A9" w:rsidP="009D2E20">
            <w:pPr>
              <w:keepNext/>
              <w:tabs>
                <w:tab w:val="left" w:pos="284"/>
              </w:tabs>
              <w:spacing w:before="60" w:after="60"/>
              <w:jc w:val="center"/>
              <w:rPr>
                <w:rFonts w:cs="Calibri"/>
                <w:szCs w:val="22"/>
              </w:rPr>
            </w:pPr>
            <w:r w:rsidRPr="008508E0">
              <w:rPr>
                <w:rFonts w:cs="Calibri"/>
                <w:szCs w:val="22"/>
              </w:rPr>
              <w:t>Release of GMO into the environment via accidental spill/un</w:t>
            </w:r>
            <w:r>
              <w:rPr>
                <w:rFonts w:cs="Calibri"/>
                <w:szCs w:val="22"/>
              </w:rPr>
              <w:t xml:space="preserve">used </w:t>
            </w:r>
            <w:r w:rsidRPr="008508E0">
              <w:rPr>
                <w:rFonts w:cs="Calibri"/>
                <w:szCs w:val="22"/>
              </w:rPr>
              <w:t>res</w:t>
            </w:r>
            <w:r>
              <w:rPr>
                <w:rFonts w:cs="Calibri"/>
                <w:szCs w:val="22"/>
              </w:rPr>
              <w:t xml:space="preserve">idues (e.g. sewerage, spills, </w:t>
            </w:r>
            <w:r w:rsidRPr="007D4236">
              <w:rPr>
                <w:rFonts w:cs="Calibri"/>
                <w:szCs w:val="28"/>
              </w:rPr>
              <w:t>shedding of the GMO from participants</w:t>
            </w:r>
            <w:r w:rsidRPr="008508E0">
              <w:rPr>
                <w:rFonts w:cs="Calibri"/>
                <w:szCs w:val="22"/>
              </w:rPr>
              <w:t>)</w:t>
            </w:r>
          </w:p>
          <w:p w14:paraId="6CF7FE02" w14:textId="77777777" w:rsidR="009258A9" w:rsidRPr="008508E0" w:rsidRDefault="009258A9" w:rsidP="009D2E20">
            <w:pPr>
              <w:spacing w:before="40" w:after="40"/>
              <w:jc w:val="center"/>
              <w:rPr>
                <w:rFonts w:cs="Calibri"/>
                <w:szCs w:val="22"/>
              </w:rPr>
            </w:pPr>
            <w:r w:rsidRPr="008508E0">
              <w:rPr>
                <w:rFonts w:cs="Calibri"/>
                <w:szCs w:val="22"/>
              </w:rPr>
              <w:sym w:font="Wingdings 3" w:char="F0C8"/>
            </w:r>
          </w:p>
          <w:p w14:paraId="00D8837F" w14:textId="77777777" w:rsidR="009258A9" w:rsidRPr="008508E0" w:rsidRDefault="009258A9" w:rsidP="009D2E20">
            <w:pPr>
              <w:spacing w:before="40" w:after="40"/>
              <w:jc w:val="center"/>
              <w:rPr>
                <w:rFonts w:cs="Calibri"/>
                <w:szCs w:val="22"/>
              </w:rPr>
            </w:pPr>
            <w:r w:rsidRPr="008508E0">
              <w:rPr>
                <w:rFonts w:cs="Calibri"/>
                <w:szCs w:val="22"/>
              </w:rPr>
              <w:t xml:space="preserve">Exposure </w:t>
            </w:r>
            <w:r>
              <w:rPr>
                <w:rFonts w:cs="Calibri"/>
                <w:szCs w:val="22"/>
              </w:rPr>
              <w:t>of</w:t>
            </w:r>
            <w:r w:rsidRPr="008508E0">
              <w:rPr>
                <w:rFonts w:cs="Calibri"/>
                <w:szCs w:val="22"/>
              </w:rPr>
              <w:t xml:space="preserve"> people or animals</w:t>
            </w:r>
          </w:p>
          <w:p w14:paraId="0D3960DA" w14:textId="6FC6FE9A" w:rsidR="009258A9" w:rsidRPr="008508E0" w:rsidRDefault="009258A9" w:rsidP="009D2E20">
            <w:pPr>
              <w:spacing w:before="40" w:after="40"/>
              <w:jc w:val="center"/>
              <w:rPr>
                <w:rFonts w:cs="Calibri"/>
                <w:szCs w:val="22"/>
              </w:rPr>
            </w:pPr>
            <w:r w:rsidRPr="008508E0">
              <w:rPr>
                <w:rFonts w:cs="Calibri"/>
                <w:szCs w:val="22"/>
              </w:rPr>
              <w:sym w:font="Wingdings 3" w:char="F0C8"/>
            </w:r>
          </w:p>
          <w:p w14:paraId="6D454A22" w14:textId="142E0796" w:rsidR="009258A9" w:rsidRPr="008508E0" w:rsidRDefault="009258A9" w:rsidP="009D2E20">
            <w:pPr>
              <w:pStyle w:val="textfortable"/>
              <w:rPr>
                <w:rFonts w:ascii="Calibri" w:hAnsi="Calibri" w:cs="Calibri"/>
                <w:sz w:val="22"/>
                <w:szCs w:val="22"/>
              </w:rPr>
            </w:pPr>
            <w:r w:rsidRPr="008508E0">
              <w:rPr>
                <w:rFonts w:ascii="Calibri" w:hAnsi="Calibri" w:cs="Calibri"/>
                <w:sz w:val="22"/>
                <w:szCs w:val="22"/>
              </w:rPr>
              <w:t xml:space="preserve">As per </w:t>
            </w:r>
            <w:r w:rsidR="00551A0C">
              <w:rPr>
                <w:rFonts w:ascii="Calibri" w:hAnsi="Calibri" w:cs="Calibri"/>
                <w:sz w:val="22"/>
                <w:szCs w:val="22"/>
              </w:rPr>
              <w:t xml:space="preserve">Risk </w:t>
            </w:r>
            <w:r w:rsidRPr="008508E0">
              <w:rPr>
                <w:rFonts w:ascii="Calibri" w:hAnsi="Calibri" w:cs="Calibri"/>
                <w:sz w:val="22"/>
                <w:szCs w:val="22"/>
              </w:rPr>
              <w:t>scenario 1</w:t>
            </w:r>
          </w:p>
        </w:tc>
      </w:tr>
      <w:tr w:rsidR="009258A9" w:rsidRPr="00961290" w14:paraId="53601A89" w14:textId="77777777" w:rsidTr="009D2E20">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9A4374" w14:textId="77777777" w:rsidR="009258A9" w:rsidRPr="005F4CB8" w:rsidRDefault="009258A9" w:rsidP="009D2E20">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11A9201" w14:textId="2BAA2386" w:rsidR="009258A9" w:rsidRPr="008508E0" w:rsidRDefault="002C4210" w:rsidP="009D2E20">
            <w:pPr>
              <w:spacing w:before="60" w:after="60"/>
              <w:rPr>
                <w:rFonts w:asciiTheme="minorHAnsi" w:hAnsiTheme="minorHAnsi" w:cstheme="minorHAnsi"/>
                <w:szCs w:val="22"/>
              </w:rPr>
            </w:pPr>
            <w:r>
              <w:t>A</w:t>
            </w:r>
            <w:r w:rsidR="009258A9" w:rsidRPr="009258A9">
              <w:t>dverse immune reactions; disease in people or animals</w:t>
            </w:r>
          </w:p>
        </w:tc>
      </w:tr>
    </w:tbl>
    <w:p w14:paraId="371ECECB" w14:textId="086256A4"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lastRenderedPageBreak/>
        <w:t>Ca</w:t>
      </w:r>
      <w:r>
        <w:t>us</w:t>
      </w:r>
      <w:r w:rsidRPr="00D152F4">
        <w:t>al Pathway</w:t>
      </w:r>
    </w:p>
    <w:bookmarkEnd w:id="338"/>
    <w:bookmarkEnd w:id="339"/>
    <w:bookmarkEnd w:id="340"/>
    <w:bookmarkEnd w:id="341"/>
    <w:bookmarkEnd w:id="342"/>
    <w:bookmarkEnd w:id="343"/>
    <w:bookmarkEnd w:id="344"/>
    <w:bookmarkEnd w:id="345"/>
    <w:bookmarkEnd w:id="346"/>
    <w:bookmarkEnd w:id="347"/>
    <w:p w14:paraId="2AD4C1A3" w14:textId="26DB132A" w:rsidR="005B41C4" w:rsidRDefault="005B41C4" w:rsidP="0029210D">
      <w:pPr>
        <w:pStyle w:val="RARMPnumberedparagraphs"/>
        <w:rPr>
          <w:color w:val="000000" w:themeColor="text1"/>
        </w:rPr>
      </w:pPr>
      <w:r w:rsidRPr="005B41C4">
        <w:rPr>
          <w:color w:val="000000" w:themeColor="text1"/>
        </w:rPr>
        <w:t xml:space="preserve">The GMO could be released in the environment through a spill during transport, storage or disposal where people or animals, including marine or aquatic animals could be exposed to the GMO. </w:t>
      </w:r>
      <w:r w:rsidR="00052D47" w:rsidRPr="00052D47">
        <w:rPr>
          <w:color w:val="000000" w:themeColor="text1"/>
        </w:rPr>
        <w:t>It is also possible that the GMO will be shed from participants post administration, potentially contaminating toilets, shared household items and exposing non-participants</w:t>
      </w:r>
      <w:r w:rsidR="00052D47">
        <w:rPr>
          <w:color w:val="000000" w:themeColor="text1"/>
        </w:rPr>
        <w:t xml:space="preserve">. </w:t>
      </w:r>
      <w:r w:rsidRPr="005B41C4">
        <w:rPr>
          <w:color w:val="000000" w:themeColor="text1"/>
        </w:rPr>
        <w:t>The GMO could also be released to the environment through sewerage from a toilet bowl used by a treated patient but not appropriately decontaminated. It could also be released to the environment, such as the hospital or patient home, via patient incontinence/urine. This could result in exposure of people and animals to the GMO and could potentially result in adverse immune reactions and/or disease in people and animals</w:t>
      </w:r>
      <w:r>
        <w:rPr>
          <w:color w:val="000000" w:themeColor="text1"/>
        </w:rPr>
        <w:t>.</w:t>
      </w:r>
    </w:p>
    <w:p w14:paraId="23973DE6" w14:textId="07F18735" w:rsidR="001152E1" w:rsidRDefault="00802234" w:rsidP="0029210D">
      <w:pPr>
        <w:pStyle w:val="RARMPnumberedparagraphs"/>
        <w:rPr>
          <w:color w:val="000000" w:themeColor="text1"/>
        </w:rPr>
      </w:pPr>
      <w:r w:rsidRPr="00802234">
        <w:rPr>
          <w:color w:val="000000" w:themeColor="text1"/>
        </w:rPr>
        <w:t>As discussed in Risk Scenario 1, accidental spills associated with import, transport, storage</w:t>
      </w:r>
      <w:r w:rsidR="00EC254A">
        <w:rPr>
          <w:color w:val="000000" w:themeColor="text1"/>
        </w:rPr>
        <w:t xml:space="preserve"> and </w:t>
      </w:r>
      <w:r w:rsidRPr="00802234">
        <w:rPr>
          <w:color w:val="000000" w:themeColor="text1"/>
        </w:rPr>
        <w:t xml:space="preserve">disposal have been considered, including the range of measures that are in place that would reduce the chances of GMO being released into the environment. </w:t>
      </w:r>
    </w:p>
    <w:p w14:paraId="774A92A1" w14:textId="36C61AAC" w:rsidR="005B41C4" w:rsidRDefault="001152E1" w:rsidP="0029210D">
      <w:pPr>
        <w:pStyle w:val="RARMPnumberedparagraphs"/>
        <w:rPr>
          <w:color w:val="000000" w:themeColor="text1"/>
        </w:rPr>
      </w:pPr>
      <w:r w:rsidRPr="001152E1">
        <w:rPr>
          <w:color w:val="000000" w:themeColor="text1"/>
        </w:rPr>
        <w:t xml:space="preserve">Although shedding of live viral particles was not tested, based on the preclinical studies of shedding of the GMO following intravesical administration in cynomolgus monkeys (Chapter 1, Section </w:t>
      </w:r>
      <w:r w:rsidRPr="001152E1">
        <w:rPr>
          <w:color w:val="000000" w:themeColor="text1"/>
        </w:rPr>
        <w:fldChar w:fldCharType="begin"/>
      </w:r>
      <w:r w:rsidRPr="001152E1">
        <w:rPr>
          <w:color w:val="000000" w:themeColor="text1"/>
        </w:rPr>
        <w:instrText xml:space="preserve"> REF _Ref216280904 \n \h </w:instrText>
      </w:r>
      <w:r w:rsidRPr="001152E1">
        <w:rPr>
          <w:color w:val="000000" w:themeColor="text1"/>
        </w:rPr>
      </w:r>
      <w:r w:rsidRPr="001152E1">
        <w:rPr>
          <w:color w:val="000000" w:themeColor="text1"/>
        </w:rPr>
        <w:fldChar w:fldCharType="separate"/>
      </w:r>
      <w:r w:rsidRPr="001152E1">
        <w:rPr>
          <w:color w:val="000000" w:themeColor="text1"/>
        </w:rPr>
        <w:t>4.3.3</w:t>
      </w:r>
      <w:r w:rsidRPr="001152E1">
        <w:rPr>
          <w:color w:val="000000" w:themeColor="text1"/>
        </w:rPr>
        <w:fldChar w:fldCharType="end"/>
      </w:r>
      <w:r w:rsidRPr="001152E1">
        <w:rPr>
          <w:color w:val="000000" w:themeColor="text1"/>
        </w:rPr>
        <w:t xml:space="preserve">) and the clinical trials (Chapter 1, Section </w:t>
      </w:r>
      <w:r w:rsidRPr="001152E1">
        <w:rPr>
          <w:color w:val="000000" w:themeColor="text1"/>
        </w:rPr>
        <w:fldChar w:fldCharType="begin"/>
      </w:r>
      <w:r w:rsidRPr="001152E1">
        <w:rPr>
          <w:color w:val="000000" w:themeColor="text1"/>
        </w:rPr>
        <w:instrText xml:space="preserve"> REF _Ref216702339 \n \h </w:instrText>
      </w:r>
      <w:r w:rsidRPr="001152E1">
        <w:rPr>
          <w:color w:val="000000" w:themeColor="text1"/>
        </w:rPr>
      </w:r>
      <w:r w:rsidRPr="001152E1">
        <w:rPr>
          <w:color w:val="000000" w:themeColor="text1"/>
        </w:rPr>
        <w:fldChar w:fldCharType="separate"/>
      </w:r>
      <w:r w:rsidRPr="001152E1">
        <w:rPr>
          <w:color w:val="000000" w:themeColor="text1"/>
        </w:rPr>
        <w:t>4.3.4</w:t>
      </w:r>
      <w:r w:rsidRPr="001152E1">
        <w:rPr>
          <w:color w:val="000000" w:themeColor="text1"/>
        </w:rPr>
        <w:fldChar w:fldCharType="end"/>
      </w:r>
      <w:r w:rsidRPr="001152E1">
        <w:rPr>
          <w:color w:val="000000" w:themeColor="text1"/>
        </w:rPr>
        <w:t>), the trial participants are expected to shed the GMO in the urine for a few days post instillation, as quantifiable GMO-specific DNA was noted for up to 3 days, while GMO-specific DNA could be detected for about 15 day</w:t>
      </w:r>
      <w:r w:rsidR="00C36F23">
        <w:rPr>
          <w:color w:val="000000" w:themeColor="text1"/>
        </w:rPr>
        <w:t>s</w:t>
      </w:r>
      <w:r w:rsidRPr="001152E1">
        <w:rPr>
          <w:color w:val="000000" w:themeColor="text1"/>
        </w:rPr>
        <w:t xml:space="preserve">. </w:t>
      </w:r>
      <w:r w:rsidR="00802234" w:rsidRPr="00802234">
        <w:rPr>
          <w:color w:val="000000" w:themeColor="text1"/>
        </w:rPr>
        <w:t xml:space="preserve">As per the </w:t>
      </w:r>
      <w:hyperlink r:id="rId43" w:history="1">
        <w:r w:rsidR="00802234" w:rsidRPr="00802234">
          <w:rPr>
            <w:rStyle w:val="Hyperlink"/>
          </w:rPr>
          <w:t>Package Insert for ADSTILADRIN</w:t>
        </w:r>
      </w:hyperlink>
      <w:r w:rsidR="00802234" w:rsidRPr="00802234">
        <w:rPr>
          <w:color w:val="000000" w:themeColor="text1"/>
        </w:rPr>
        <w:t xml:space="preserve">, patients in the US receiving the treatment and their </w:t>
      </w:r>
      <w:proofErr w:type="spellStart"/>
      <w:r w:rsidR="00802234" w:rsidRPr="00802234">
        <w:rPr>
          <w:color w:val="000000" w:themeColor="text1"/>
        </w:rPr>
        <w:t>carers</w:t>
      </w:r>
      <w:proofErr w:type="spellEnd"/>
      <w:r w:rsidR="00802234" w:rsidRPr="00802234">
        <w:rPr>
          <w:color w:val="000000" w:themeColor="text1"/>
        </w:rPr>
        <w:t xml:space="preserve"> are informed that transient and low-level shedding of the GMO may occur in urine</w:t>
      </w:r>
      <w:r w:rsidR="002063C1">
        <w:rPr>
          <w:color w:val="000000" w:themeColor="text1"/>
        </w:rPr>
        <w:t>.</w:t>
      </w:r>
      <w:r w:rsidR="004D7C0A">
        <w:rPr>
          <w:color w:val="000000" w:themeColor="text1"/>
        </w:rPr>
        <w:t xml:space="preserve"> </w:t>
      </w:r>
      <w:r w:rsidR="002063C1">
        <w:rPr>
          <w:color w:val="000000" w:themeColor="text1"/>
        </w:rPr>
        <w:t>F</w:t>
      </w:r>
      <w:r w:rsidR="002063C1" w:rsidRPr="00802234">
        <w:rPr>
          <w:color w:val="000000" w:themeColor="text1"/>
        </w:rPr>
        <w:t xml:space="preserve">or 2 days following </w:t>
      </w:r>
      <w:r w:rsidR="002063C1">
        <w:rPr>
          <w:color w:val="000000" w:themeColor="text1"/>
        </w:rPr>
        <w:t xml:space="preserve">administration of the GMO, trial participants </w:t>
      </w:r>
      <w:r w:rsidR="00802234" w:rsidRPr="00802234">
        <w:rPr>
          <w:color w:val="000000" w:themeColor="text1"/>
        </w:rPr>
        <w:t xml:space="preserve">that they must add half </w:t>
      </w:r>
      <w:r w:rsidR="002063C1">
        <w:rPr>
          <w:color w:val="000000" w:themeColor="text1"/>
        </w:rPr>
        <w:t xml:space="preserve">a </w:t>
      </w:r>
      <w:r w:rsidR="00802234" w:rsidRPr="00802234">
        <w:rPr>
          <w:color w:val="000000" w:themeColor="text1"/>
        </w:rPr>
        <w:t xml:space="preserve">cup of bleach to the toilet bowl before urinating and disinfect voided urine for 15 min before flushing the toilet. </w:t>
      </w:r>
      <w:r w:rsidR="002063C1">
        <w:rPr>
          <w:color w:val="000000" w:themeColor="text1"/>
        </w:rPr>
        <w:t xml:space="preserve">To align the use of this product with labelling requirement from the FDA, </w:t>
      </w:r>
      <w:r w:rsidR="004D7C0A">
        <w:rPr>
          <w:color w:val="000000" w:themeColor="text1"/>
        </w:rPr>
        <w:t>s</w:t>
      </w:r>
      <w:r w:rsidR="00802234" w:rsidRPr="00802234">
        <w:rPr>
          <w:color w:val="000000" w:themeColor="text1"/>
        </w:rPr>
        <w:t xml:space="preserve">uch urine treatment </w:t>
      </w:r>
      <w:r w:rsidR="00095089">
        <w:rPr>
          <w:color w:val="000000" w:themeColor="text1"/>
        </w:rPr>
        <w:t xml:space="preserve">was also included as a condition in licence DIR 217 for commercial supply of </w:t>
      </w:r>
      <w:r w:rsidR="00802234" w:rsidRPr="00802234">
        <w:rPr>
          <w:color w:val="000000" w:themeColor="text1"/>
        </w:rPr>
        <w:t>the GM</w:t>
      </w:r>
      <w:r w:rsidR="00485E61">
        <w:rPr>
          <w:color w:val="000000" w:themeColor="text1"/>
        </w:rPr>
        <w:t>O</w:t>
      </w:r>
      <w:r w:rsidR="00802234" w:rsidRPr="00802234">
        <w:rPr>
          <w:color w:val="000000" w:themeColor="text1"/>
        </w:rPr>
        <w:t xml:space="preserve"> in Australia</w:t>
      </w:r>
      <w:r w:rsidR="00095089">
        <w:rPr>
          <w:color w:val="000000" w:themeColor="text1"/>
        </w:rPr>
        <w:t xml:space="preserve"> and w</w:t>
      </w:r>
      <w:r w:rsidR="00222AF0">
        <w:rPr>
          <w:color w:val="000000" w:themeColor="text1"/>
        </w:rPr>
        <w:t>ould</w:t>
      </w:r>
      <w:r w:rsidR="00095089">
        <w:rPr>
          <w:color w:val="000000" w:themeColor="text1"/>
        </w:rPr>
        <w:t xml:space="preserve"> be </w:t>
      </w:r>
      <w:r w:rsidR="009968C7">
        <w:rPr>
          <w:color w:val="000000" w:themeColor="text1"/>
        </w:rPr>
        <w:t>relevant</w:t>
      </w:r>
      <w:r w:rsidR="00542743">
        <w:rPr>
          <w:color w:val="000000" w:themeColor="text1"/>
        </w:rPr>
        <w:t xml:space="preserve"> for clinical trials of the GMO</w:t>
      </w:r>
      <w:r w:rsidR="00802234" w:rsidRPr="00802234">
        <w:rPr>
          <w:color w:val="000000" w:themeColor="text1"/>
        </w:rPr>
        <w:t>. The TGA is responsible for reviewing any instructions for use of the GMO by the patient, including what information is included in the Product Information regarding precautions to take after GMO administration</w:t>
      </w:r>
      <w:r w:rsidR="002063C1">
        <w:rPr>
          <w:color w:val="000000" w:themeColor="text1"/>
        </w:rPr>
        <w:t>, however the product is yet to be registered in Australia</w:t>
      </w:r>
      <w:r w:rsidR="00802234">
        <w:rPr>
          <w:color w:val="000000" w:themeColor="text1"/>
        </w:rPr>
        <w:t>.</w:t>
      </w:r>
      <w:r w:rsidR="002063C1" w:rsidRPr="002063C1">
        <w:rPr>
          <w:color w:val="000000" w:themeColor="text1"/>
        </w:rPr>
        <w:t xml:space="preserve"> </w:t>
      </w:r>
      <w:r w:rsidR="002063C1">
        <w:rPr>
          <w:color w:val="000000" w:themeColor="text1"/>
        </w:rPr>
        <w:t xml:space="preserve">Although not considered as critical to manage the risks associated with release of the GMO in the environment, </w:t>
      </w:r>
      <w:r w:rsidR="00F072B7">
        <w:rPr>
          <w:color w:val="000000" w:themeColor="text1"/>
        </w:rPr>
        <w:t>t</w:t>
      </w:r>
      <w:r w:rsidR="002063C1" w:rsidRPr="00802234">
        <w:rPr>
          <w:color w:val="000000" w:themeColor="text1"/>
        </w:rPr>
        <w:t xml:space="preserve">his </w:t>
      </w:r>
      <w:r w:rsidR="002C3A30">
        <w:rPr>
          <w:color w:val="000000" w:themeColor="text1"/>
        </w:rPr>
        <w:t xml:space="preserve">requirement </w:t>
      </w:r>
      <w:r w:rsidR="002063C1" w:rsidRPr="00802234">
        <w:rPr>
          <w:color w:val="000000" w:themeColor="text1"/>
        </w:rPr>
        <w:t xml:space="preserve">would reduce the </w:t>
      </w:r>
      <w:r w:rsidR="002063C1">
        <w:rPr>
          <w:color w:val="000000" w:themeColor="text1"/>
        </w:rPr>
        <w:t>amount of</w:t>
      </w:r>
      <w:r w:rsidR="002063C1" w:rsidRPr="00802234">
        <w:rPr>
          <w:color w:val="000000" w:themeColor="text1"/>
        </w:rPr>
        <w:t xml:space="preserve"> GMO being released into sewerage.</w:t>
      </w:r>
    </w:p>
    <w:p w14:paraId="26ADDCCC" w14:textId="1D73D336" w:rsidR="00802234" w:rsidRDefault="00802234" w:rsidP="00E0011A">
      <w:pPr>
        <w:pStyle w:val="RARMPnumberedparagraphs"/>
        <w:rPr>
          <w:color w:val="000000" w:themeColor="text1"/>
        </w:rPr>
      </w:pPr>
      <w:r w:rsidRPr="00802234">
        <w:rPr>
          <w:color w:val="000000" w:themeColor="text1"/>
        </w:rPr>
        <w:t xml:space="preserve">In the event of a spill or unused vials or urine without correct decontamination with suitable disinfectants, the GMO could potentially survive on surfaces for up to 8 weeks at low humidity (see </w:t>
      </w:r>
      <w:r w:rsidRPr="00802234">
        <w:rPr>
          <w:color w:val="000000" w:themeColor="text1"/>
        </w:rPr>
        <w:fldChar w:fldCharType="begin"/>
      </w:r>
      <w:r w:rsidRPr="00802234">
        <w:rPr>
          <w:color w:val="000000" w:themeColor="text1"/>
        </w:rPr>
        <w:instrText xml:space="preserve"> REF _Ref58589090 \n \h  \* MERGEFORMAT </w:instrText>
      </w:r>
      <w:r w:rsidRPr="00802234">
        <w:rPr>
          <w:color w:val="000000" w:themeColor="text1"/>
        </w:rPr>
      </w:r>
      <w:r w:rsidRPr="00802234">
        <w:rPr>
          <w:color w:val="000000" w:themeColor="text1"/>
        </w:rPr>
        <w:fldChar w:fldCharType="separate"/>
      </w:r>
      <w:r w:rsidRPr="00802234">
        <w:rPr>
          <w:color w:val="000000" w:themeColor="text1"/>
        </w:rPr>
        <w:t>Chapter 1</w:t>
      </w:r>
      <w:r w:rsidRPr="00802234">
        <w:rPr>
          <w:color w:val="000000" w:themeColor="text1"/>
        </w:rPr>
        <w:fldChar w:fldCharType="end"/>
      </w:r>
      <w:r w:rsidRPr="00802234">
        <w:rPr>
          <w:color w:val="000000" w:themeColor="text1"/>
        </w:rPr>
        <w:t xml:space="preserve">, Section </w:t>
      </w:r>
      <w:r w:rsidRPr="00802234">
        <w:rPr>
          <w:color w:val="000000" w:themeColor="text1"/>
        </w:rPr>
        <w:fldChar w:fldCharType="begin"/>
      </w:r>
      <w:r w:rsidRPr="00802234">
        <w:rPr>
          <w:color w:val="000000" w:themeColor="text1"/>
        </w:rPr>
        <w:instrText xml:space="preserve"> REF _Ref57107869 \n \h  \* MERGEFORMAT </w:instrText>
      </w:r>
      <w:r w:rsidRPr="00802234">
        <w:rPr>
          <w:color w:val="000000" w:themeColor="text1"/>
        </w:rPr>
      </w:r>
      <w:r w:rsidRPr="00802234">
        <w:rPr>
          <w:color w:val="000000" w:themeColor="text1"/>
        </w:rPr>
        <w:fldChar w:fldCharType="separate"/>
      </w:r>
      <w:r w:rsidRPr="00802234">
        <w:rPr>
          <w:color w:val="000000" w:themeColor="text1"/>
        </w:rPr>
        <w:t>3.5.4</w:t>
      </w:r>
      <w:r w:rsidRPr="00802234">
        <w:rPr>
          <w:color w:val="000000" w:themeColor="text1"/>
        </w:rPr>
        <w:fldChar w:fldCharType="end"/>
      </w:r>
      <w:r w:rsidRPr="00802234">
        <w:rPr>
          <w:color w:val="000000" w:themeColor="text1"/>
        </w:rPr>
        <w:t xml:space="preserve">). In cold water or dark sediments, survival </w:t>
      </w:r>
      <w:r w:rsidR="002063C1">
        <w:rPr>
          <w:color w:val="000000" w:themeColor="text1"/>
        </w:rPr>
        <w:t xml:space="preserve">of </w:t>
      </w:r>
      <w:proofErr w:type="spellStart"/>
      <w:r w:rsidR="002063C1">
        <w:rPr>
          <w:color w:val="000000" w:themeColor="text1"/>
        </w:rPr>
        <w:t>AdVs</w:t>
      </w:r>
      <w:proofErr w:type="spellEnd"/>
      <w:r w:rsidR="002063C1">
        <w:rPr>
          <w:color w:val="000000" w:themeColor="text1"/>
        </w:rPr>
        <w:t xml:space="preserve"> have been repo</w:t>
      </w:r>
      <w:r w:rsidR="00B46165">
        <w:rPr>
          <w:color w:val="000000" w:themeColor="text1"/>
        </w:rPr>
        <w:t>r</w:t>
      </w:r>
      <w:r w:rsidR="002063C1">
        <w:rPr>
          <w:color w:val="000000" w:themeColor="text1"/>
        </w:rPr>
        <w:t>ted for</w:t>
      </w:r>
      <w:r w:rsidRPr="00802234">
        <w:rPr>
          <w:color w:val="000000" w:themeColor="text1"/>
        </w:rPr>
        <w:t xml:space="preserve"> up to a few months (see </w:t>
      </w:r>
      <w:r w:rsidRPr="00802234">
        <w:rPr>
          <w:color w:val="000000" w:themeColor="text1"/>
        </w:rPr>
        <w:fldChar w:fldCharType="begin"/>
      </w:r>
      <w:r w:rsidRPr="00802234">
        <w:rPr>
          <w:color w:val="000000" w:themeColor="text1"/>
        </w:rPr>
        <w:instrText xml:space="preserve"> REF _Ref58589095 \n \h  \* MERGEFORMAT </w:instrText>
      </w:r>
      <w:r w:rsidRPr="00802234">
        <w:rPr>
          <w:color w:val="000000" w:themeColor="text1"/>
        </w:rPr>
      </w:r>
      <w:r w:rsidRPr="00802234">
        <w:rPr>
          <w:color w:val="000000" w:themeColor="text1"/>
        </w:rPr>
        <w:fldChar w:fldCharType="separate"/>
      </w:r>
      <w:r w:rsidRPr="00802234">
        <w:rPr>
          <w:color w:val="000000" w:themeColor="text1"/>
        </w:rPr>
        <w:t>Chapter 1</w:t>
      </w:r>
      <w:r w:rsidRPr="00802234">
        <w:rPr>
          <w:color w:val="000000" w:themeColor="text1"/>
        </w:rPr>
        <w:fldChar w:fldCharType="end"/>
      </w:r>
      <w:r w:rsidRPr="00802234">
        <w:rPr>
          <w:color w:val="000000" w:themeColor="text1"/>
        </w:rPr>
        <w:t xml:space="preserve">, Section </w:t>
      </w:r>
      <w:r w:rsidRPr="00802234">
        <w:rPr>
          <w:color w:val="000000" w:themeColor="text1"/>
        </w:rPr>
        <w:fldChar w:fldCharType="begin"/>
      </w:r>
      <w:r w:rsidRPr="00802234">
        <w:rPr>
          <w:color w:val="000000" w:themeColor="text1"/>
        </w:rPr>
        <w:instrText xml:space="preserve"> REF _Ref57107869 \n \h  \* MERGEFORMAT </w:instrText>
      </w:r>
      <w:r w:rsidRPr="00802234">
        <w:rPr>
          <w:color w:val="000000" w:themeColor="text1"/>
        </w:rPr>
      </w:r>
      <w:r w:rsidRPr="00802234">
        <w:rPr>
          <w:color w:val="000000" w:themeColor="text1"/>
        </w:rPr>
        <w:fldChar w:fldCharType="separate"/>
      </w:r>
      <w:r w:rsidRPr="00802234">
        <w:rPr>
          <w:color w:val="000000" w:themeColor="text1"/>
        </w:rPr>
        <w:t>3.5.4</w:t>
      </w:r>
      <w:r w:rsidRPr="00802234">
        <w:rPr>
          <w:color w:val="000000" w:themeColor="text1"/>
        </w:rPr>
        <w:fldChar w:fldCharType="end"/>
      </w:r>
      <w:r w:rsidRPr="00802234">
        <w:rPr>
          <w:color w:val="000000" w:themeColor="text1"/>
        </w:rPr>
        <w:t xml:space="preserve">). As </w:t>
      </w:r>
      <w:proofErr w:type="spellStart"/>
      <w:r w:rsidRPr="00802234">
        <w:rPr>
          <w:color w:val="000000" w:themeColor="text1"/>
        </w:rPr>
        <w:t>AdVs</w:t>
      </w:r>
      <w:proofErr w:type="spellEnd"/>
      <w:r w:rsidRPr="00802234">
        <w:rPr>
          <w:color w:val="000000" w:themeColor="text1"/>
        </w:rPr>
        <w:t xml:space="preserve"> are resistant to UV treatment in wastewater and can survive for a long time</w:t>
      </w:r>
      <w:r w:rsidR="002432A1">
        <w:rPr>
          <w:color w:val="000000" w:themeColor="text1"/>
        </w:rPr>
        <w:t>,</w:t>
      </w:r>
      <w:r w:rsidR="002432A1" w:rsidRPr="002432A1">
        <w:rPr>
          <w:color w:val="000000" w:themeColor="text1"/>
        </w:rPr>
        <w:t xml:space="preserve"> </w:t>
      </w:r>
      <w:r w:rsidR="002432A1">
        <w:rPr>
          <w:color w:val="000000" w:themeColor="text1"/>
        </w:rPr>
        <w:t>and</w:t>
      </w:r>
      <w:r w:rsidR="002432A1" w:rsidRPr="002432A1">
        <w:rPr>
          <w:color w:val="000000" w:themeColor="text1"/>
        </w:rPr>
        <w:t xml:space="preserve"> </w:t>
      </w:r>
      <w:r w:rsidR="002432A1">
        <w:rPr>
          <w:color w:val="000000" w:themeColor="text1"/>
        </w:rPr>
        <w:t>w</w:t>
      </w:r>
      <w:r w:rsidR="002432A1" w:rsidRPr="00802234">
        <w:rPr>
          <w:color w:val="000000" w:themeColor="text1"/>
        </w:rPr>
        <w:t xml:space="preserve">ater quality studies have shown that sewerage treatment does not kill adenovirus </w:t>
      </w:r>
      <w:r w:rsidR="002432A1" w:rsidRPr="00802234">
        <w:rPr>
          <w:color w:val="000000" w:themeColor="text1"/>
        </w:rPr>
        <w:fldChar w:fldCharType="begin"/>
      </w:r>
      <w:r w:rsidR="002432A1" w:rsidRPr="00802234">
        <w:rPr>
          <w:color w:val="000000" w:themeColor="text1"/>
        </w:rPr>
        <w:instrText xml:space="preserve"> ADDIN EN.CITE &lt;EndNote&gt;&lt;Cite&gt;&lt;Author&gt;Fong&lt;/Author&gt;&lt;Year&gt;2010&lt;/Year&gt;&lt;RecNum&gt;181&lt;/RecNum&gt;&lt;DisplayText&gt;(Fong et al., 2010)&lt;/DisplayText&gt;&lt;record&gt;&lt;rec-number&gt;181&lt;/rec-number&gt;&lt;foreign-keys&gt;&lt;key app="EN" db-id="verwe2fxj5fev7epfz8xtdvez025feseze0z" timestamp="1740520527"&gt;181&lt;/key&gt;&lt;/foreign-keys&gt;&lt;ref-type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002432A1" w:rsidRPr="00802234">
        <w:rPr>
          <w:color w:val="000000" w:themeColor="text1"/>
        </w:rPr>
        <w:fldChar w:fldCharType="separate"/>
      </w:r>
      <w:r w:rsidR="002432A1" w:rsidRPr="00802234">
        <w:rPr>
          <w:color w:val="000000" w:themeColor="text1"/>
        </w:rPr>
        <w:t>(</w:t>
      </w:r>
      <w:hyperlink w:anchor="_ENREF_28" w:tooltip="Fong, 2010 #181" w:history="1">
        <w:r w:rsidR="002432A1" w:rsidRPr="00A26162">
          <w:rPr>
            <w:color w:val="000000" w:themeColor="text1"/>
          </w:rPr>
          <w:t>Fong et al., 2010</w:t>
        </w:r>
      </w:hyperlink>
      <w:r w:rsidR="002432A1" w:rsidRPr="00802234">
        <w:rPr>
          <w:color w:val="000000" w:themeColor="text1"/>
        </w:rPr>
        <w:t>)</w:t>
      </w:r>
      <w:r w:rsidR="002432A1" w:rsidRPr="00802234">
        <w:rPr>
          <w:color w:val="000000" w:themeColor="text1"/>
        </w:rPr>
        <w:fldChar w:fldCharType="end"/>
      </w:r>
      <w:r w:rsidRPr="00802234">
        <w:rPr>
          <w:color w:val="000000" w:themeColor="text1"/>
        </w:rPr>
        <w:t xml:space="preserve">, this could lead to the persistence of the GMO and/or recombinant adenoviruses in the environment. </w:t>
      </w:r>
      <w:r w:rsidR="002432A1" w:rsidRPr="00802234">
        <w:rPr>
          <w:color w:val="000000" w:themeColor="text1"/>
        </w:rPr>
        <w:t>In the event the GMO is released into sewage water, it would be markedly diluted due to the small quantity of GMO present in a large volume of liquid waste or water.</w:t>
      </w:r>
      <w:r w:rsidR="002432A1">
        <w:rPr>
          <w:color w:val="000000" w:themeColor="text1"/>
        </w:rPr>
        <w:t xml:space="preserve"> </w:t>
      </w:r>
      <w:r w:rsidR="00E0011A">
        <w:rPr>
          <w:color w:val="000000" w:themeColor="text1"/>
        </w:rPr>
        <w:t>D</w:t>
      </w:r>
      <w:r w:rsidRPr="00802234">
        <w:rPr>
          <w:color w:val="000000" w:themeColor="text1"/>
        </w:rPr>
        <w:t xml:space="preserve">ue to its non-replicating nature, the GMO would be unable to maintain a stable presence in the environment for long periods and </w:t>
      </w:r>
      <w:r w:rsidR="0060498B">
        <w:rPr>
          <w:color w:val="000000" w:themeColor="text1"/>
        </w:rPr>
        <w:t xml:space="preserve">would not likely </w:t>
      </w:r>
      <w:r w:rsidR="002432A1" w:rsidRPr="00802234">
        <w:rPr>
          <w:color w:val="000000" w:themeColor="text1"/>
        </w:rPr>
        <w:t>be present in high enough amounts for an infectious dose. Therefore, it is highly unlikely that infection of humans or animals could occur following exposure to an environmental source</w:t>
      </w:r>
      <w:r w:rsidR="002432A1">
        <w:rPr>
          <w:color w:val="000000" w:themeColor="text1"/>
        </w:rPr>
        <w:t>.</w:t>
      </w:r>
      <w:r w:rsidR="00E0011A" w:rsidDel="00E0011A">
        <w:rPr>
          <w:color w:val="000000" w:themeColor="text1"/>
        </w:rPr>
        <w:t xml:space="preserve"> </w:t>
      </w:r>
    </w:p>
    <w:p w14:paraId="6D6F78DB" w14:textId="03BE8A2F" w:rsidR="00EC254A" w:rsidRDefault="004323A7" w:rsidP="0029210D">
      <w:pPr>
        <w:pStyle w:val="RARMPnumberedparagraphs"/>
        <w:rPr>
          <w:color w:val="000000" w:themeColor="text1"/>
        </w:rPr>
      </w:pPr>
      <w:r>
        <w:rPr>
          <w:color w:val="000000" w:themeColor="text1"/>
        </w:rPr>
        <w:t>T</w:t>
      </w:r>
      <w:r w:rsidR="00FC4F73" w:rsidRPr="00EC254A">
        <w:rPr>
          <w:color w:val="000000" w:themeColor="text1"/>
        </w:rPr>
        <w:t>here are no data on</w:t>
      </w:r>
      <w:r w:rsidR="00FC4F73">
        <w:rPr>
          <w:color w:val="000000" w:themeColor="text1"/>
        </w:rPr>
        <w:t xml:space="preserve"> </w:t>
      </w:r>
      <w:r w:rsidR="00D53CA3">
        <w:rPr>
          <w:color w:val="000000" w:themeColor="text1"/>
        </w:rPr>
        <w:t>t</w:t>
      </w:r>
      <w:r w:rsidR="00871C5E">
        <w:rPr>
          <w:color w:val="000000" w:themeColor="text1"/>
        </w:rPr>
        <w:t xml:space="preserve">ransmission of the GMO to </w:t>
      </w:r>
      <w:r w:rsidR="00FC4F73" w:rsidRPr="00EC254A">
        <w:rPr>
          <w:color w:val="000000" w:themeColor="text1"/>
        </w:rPr>
        <w:t>babies via breastfeeding or to foetuses</w:t>
      </w:r>
      <w:r w:rsidR="00FC4F73">
        <w:rPr>
          <w:color w:val="000000" w:themeColor="text1"/>
        </w:rPr>
        <w:t xml:space="preserve"> </w:t>
      </w:r>
      <w:r w:rsidR="00FC4F73" w:rsidRPr="00EC254A">
        <w:rPr>
          <w:color w:val="000000" w:themeColor="text1"/>
        </w:rPr>
        <w:t xml:space="preserve">if </w:t>
      </w:r>
      <w:r w:rsidR="00D53CA3">
        <w:rPr>
          <w:color w:val="000000" w:themeColor="text1"/>
        </w:rPr>
        <w:t xml:space="preserve">a woman is </w:t>
      </w:r>
      <w:r w:rsidR="00FC4F73" w:rsidRPr="00EC254A">
        <w:rPr>
          <w:color w:val="000000" w:themeColor="text1"/>
        </w:rPr>
        <w:t>pregnant</w:t>
      </w:r>
      <w:r w:rsidR="00FC4F73">
        <w:rPr>
          <w:color w:val="000000" w:themeColor="text1"/>
        </w:rPr>
        <w:t xml:space="preserve"> and to non-participants through sexual activities</w:t>
      </w:r>
      <w:r w:rsidR="00093547">
        <w:rPr>
          <w:color w:val="000000" w:themeColor="text1"/>
        </w:rPr>
        <w:t xml:space="preserve">. </w:t>
      </w:r>
      <w:r w:rsidR="00D53CA3">
        <w:rPr>
          <w:color w:val="000000" w:themeColor="text1"/>
        </w:rPr>
        <w:t xml:space="preserve">However, </w:t>
      </w:r>
      <w:bookmarkStart w:id="348" w:name="_Hlk218779491"/>
      <w:r w:rsidR="00EC254A" w:rsidRPr="00EC254A">
        <w:rPr>
          <w:color w:val="000000" w:themeColor="text1"/>
        </w:rPr>
        <w:t>transmission of the GMO</w:t>
      </w:r>
      <w:bookmarkEnd w:id="348"/>
      <w:r w:rsidR="00EC254A" w:rsidRPr="00EC254A">
        <w:rPr>
          <w:color w:val="000000" w:themeColor="text1"/>
        </w:rPr>
        <w:t xml:space="preserve"> to</w:t>
      </w:r>
      <w:r w:rsidR="00D53CA3" w:rsidRPr="00D53CA3">
        <w:t xml:space="preserve"> </w:t>
      </w:r>
      <w:r w:rsidR="00D53CA3" w:rsidRPr="00D53CA3">
        <w:rPr>
          <w:color w:val="000000" w:themeColor="text1"/>
        </w:rPr>
        <w:t>babies via breastfeeding or to foetuses</w:t>
      </w:r>
      <w:r w:rsidR="00D53CA3">
        <w:rPr>
          <w:color w:val="000000" w:themeColor="text1"/>
        </w:rPr>
        <w:t xml:space="preserve"> can be prevented</w:t>
      </w:r>
      <w:r w:rsidR="00EC254A" w:rsidRPr="00EC254A">
        <w:rPr>
          <w:color w:val="000000" w:themeColor="text1"/>
        </w:rPr>
        <w:t xml:space="preserve"> as pregnant and breastfeeding women </w:t>
      </w:r>
      <w:r w:rsidR="00D53CA3">
        <w:rPr>
          <w:color w:val="000000" w:themeColor="text1"/>
        </w:rPr>
        <w:t>will be</w:t>
      </w:r>
      <w:r w:rsidR="00EC254A" w:rsidRPr="00EC254A">
        <w:rPr>
          <w:color w:val="000000" w:themeColor="text1"/>
        </w:rPr>
        <w:t xml:space="preserve"> excluded from the </w:t>
      </w:r>
      <w:r w:rsidR="00D53CA3">
        <w:rPr>
          <w:color w:val="000000" w:themeColor="text1"/>
        </w:rPr>
        <w:t xml:space="preserve">clinical </w:t>
      </w:r>
      <w:r w:rsidR="00EC254A" w:rsidRPr="00EC254A">
        <w:rPr>
          <w:color w:val="000000" w:themeColor="text1"/>
        </w:rPr>
        <w:t>trials</w:t>
      </w:r>
      <w:r w:rsidR="00EC254A">
        <w:rPr>
          <w:color w:val="000000" w:themeColor="text1"/>
        </w:rPr>
        <w:t>.</w:t>
      </w:r>
      <w:r w:rsidR="00D53CA3">
        <w:rPr>
          <w:color w:val="000000" w:themeColor="text1"/>
        </w:rPr>
        <w:t xml:space="preserve"> The </w:t>
      </w:r>
      <w:r w:rsidR="00D53CA3" w:rsidRPr="00D53CA3">
        <w:rPr>
          <w:color w:val="000000" w:themeColor="text1"/>
        </w:rPr>
        <w:t>transmission of the GMO</w:t>
      </w:r>
      <w:r w:rsidR="00D53CA3">
        <w:rPr>
          <w:color w:val="000000" w:themeColor="text1"/>
        </w:rPr>
        <w:t xml:space="preserve"> </w:t>
      </w:r>
      <w:r w:rsidR="00EF5DD1">
        <w:rPr>
          <w:color w:val="000000" w:themeColor="text1"/>
        </w:rPr>
        <w:t xml:space="preserve">to </w:t>
      </w:r>
      <w:r w:rsidR="00EF5DD1" w:rsidRPr="00EF5DD1">
        <w:rPr>
          <w:color w:val="000000" w:themeColor="text1"/>
        </w:rPr>
        <w:t>non-participants through sexual activities</w:t>
      </w:r>
      <w:r w:rsidR="00EF5DD1">
        <w:rPr>
          <w:color w:val="000000" w:themeColor="text1"/>
        </w:rPr>
        <w:t xml:space="preserve"> can be minimised by </w:t>
      </w:r>
      <w:r w:rsidR="00BB3D4B">
        <w:rPr>
          <w:color w:val="000000" w:themeColor="text1"/>
        </w:rPr>
        <w:t>using</w:t>
      </w:r>
      <w:r w:rsidR="00EF5DD1" w:rsidRPr="00EF5DD1">
        <w:rPr>
          <w:color w:val="000000" w:themeColor="text1"/>
        </w:rPr>
        <w:t xml:space="preserve"> </w:t>
      </w:r>
      <w:r w:rsidR="00EF5DD1">
        <w:rPr>
          <w:color w:val="000000" w:themeColor="text1"/>
        </w:rPr>
        <w:t xml:space="preserve">effective </w:t>
      </w:r>
      <w:r w:rsidR="00EF5DD1" w:rsidRPr="00EF5DD1">
        <w:rPr>
          <w:color w:val="000000" w:themeColor="text1"/>
        </w:rPr>
        <w:t>barrier methods</w:t>
      </w:r>
      <w:r w:rsidR="00EF5DD1">
        <w:rPr>
          <w:color w:val="000000" w:themeColor="text1"/>
        </w:rPr>
        <w:t>.</w:t>
      </w:r>
      <w:r w:rsidR="00573E14">
        <w:rPr>
          <w:color w:val="000000" w:themeColor="text1"/>
        </w:rPr>
        <w:t xml:space="preserve"> One of the </w:t>
      </w:r>
      <w:r w:rsidR="00947FE2">
        <w:rPr>
          <w:color w:val="000000" w:themeColor="text1"/>
        </w:rPr>
        <w:t xml:space="preserve">proposed </w:t>
      </w:r>
      <w:r w:rsidR="00573E14">
        <w:rPr>
          <w:color w:val="000000" w:themeColor="text1"/>
        </w:rPr>
        <w:t>inclusion criteria is for participant</w:t>
      </w:r>
      <w:r w:rsidR="00725F81">
        <w:rPr>
          <w:color w:val="000000" w:themeColor="text1"/>
        </w:rPr>
        <w:t>s</w:t>
      </w:r>
      <w:r w:rsidR="00573E14">
        <w:rPr>
          <w:color w:val="000000" w:themeColor="text1"/>
        </w:rPr>
        <w:t xml:space="preserve"> to agree to use a barrier method for the duration of the trial. </w:t>
      </w:r>
    </w:p>
    <w:p w14:paraId="6297C9D8" w14:textId="674B3036" w:rsidR="00802234" w:rsidRDefault="00802234" w:rsidP="0029210D">
      <w:pPr>
        <w:pStyle w:val="RARMPnumberedparagraphs"/>
        <w:rPr>
          <w:color w:val="000000" w:themeColor="text1"/>
        </w:rPr>
      </w:pPr>
      <w:r w:rsidRPr="00802234">
        <w:rPr>
          <w:color w:val="000000" w:themeColor="text1"/>
        </w:rPr>
        <w:lastRenderedPageBreak/>
        <w:t xml:space="preserve">As mentioned in Chapter 1, Section </w:t>
      </w:r>
      <w:r w:rsidRPr="00802234">
        <w:rPr>
          <w:color w:val="000000" w:themeColor="text1"/>
        </w:rPr>
        <w:fldChar w:fldCharType="begin"/>
      </w:r>
      <w:r w:rsidRPr="00802234">
        <w:rPr>
          <w:color w:val="000000" w:themeColor="text1"/>
        </w:rPr>
        <w:instrText xml:space="preserve"> REF _Ref216339978 \n \h </w:instrText>
      </w:r>
      <w:r w:rsidRPr="00802234">
        <w:rPr>
          <w:color w:val="000000" w:themeColor="text1"/>
        </w:rPr>
      </w:r>
      <w:r w:rsidRPr="00802234">
        <w:rPr>
          <w:color w:val="000000" w:themeColor="text1"/>
        </w:rPr>
        <w:fldChar w:fldCharType="separate"/>
      </w:r>
      <w:r w:rsidRPr="00802234">
        <w:rPr>
          <w:color w:val="000000" w:themeColor="text1"/>
        </w:rPr>
        <w:t>3.5.1</w:t>
      </w:r>
      <w:r w:rsidRPr="00802234">
        <w:rPr>
          <w:color w:val="000000" w:themeColor="text1"/>
        </w:rPr>
        <w:fldChar w:fldCharType="end"/>
      </w:r>
      <w:r w:rsidRPr="00802234">
        <w:rPr>
          <w:color w:val="000000" w:themeColor="text1"/>
        </w:rPr>
        <w:t xml:space="preserve">, </w:t>
      </w:r>
      <w:proofErr w:type="spellStart"/>
      <w:r w:rsidRPr="00802234">
        <w:rPr>
          <w:color w:val="000000" w:themeColor="text1"/>
        </w:rPr>
        <w:t>HAdVs</w:t>
      </w:r>
      <w:proofErr w:type="spellEnd"/>
      <w:r w:rsidRPr="00802234">
        <w:rPr>
          <w:color w:val="000000" w:themeColor="text1"/>
        </w:rPr>
        <w:t xml:space="preserve">, including </w:t>
      </w:r>
      <w:proofErr w:type="spellStart"/>
      <w:r w:rsidRPr="00802234">
        <w:rPr>
          <w:color w:val="000000" w:themeColor="text1"/>
        </w:rPr>
        <w:t>HAdV</w:t>
      </w:r>
      <w:proofErr w:type="spellEnd"/>
      <w:r w:rsidRPr="00802234">
        <w:rPr>
          <w:color w:val="000000" w:themeColor="text1"/>
        </w:rPr>
        <w:t>-C serotypes, are adapted to infect humans and their ability to infect and replicate in certain mammals were only demonstrated under experimental conditions. Infections in other mammals are considered less likely under natural conditions. Given that the GMO is replication incompetent, exposure to the GMO to other mammals could only result in infection but not the replication and multiplication of the GMO</w:t>
      </w:r>
      <w:r>
        <w:rPr>
          <w:color w:val="000000" w:themeColor="text1"/>
        </w:rPr>
        <w:t>.</w:t>
      </w:r>
    </w:p>
    <w:p w14:paraId="7EC39BD7" w14:textId="7F358432" w:rsidR="0019234E" w:rsidRPr="00F05DB6" w:rsidRDefault="00802234" w:rsidP="00F05DB6">
      <w:pPr>
        <w:pStyle w:val="RARMPnumberedparagraphs"/>
        <w:rPr>
          <w:color w:val="000000" w:themeColor="text1"/>
        </w:rPr>
      </w:pPr>
      <w:proofErr w:type="spellStart"/>
      <w:r w:rsidRPr="00802234">
        <w:rPr>
          <w:color w:val="000000" w:themeColor="text1"/>
        </w:rPr>
        <w:t>HAdV</w:t>
      </w:r>
      <w:proofErr w:type="spellEnd"/>
      <w:r w:rsidRPr="00802234">
        <w:rPr>
          <w:color w:val="000000" w:themeColor="text1"/>
        </w:rPr>
        <w:t xml:space="preserve"> infection is not known to infect insects, birds and other non-mammalian aquatic organisms. Therefore, the likelihood of </w:t>
      </w:r>
      <w:proofErr w:type="spellStart"/>
      <w:r w:rsidRPr="00802234">
        <w:rPr>
          <w:color w:val="000000" w:themeColor="text1"/>
        </w:rPr>
        <w:t>HAdVs</w:t>
      </w:r>
      <w:proofErr w:type="spellEnd"/>
      <w:r w:rsidRPr="00802234">
        <w:rPr>
          <w:color w:val="000000" w:themeColor="text1"/>
        </w:rPr>
        <w:t xml:space="preserve"> infecting other species in the Australian environment in highly unlikely</w:t>
      </w:r>
      <w:r>
        <w:rPr>
          <w:color w:val="000000" w:themeColor="text1"/>
        </w:rPr>
        <w:t>.</w:t>
      </w:r>
    </w:p>
    <w:p w14:paraId="4F4C2C61" w14:textId="30BAD1DC" w:rsidR="00FB7E35" w:rsidRPr="002223AA" w:rsidRDefault="00FB7E35" w:rsidP="00321D13">
      <w:pPr>
        <w:pStyle w:val="5RARMP"/>
      </w:pPr>
      <w:r w:rsidRPr="002223AA">
        <w:t>Potential harm</w:t>
      </w:r>
    </w:p>
    <w:p w14:paraId="731C9FA1" w14:textId="0DB552D4" w:rsidR="00B93573" w:rsidRPr="00550C3C" w:rsidRDefault="00BF66CA" w:rsidP="00550C3C">
      <w:pPr>
        <w:pStyle w:val="RARMPnumberedparagraphs"/>
      </w:pPr>
      <w:r w:rsidRPr="00BF66CA">
        <w:t>Potential harms</w:t>
      </w:r>
      <w:r w:rsidR="004323A7">
        <w:t xml:space="preserve"> to people</w:t>
      </w:r>
      <w:r w:rsidRPr="00BF66CA">
        <w:t xml:space="preserve"> in this risk scenario would be the same as considered in </w:t>
      </w:r>
      <w:r w:rsidR="008571A3">
        <w:t>R</w:t>
      </w:r>
      <w:r w:rsidRPr="00BF66CA">
        <w:t xml:space="preserve">isk </w:t>
      </w:r>
      <w:r w:rsidR="008571A3">
        <w:t>S</w:t>
      </w:r>
      <w:r w:rsidRPr="00BF66CA">
        <w:t>cenario 1.</w:t>
      </w:r>
      <w:r w:rsidR="00B93573" w:rsidRPr="00550C3C">
        <w:rPr>
          <w:rFonts w:cs="Calibri"/>
        </w:rPr>
        <w:t xml:space="preserve"> </w:t>
      </w:r>
      <w:r w:rsidR="004323A7">
        <w:t xml:space="preserve">As it is highly unlikely to </w:t>
      </w:r>
      <w:r w:rsidR="004323A7" w:rsidRPr="00342AAB">
        <w:t xml:space="preserve">infect or replicate </w:t>
      </w:r>
      <w:r w:rsidR="004323A7">
        <w:t>in animals, animals are not expected to be harmed.</w:t>
      </w:r>
    </w:p>
    <w:p w14:paraId="1858D0E7" w14:textId="77777777" w:rsidR="00FB7E35" w:rsidRPr="00F362BD" w:rsidRDefault="00FB7E35" w:rsidP="00AF2557">
      <w:pPr>
        <w:pStyle w:val="5RARMP"/>
      </w:pPr>
      <w:r w:rsidRPr="00F362BD">
        <w:t>Conclusion</w:t>
      </w:r>
    </w:p>
    <w:p w14:paraId="0B6C3435" w14:textId="35DBB464" w:rsidR="00C355BD" w:rsidRPr="00550C3C" w:rsidRDefault="00BF66CA" w:rsidP="00550C3C">
      <w:pPr>
        <w:pStyle w:val="RARMPnumberedparagraphs"/>
        <w:rPr>
          <w:color w:val="000000" w:themeColor="text1"/>
        </w:rPr>
      </w:pPr>
      <w:r w:rsidRPr="00BF66CA">
        <w:rPr>
          <w:color w:val="000000" w:themeColor="text1"/>
        </w:rPr>
        <w:t xml:space="preserve">The potential for the GMO to be released into the environment and result in adverse immune reactions or disease in people or other animals is not identified as a risk that could be greater than negligible. This is for the reasons described in Risk Scenario 1. </w:t>
      </w:r>
      <w:r w:rsidR="00CF17BC" w:rsidRPr="00CF17BC">
        <w:t xml:space="preserve"> </w:t>
      </w:r>
      <w:r w:rsidR="00CF17BC" w:rsidRPr="00CF17BC">
        <w:rPr>
          <w:color w:val="000000" w:themeColor="text1"/>
        </w:rPr>
        <w:t>The main reasons are</w:t>
      </w:r>
      <w:r w:rsidR="002C1F15">
        <w:rPr>
          <w:color w:val="000000" w:themeColor="text1"/>
        </w:rPr>
        <w:t xml:space="preserve"> </w:t>
      </w:r>
      <w:r w:rsidR="00CF17BC" w:rsidRPr="00CF17BC">
        <w:rPr>
          <w:color w:val="000000" w:themeColor="text1"/>
        </w:rPr>
        <w:t xml:space="preserve">that the GMO is not expected to infect or replicate in healthy people or in animals, and any infection resulting from potential exposure is expected to be rapidly cleared and unlikely to cause disease. </w:t>
      </w:r>
      <w:r w:rsidRPr="00BF66CA">
        <w:rPr>
          <w:color w:val="000000" w:themeColor="text1"/>
        </w:rPr>
        <w:t>Therefore, this risk scenario does not warrant further assessment.</w:t>
      </w:r>
    </w:p>
    <w:p w14:paraId="6515BDE4" w14:textId="77777777" w:rsidR="00FB7E35" w:rsidRDefault="00FB7E35" w:rsidP="00583BD1">
      <w:pPr>
        <w:pStyle w:val="4RARMP"/>
        <w:spacing w:before="240"/>
      </w:pPr>
      <w:bookmarkStart w:id="349" w:name="_Ref61527106"/>
      <w:r>
        <w:lastRenderedPageBreak/>
        <w:t>Risk scenario 3</w:t>
      </w:r>
      <w:bookmarkEnd w:id="349"/>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342"/>
        <w:gridCol w:w="4166"/>
      </w:tblGrid>
      <w:tr w:rsidR="009258A9" w:rsidRPr="008508E0" w14:paraId="601E48E0" w14:textId="77777777" w:rsidTr="009D2E20">
        <w:trPr>
          <w:trHeight w:val="360"/>
          <w:tblHeader/>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D6EFC"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Risk source</w:t>
            </w:r>
          </w:p>
        </w:tc>
        <w:tc>
          <w:tcPr>
            <w:tcW w:w="7508" w:type="dxa"/>
            <w:gridSpan w:val="2"/>
            <w:tcBorders>
              <w:top w:val="single" w:sz="4" w:space="0" w:color="auto"/>
              <w:left w:val="single" w:sz="4" w:space="0" w:color="auto"/>
              <w:bottom w:val="single" w:sz="4" w:space="0" w:color="auto"/>
              <w:right w:val="single" w:sz="4" w:space="0" w:color="auto"/>
            </w:tcBorders>
            <w:vAlign w:val="center"/>
            <w:hideMark/>
          </w:tcPr>
          <w:p w14:paraId="07E7BBDA" w14:textId="77777777" w:rsidR="009258A9" w:rsidRPr="008508E0" w:rsidRDefault="009258A9" w:rsidP="009D2E20">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9258A9" w:rsidRPr="00560F99" w14:paraId="30382A68" w14:textId="77777777" w:rsidTr="009D2E20">
        <w:trPr>
          <w:trHeight w:val="1623"/>
          <w:tblHeader/>
        </w:trPr>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4DE9970"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Causal pathway</w:t>
            </w:r>
          </w:p>
        </w:tc>
        <w:tc>
          <w:tcPr>
            <w:tcW w:w="7508" w:type="dxa"/>
            <w:gridSpan w:val="2"/>
            <w:tcBorders>
              <w:top w:val="single" w:sz="4" w:space="0" w:color="auto"/>
              <w:left w:val="single" w:sz="4" w:space="0" w:color="auto"/>
              <w:bottom w:val="nil"/>
              <w:right w:val="single" w:sz="4" w:space="0" w:color="auto"/>
            </w:tcBorders>
            <w:hideMark/>
          </w:tcPr>
          <w:p w14:paraId="6AB10BEA" w14:textId="5B9EB819" w:rsidR="009258A9" w:rsidRDefault="009258A9" w:rsidP="009D2E20">
            <w:pPr>
              <w:pStyle w:val="TableTextRARMP"/>
              <w:jc w:val="center"/>
              <w:rPr>
                <w:color w:val="000000" w:themeColor="text1"/>
                <w:sz w:val="22"/>
                <w:szCs w:val="22"/>
              </w:rPr>
            </w:pPr>
            <w:r w:rsidRPr="00560F99">
              <w:rPr>
                <w:color w:val="000000" w:themeColor="text1"/>
                <w:sz w:val="22"/>
                <w:szCs w:val="22"/>
              </w:rPr>
              <w:t>Exposure of people</w:t>
            </w:r>
            <w:r>
              <w:rPr>
                <w:color w:val="000000" w:themeColor="text1"/>
                <w:sz w:val="22"/>
                <w:szCs w:val="22"/>
              </w:rPr>
              <w:t xml:space="preserve"> and animals</w:t>
            </w:r>
            <w:r w:rsidRPr="00560F99">
              <w:rPr>
                <w:color w:val="000000" w:themeColor="text1"/>
                <w:sz w:val="22"/>
                <w:szCs w:val="22"/>
              </w:rPr>
              <w:t xml:space="preserve"> to the GMO as mentioned in Risk Scenario</w:t>
            </w:r>
            <w:r w:rsidR="008571A3">
              <w:rPr>
                <w:color w:val="000000" w:themeColor="text1"/>
                <w:sz w:val="22"/>
                <w:szCs w:val="22"/>
              </w:rPr>
              <w:t>s</w:t>
            </w:r>
            <w:r w:rsidRPr="00560F99">
              <w:rPr>
                <w:color w:val="000000" w:themeColor="text1"/>
                <w:sz w:val="22"/>
                <w:szCs w:val="22"/>
              </w:rPr>
              <w:t xml:space="preserve"> 1</w:t>
            </w:r>
            <w:r w:rsidR="008571A3">
              <w:rPr>
                <w:color w:val="000000" w:themeColor="text1"/>
                <w:sz w:val="22"/>
                <w:szCs w:val="22"/>
              </w:rPr>
              <w:t xml:space="preserve"> and 2</w:t>
            </w:r>
          </w:p>
          <w:p w14:paraId="669B8F35" w14:textId="77777777" w:rsidR="000D6D8E" w:rsidRPr="000D6D8E" w:rsidRDefault="000D6D8E" w:rsidP="000D6D8E">
            <w:pPr>
              <w:pStyle w:val="TableTextRARMP"/>
              <w:jc w:val="center"/>
              <w:rPr>
                <w:color w:val="000000" w:themeColor="text1"/>
                <w:sz w:val="22"/>
                <w:szCs w:val="22"/>
              </w:rPr>
            </w:pPr>
            <w:r w:rsidRPr="000D6D8E">
              <w:rPr>
                <w:color w:val="000000" w:themeColor="text1"/>
                <w:sz w:val="22"/>
                <w:szCs w:val="22"/>
              </w:rPr>
              <w:t>Or</w:t>
            </w:r>
          </w:p>
          <w:p w14:paraId="711348C0" w14:textId="78D1D7F1" w:rsidR="000D6D8E" w:rsidRPr="00560F99" w:rsidRDefault="000D6D8E" w:rsidP="000D6D8E">
            <w:pPr>
              <w:pStyle w:val="TableTextRARMP"/>
              <w:jc w:val="center"/>
              <w:rPr>
                <w:color w:val="000000" w:themeColor="text1"/>
                <w:sz w:val="22"/>
                <w:szCs w:val="22"/>
              </w:rPr>
            </w:pPr>
            <w:r w:rsidRPr="000D6D8E">
              <w:rPr>
                <w:color w:val="000000" w:themeColor="text1"/>
                <w:sz w:val="22"/>
                <w:szCs w:val="22"/>
              </w:rPr>
              <w:t>Exposure of trial participants during treatment</w:t>
            </w:r>
          </w:p>
          <w:p w14:paraId="252312FC" w14:textId="77777777" w:rsidR="009258A9" w:rsidRPr="008508E0" w:rsidRDefault="009258A9" w:rsidP="009D2E20">
            <w:pPr>
              <w:pStyle w:val="TableTextRARMP"/>
              <w:jc w:val="center"/>
              <w:rPr>
                <w:color w:val="000000" w:themeColor="text1"/>
                <w:sz w:val="22"/>
                <w:szCs w:val="22"/>
              </w:rPr>
            </w:pPr>
            <w:r w:rsidRPr="008508E0">
              <w:rPr>
                <w:color w:val="000000" w:themeColor="text1"/>
                <w:sz w:val="22"/>
                <w:szCs w:val="22"/>
              </w:rPr>
              <w:sym w:font="Wingdings 3" w:char="F0C8"/>
            </w:r>
          </w:p>
          <w:p w14:paraId="4D9C1481" w14:textId="77777777" w:rsidR="009258A9" w:rsidRPr="00560F99" w:rsidRDefault="009258A9" w:rsidP="009D2E20">
            <w:pPr>
              <w:pStyle w:val="TableTextRARMP"/>
              <w:jc w:val="center"/>
              <w:rPr>
                <w:color w:val="000000" w:themeColor="text1"/>
                <w:sz w:val="22"/>
                <w:szCs w:val="22"/>
              </w:rPr>
            </w:pPr>
            <w:r w:rsidRPr="00560F99">
              <w:rPr>
                <w:color w:val="000000" w:themeColor="text1"/>
                <w:sz w:val="22"/>
                <w:szCs w:val="22"/>
              </w:rPr>
              <w:t>Transduction of cells by GMO</w:t>
            </w:r>
          </w:p>
          <w:p w14:paraId="77CB7339" w14:textId="77777777" w:rsidR="009258A9" w:rsidRPr="00560F99" w:rsidRDefault="009258A9" w:rsidP="009D2E20">
            <w:pPr>
              <w:pStyle w:val="TableTextRARMP"/>
              <w:jc w:val="center"/>
              <w:rPr>
                <w:color w:val="000000" w:themeColor="text1"/>
                <w:sz w:val="22"/>
                <w:szCs w:val="22"/>
              </w:rPr>
            </w:pPr>
            <w:r w:rsidRPr="008508E0">
              <w:rPr>
                <w:color w:val="000000" w:themeColor="text1"/>
                <w:sz w:val="22"/>
                <w:szCs w:val="22"/>
              </w:rPr>
              <w:sym w:font="Wingdings 3" w:char="F0C8"/>
            </w:r>
          </w:p>
          <w:p w14:paraId="53105428" w14:textId="77777777" w:rsidR="009258A9" w:rsidRPr="00560F99" w:rsidRDefault="009258A9" w:rsidP="009D2E20">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proofErr w:type="spellStart"/>
            <w:r w:rsidRPr="00560F99">
              <w:rPr>
                <w:color w:val="000000" w:themeColor="text1"/>
                <w:sz w:val="22"/>
                <w:szCs w:val="22"/>
              </w:rPr>
              <w:t>AdV</w:t>
            </w:r>
            <w:proofErr w:type="spellEnd"/>
          </w:p>
          <w:p w14:paraId="34796583" w14:textId="77777777" w:rsidR="009258A9" w:rsidRPr="00560F99" w:rsidRDefault="009258A9" w:rsidP="009D2E20">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9258A9" w14:paraId="79DFDF47" w14:textId="77777777" w:rsidTr="009D2E20">
        <w:trPr>
          <w:trHeight w:val="461"/>
          <w:tblHeader/>
        </w:trPr>
        <w:tc>
          <w:tcPr>
            <w:tcW w:w="1276" w:type="dxa"/>
            <w:vMerge/>
            <w:tcBorders>
              <w:top w:val="single" w:sz="4" w:space="0" w:color="auto"/>
              <w:left w:val="single" w:sz="4" w:space="0" w:color="auto"/>
              <w:right w:val="single" w:sz="4" w:space="0" w:color="auto"/>
            </w:tcBorders>
            <w:shd w:val="clear" w:color="auto" w:fill="F2F2F2" w:themeFill="background1" w:themeFillShade="F2"/>
            <w:vAlign w:val="center"/>
          </w:tcPr>
          <w:p w14:paraId="75BFAD1F" w14:textId="77777777" w:rsidR="009258A9" w:rsidRPr="00A92DE8" w:rsidRDefault="009258A9" w:rsidP="009D2E20">
            <w:pPr>
              <w:keepNext/>
              <w:spacing w:before="40" w:after="40"/>
              <w:ind w:right="-30"/>
              <w:rPr>
                <w:rFonts w:asciiTheme="minorHAnsi" w:hAnsiTheme="minorHAnsi" w:cstheme="minorHAnsi"/>
                <w:b/>
              </w:rPr>
            </w:pPr>
          </w:p>
        </w:tc>
        <w:tc>
          <w:tcPr>
            <w:tcW w:w="3342" w:type="dxa"/>
            <w:tcBorders>
              <w:top w:val="nil"/>
              <w:left w:val="single" w:sz="4" w:space="0" w:color="auto"/>
              <w:bottom w:val="nil"/>
              <w:right w:val="nil"/>
            </w:tcBorders>
          </w:tcPr>
          <w:p w14:paraId="55617A31" w14:textId="77777777" w:rsidR="009258A9" w:rsidRPr="008508E0" w:rsidRDefault="009258A9" w:rsidP="009D2E20">
            <w:pPr>
              <w:pStyle w:val="Style4"/>
              <w:numPr>
                <w:ilvl w:val="0"/>
                <w:numId w:val="0"/>
              </w:numPr>
              <w:ind w:left="9"/>
              <w:rPr>
                <w:rFonts w:ascii="Calibri" w:hAnsi="Calibri"/>
                <w:color w:val="auto"/>
              </w:rPr>
            </w:pPr>
            <w:r>
              <w:rPr>
                <w:rFonts w:ascii="Calibri" w:hAnsi="Calibri"/>
                <w:color w:val="auto"/>
              </w:rPr>
              <w:t xml:space="preserve">Complementation of </w:t>
            </w:r>
            <w:r w:rsidRPr="00034B87">
              <w:rPr>
                <w:rFonts w:ascii="Calibri" w:hAnsi="Calibri"/>
                <w:color w:val="auto"/>
              </w:rPr>
              <w:t>gene</w:t>
            </w:r>
            <w:r>
              <w:rPr>
                <w:rFonts w:ascii="Calibri" w:hAnsi="Calibri"/>
                <w:color w:val="auto"/>
              </w:rPr>
              <w:t xml:space="preserve"> sequence</w:t>
            </w:r>
            <w:r w:rsidRPr="00034B87">
              <w:rPr>
                <w:rFonts w:ascii="Calibri" w:hAnsi="Calibri"/>
                <w:color w:val="auto"/>
              </w:rPr>
              <w:t xml:space="preserve">s responsible for viral replication and </w:t>
            </w:r>
            <w:r w:rsidRPr="00034B87">
              <w:rPr>
                <w:rFonts w:ascii="Calibri" w:hAnsi="Calibri" w:cs="Calibri"/>
                <w:color w:val="auto"/>
              </w:rPr>
              <w:t>immune-evasion properties</w:t>
            </w:r>
            <w:r w:rsidRPr="00034B87">
              <w:rPr>
                <w:rFonts w:ascii="Calibri" w:hAnsi="Calibri"/>
                <w:color w:val="auto"/>
              </w:rPr>
              <w:t xml:space="preserve"> </w:t>
            </w:r>
            <w:r>
              <w:rPr>
                <w:rFonts w:ascii="Calibri" w:hAnsi="Calibri"/>
                <w:color w:val="auto"/>
              </w:rPr>
              <w:t xml:space="preserve">by </w:t>
            </w:r>
            <w:proofErr w:type="spellStart"/>
            <w:r>
              <w:rPr>
                <w:rFonts w:ascii="Calibri" w:hAnsi="Calibri"/>
                <w:color w:val="auto"/>
              </w:rPr>
              <w:t>AdV</w:t>
            </w:r>
            <w:proofErr w:type="spellEnd"/>
          </w:p>
        </w:tc>
        <w:tc>
          <w:tcPr>
            <w:tcW w:w="4166" w:type="dxa"/>
            <w:tcBorders>
              <w:top w:val="nil"/>
              <w:left w:val="nil"/>
              <w:bottom w:val="nil"/>
              <w:right w:val="single" w:sz="4" w:space="0" w:color="auto"/>
            </w:tcBorders>
          </w:tcPr>
          <w:p w14:paraId="1799946D" w14:textId="77777777" w:rsidR="009258A9" w:rsidRDefault="009258A9" w:rsidP="009D2E20">
            <w:pPr>
              <w:pStyle w:val="Style4"/>
              <w:numPr>
                <w:ilvl w:val="0"/>
                <w:numId w:val="0"/>
              </w:numPr>
              <w:ind w:left="364"/>
              <w:rPr>
                <w:rFonts w:ascii="Calibri" w:eastAsia="Calibri" w:hAnsi="Calibri" w:cs="Calibri"/>
              </w:rPr>
            </w:pPr>
            <w:r>
              <w:rPr>
                <w:rFonts w:ascii="Calibri" w:hAnsi="Calibri"/>
                <w:color w:val="auto"/>
              </w:rPr>
              <w:t xml:space="preserve">Homologous recombination with </w:t>
            </w:r>
            <w:proofErr w:type="spellStart"/>
            <w:r>
              <w:rPr>
                <w:rFonts w:ascii="Calibri" w:hAnsi="Calibri"/>
                <w:color w:val="auto"/>
              </w:rPr>
              <w:t>AdV</w:t>
            </w:r>
            <w:proofErr w:type="spellEnd"/>
            <w:r>
              <w:rPr>
                <w:rFonts w:ascii="Calibri" w:hAnsi="Calibri"/>
                <w:color w:val="auto"/>
              </w:rPr>
              <w:t xml:space="preserve"> in </w:t>
            </w:r>
            <w:r w:rsidRPr="00034B87">
              <w:rPr>
                <w:rFonts w:ascii="Calibri" w:hAnsi="Calibri"/>
                <w:color w:val="auto"/>
              </w:rPr>
              <w:t>gene</w:t>
            </w:r>
            <w:r>
              <w:rPr>
                <w:rFonts w:ascii="Calibri" w:hAnsi="Calibri"/>
                <w:color w:val="auto"/>
              </w:rPr>
              <w:t xml:space="preserve"> sequence</w:t>
            </w:r>
            <w:r w:rsidRPr="00034B87">
              <w:rPr>
                <w:rFonts w:ascii="Calibri" w:hAnsi="Calibri"/>
                <w:color w:val="auto"/>
              </w:rPr>
              <w:t xml:space="preserve">s responsible for viral replication and </w:t>
            </w:r>
            <w:r w:rsidRPr="00034B87">
              <w:rPr>
                <w:rFonts w:ascii="Calibri" w:hAnsi="Calibri" w:cs="Calibri"/>
                <w:color w:val="auto"/>
              </w:rPr>
              <w:t>immune-evasion properties</w:t>
            </w:r>
            <w:r w:rsidRPr="00034B87">
              <w:rPr>
                <w:rFonts w:ascii="Calibri" w:hAnsi="Calibri"/>
                <w:color w:val="auto"/>
              </w:rPr>
              <w:t xml:space="preserve"> </w:t>
            </w:r>
            <w:r>
              <w:rPr>
                <w:rFonts w:ascii="Calibri" w:hAnsi="Calibri"/>
                <w:color w:val="auto"/>
              </w:rPr>
              <w:t>or other regions of high homology</w:t>
            </w:r>
          </w:p>
        </w:tc>
      </w:tr>
      <w:tr w:rsidR="009258A9" w:rsidRPr="008179FB" w14:paraId="684CD9FD" w14:textId="77777777" w:rsidTr="009D2E20">
        <w:trPr>
          <w:trHeight w:val="1815"/>
          <w:tblHeader/>
        </w:trPr>
        <w:tc>
          <w:tcPr>
            <w:tcW w:w="1276" w:type="dxa"/>
            <w:vMerge/>
            <w:tcBorders>
              <w:top w:val="single" w:sz="4" w:space="0" w:color="auto"/>
              <w:left w:val="single" w:sz="4" w:space="0" w:color="auto"/>
              <w:right w:val="single" w:sz="4" w:space="0" w:color="auto"/>
            </w:tcBorders>
            <w:shd w:val="clear" w:color="auto" w:fill="F2F2F2" w:themeFill="background1" w:themeFillShade="F2"/>
            <w:vAlign w:val="center"/>
          </w:tcPr>
          <w:p w14:paraId="1C85A427" w14:textId="77777777" w:rsidR="009258A9" w:rsidRPr="00A92DE8" w:rsidRDefault="009258A9" w:rsidP="009D2E20">
            <w:pPr>
              <w:keepNext/>
              <w:spacing w:before="40" w:after="40"/>
              <w:ind w:right="-30"/>
              <w:rPr>
                <w:rFonts w:asciiTheme="minorHAnsi" w:hAnsiTheme="minorHAnsi" w:cstheme="minorHAnsi"/>
                <w:b/>
              </w:rPr>
            </w:pPr>
          </w:p>
        </w:tc>
        <w:tc>
          <w:tcPr>
            <w:tcW w:w="3342" w:type="dxa"/>
            <w:tcBorders>
              <w:top w:val="nil"/>
              <w:left w:val="single" w:sz="4" w:space="0" w:color="auto"/>
              <w:bottom w:val="single" w:sz="4" w:space="0" w:color="auto"/>
              <w:right w:val="nil"/>
            </w:tcBorders>
          </w:tcPr>
          <w:p w14:paraId="4DF71B4C" w14:textId="77777777" w:rsidR="009258A9" w:rsidRPr="00560F99" w:rsidRDefault="009258A9" w:rsidP="009D2E20">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1BDF161E" w14:textId="77777777" w:rsidR="009258A9" w:rsidRPr="00560F99" w:rsidRDefault="009258A9" w:rsidP="009D2E20">
            <w:pPr>
              <w:pStyle w:val="Style4"/>
              <w:numPr>
                <w:ilvl w:val="0"/>
                <w:numId w:val="0"/>
              </w:numPr>
              <w:contextualSpacing/>
              <w:rPr>
                <w:rFonts w:ascii="Calibri" w:hAnsi="Calibri" w:cs="Calibri"/>
                <w:color w:val="auto"/>
              </w:rPr>
            </w:pPr>
            <w:r>
              <w:rPr>
                <w:rFonts w:ascii="Calibri" w:hAnsi="Calibri" w:cs="Calibri"/>
                <w:color w:val="auto"/>
              </w:rPr>
              <w:t>Production</w:t>
            </w:r>
            <w:r w:rsidRPr="00560F99">
              <w:rPr>
                <w:rFonts w:ascii="Calibri" w:hAnsi="Calibri" w:cs="Calibri"/>
                <w:color w:val="auto"/>
              </w:rPr>
              <w:t xml:space="preserve"> of more replication</w:t>
            </w:r>
          </w:p>
          <w:p w14:paraId="586038C4" w14:textId="77777777" w:rsidR="009258A9" w:rsidRPr="00560F99" w:rsidRDefault="009258A9" w:rsidP="009D2E20">
            <w:pPr>
              <w:pStyle w:val="Style4"/>
              <w:numPr>
                <w:ilvl w:val="0"/>
                <w:numId w:val="0"/>
              </w:numPr>
              <w:contextualSpacing/>
              <w:rPr>
                <w:rFonts w:ascii="Calibri" w:hAnsi="Calibri" w:cs="Calibri"/>
                <w:color w:val="auto"/>
              </w:rPr>
            </w:pPr>
            <w:r>
              <w:rPr>
                <w:rFonts w:ascii="Calibri" w:hAnsi="Calibri" w:cs="Calibri"/>
                <w:color w:val="auto"/>
              </w:rPr>
              <w:t xml:space="preserve">incompetent GMOs </w:t>
            </w:r>
            <w:r w:rsidRPr="003B4F29">
              <w:rPr>
                <w:rFonts w:ascii="Calibri" w:hAnsi="Calibri" w:cs="Calibri"/>
                <w:color w:val="auto"/>
              </w:rPr>
              <w:t>with immune-evasion properties</w:t>
            </w:r>
            <w:r w:rsidRPr="007D6139">
              <w:rPr>
                <w:rFonts w:ascii="Calibri" w:hAnsi="Calibri" w:cs="Calibri"/>
                <w:color w:val="auto"/>
              </w:rPr>
              <w:t xml:space="preserve"> </w:t>
            </w:r>
          </w:p>
        </w:tc>
        <w:tc>
          <w:tcPr>
            <w:tcW w:w="4166" w:type="dxa"/>
            <w:tcBorders>
              <w:top w:val="nil"/>
              <w:left w:val="nil"/>
              <w:bottom w:val="single" w:sz="4" w:space="0" w:color="auto"/>
              <w:right w:val="single" w:sz="4" w:space="0" w:color="auto"/>
            </w:tcBorders>
          </w:tcPr>
          <w:p w14:paraId="7E6E960F" w14:textId="77777777" w:rsidR="009258A9" w:rsidRPr="00560F99" w:rsidRDefault="009258A9" w:rsidP="009D2E20">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737FBC00" w14:textId="77777777" w:rsidR="009258A9" w:rsidRPr="00560F99" w:rsidRDefault="009258A9" w:rsidP="009D2E20">
            <w:pPr>
              <w:pStyle w:val="Style4"/>
              <w:numPr>
                <w:ilvl w:val="0"/>
                <w:numId w:val="47"/>
              </w:numPr>
              <w:spacing w:after="0"/>
              <w:ind w:left="375" w:hanging="283"/>
              <w:contextualSpacing/>
              <w:rPr>
                <w:rFonts w:ascii="Calibri" w:hAnsi="Calibri" w:cs="Calibri"/>
              </w:rPr>
            </w:pPr>
            <w:r w:rsidRPr="00560F99">
              <w:rPr>
                <w:rFonts w:ascii="Calibri" w:hAnsi="Calibri" w:cs="Calibri"/>
              </w:rPr>
              <w:t>Formatio</w:t>
            </w:r>
            <w:r>
              <w:rPr>
                <w:rFonts w:ascii="Calibri" w:hAnsi="Calibri" w:cs="Calibri"/>
              </w:rPr>
              <w:t xml:space="preserve">n of more replication incompetent </w:t>
            </w:r>
            <w:proofErr w:type="spellStart"/>
            <w:r>
              <w:rPr>
                <w:rFonts w:ascii="Calibri" w:hAnsi="Calibri" w:cs="Calibri"/>
              </w:rPr>
              <w:t>AdV</w:t>
            </w:r>
            <w:proofErr w:type="spellEnd"/>
            <w:r>
              <w:rPr>
                <w:rFonts w:ascii="Calibri" w:hAnsi="Calibri" w:cs="Calibri"/>
              </w:rPr>
              <w:t xml:space="preserve"> expressing </w:t>
            </w:r>
            <w:r w:rsidRPr="0029529B">
              <w:rPr>
                <w:rFonts w:ascii="Calibri" w:hAnsi="Calibri" w:cs="Calibri"/>
              </w:rPr>
              <w:t>IFN-α2b</w:t>
            </w:r>
            <w:r>
              <w:rPr>
                <w:rFonts w:ascii="Calibri" w:hAnsi="Calibri" w:cs="Calibri"/>
              </w:rPr>
              <w:t xml:space="preserve"> protein </w:t>
            </w:r>
            <w:r w:rsidRPr="00133F14">
              <w:rPr>
                <w:rFonts w:ascii="Calibri" w:hAnsi="Calibri" w:cs="Calibri"/>
              </w:rPr>
              <w:t>with immune evasion properties</w:t>
            </w:r>
          </w:p>
          <w:p w14:paraId="065C4444" w14:textId="77777777" w:rsidR="009258A9" w:rsidRPr="00560F99" w:rsidRDefault="009258A9" w:rsidP="009D2E20">
            <w:pPr>
              <w:pStyle w:val="Style4"/>
              <w:numPr>
                <w:ilvl w:val="0"/>
                <w:numId w:val="0"/>
              </w:numPr>
              <w:spacing w:after="0"/>
              <w:ind w:left="233"/>
              <w:jc w:val="center"/>
              <w:rPr>
                <w:rFonts w:ascii="Calibri" w:hAnsi="Calibri" w:cs="Calibri"/>
                <w:b/>
              </w:rPr>
            </w:pPr>
            <w:r>
              <w:rPr>
                <w:rFonts w:ascii="Calibri" w:hAnsi="Calibri" w:cs="Calibri"/>
                <w:b/>
              </w:rPr>
              <w:t>AND</w:t>
            </w:r>
          </w:p>
          <w:p w14:paraId="1CB38659" w14:textId="77777777" w:rsidR="009258A9" w:rsidRDefault="009258A9" w:rsidP="009D2E20">
            <w:pPr>
              <w:pStyle w:val="Style4"/>
              <w:numPr>
                <w:ilvl w:val="0"/>
                <w:numId w:val="0"/>
              </w:numPr>
              <w:spacing w:after="0"/>
              <w:ind w:left="381"/>
              <w:contextualSpacing/>
              <w:rPr>
                <w:rFonts w:ascii="Calibri" w:hAnsi="Calibri" w:cs="Calibri"/>
              </w:rPr>
            </w:pPr>
            <w:r w:rsidRPr="00560F99">
              <w:rPr>
                <w:rFonts w:ascii="Calibri" w:hAnsi="Calibri" w:cs="Calibri"/>
              </w:rPr>
              <w:t xml:space="preserve">Replication competent </w:t>
            </w:r>
            <w:r>
              <w:rPr>
                <w:rFonts w:ascii="Calibri" w:hAnsi="Calibri" w:cs="Calibri"/>
              </w:rPr>
              <w:t>GMO without</w:t>
            </w:r>
          </w:p>
          <w:p w14:paraId="2E35CD2A" w14:textId="77777777" w:rsidR="009258A9" w:rsidRDefault="009258A9" w:rsidP="009D2E20">
            <w:pPr>
              <w:pStyle w:val="Style4"/>
              <w:numPr>
                <w:ilvl w:val="0"/>
                <w:numId w:val="0"/>
              </w:numPr>
              <w:spacing w:after="0"/>
              <w:ind w:left="381"/>
              <w:contextualSpacing/>
              <w:rPr>
                <w:rFonts w:ascii="Calibri" w:hAnsi="Calibri" w:cs="Calibri"/>
              </w:rPr>
            </w:pPr>
            <w:r w:rsidRPr="00343A55">
              <w:rPr>
                <w:rFonts w:ascii="Calibri" w:hAnsi="Calibri" w:cs="Calibri"/>
              </w:rPr>
              <w:t>IFN-α2b</w:t>
            </w:r>
            <w:r w:rsidRPr="00560F99">
              <w:rPr>
                <w:rFonts w:ascii="Calibri" w:hAnsi="Calibri" w:cs="Calibri"/>
              </w:rPr>
              <w:t xml:space="preserve"> </w:t>
            </w:r>
            <w:r w:rsidRPr="00343A55">
              <w:rPr>
                <w:rFonts w:ascii="Calibri" w:hAnsi="Calibri" w:cs="Calibri"/>
              </w:rPr>
              <w:t>expression cassette</w:t>
            </w:r>
            <w:r>
              <w:rPr>
                <w:rFonts w:ascii="Calibri" w:hAnsi="Calibri" w:cs="Calibri"/>
              </w:rPr>
              <w:t xml:space="preserve"> </w:t>
            </w:r>
          </w:p>
          <w:p w14:paraId="610C8D03" w14:textId="77777777" w:rsidR="009258A9" w:rsidRPr="005A649C" w:rsidRDefault="009258A9" w:rsidP="009D2E20">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398A943E" w14:textId="77777777" w:rsidR="009258A9" w:rsidRPr="00FD1D24" w:rsidRDefault="009258A9" w:rsidP="009D2E20">
            <w:pPr>
              <w:pStyle w:val="Style4"/>
              <w:numPr>
                <w:ilvl w:val="0"/>
                <w:numId w:val="47"/>
              </w:numPr>
              <w:spacing w:after="0"/>
              <w:ind w:left="375" w:hanging="284"/>
              <w:contextualSpacing/>
              <w:rPr>
                <w:rFonts w:ascii="Calibri" w:eastAsia="Calibri" w:hAnsi="Calibri" w:cs="Calibri"/>
              </w:rPr>
            </w:pPr>
            <w:r>
              <w:rPr>
                <w:rFonts w:ascii="Calibri" w:hAnsi="Calibri" w:cs="Calibri"/>
              </w:rPr>
              <w:t xml:space="preserve">Replication competent </w:t>
            </w:r>
            <w:proofErr w:type="spellStart"/>
            <w:r>
              <w:rPr>
                <w:rFonts w:ascii="Calibri" w:hAnsi="Calibri" w:cs="Calibri"/>
              </w:rPr>
              <w:t>AdV</w:t>
            </w:r>
            <w:proofErr w:type="spellEnd"/>
            <w:r>
              <w:rPr>
                <w:rFonts w:ascii="Calibri" w:hAnsi="Calibri" w:cs="Calibri"/>
              </w:rPr>
              <w:t xml:space="preserve"> with defective immune evasion properties </w:t>
            </w:r>
          </w:p>
          <w:p w14:paraId="1465D46F" w14:textId="77777777" w:rsidR="009258A9" w:rsidRPr="00FD1D24" w:rsidRDefault="009258A9" w:rsidP="009D2E20">
            <w:pPr>
              <w:pStyle w:val="Style4"/>
              <w:numPr>
                <w:ilvl w:val="0"/>
                <w:numId w:val="0"/>
              </w:numPr>
              <w:spacing w:after="0"/>
              <w:ind w:left="91"/>
              <w:contextualSpacing/>
              <w:jc w:val="center"/>
              <w:rPr>
                <w:rFonts w:ascii="Calibri" w:eastAsia="Calibri" w:hAnsi="Calibri" w:cs="Calibri"/>
                <w:b/>
              </w:rPr>
            </w:pPr>
            <w:r w:rsidRPr="00FD1D24">
              <w:rPr>
                <w:rFonts w:ascii="Calibri" w:eastAsia="Calibri" w:hAnsi="Calibri" w:cs="Calibri"/>
                <w:b/>
              </w:rPr>
              <w:t>AND</w:t>
            </w:r>
          </w:p>
          <w:p w14:paraId="21936BDC" w14:textId="77777777" w:rsidR="009258A9" w:rsidRDefault="009258A9" w:rsidP="009D2E20">
            <w:pPr>
              <w:pStyle w:val="Style4"/>
              <w:numPr>
                <w:ilvl w:val="0"/>
                <w:numId w:val="0"/>
              </w:numPr>
              <w:spacing w:after="0"/>
              <w:ind w:left="375"/>
              <w:contextualSpacing/>
              <w:rPr>
                <w:rFonts w:ascii="Calibri" w:eastAsia="Calibri" w:hAnsi="Calibri" w:cs="Calibri"/>
              </w:rPr>
            </w:pPr>
            <w:r>
              <w:rPr>
                <w:rFonts w:ascii="Calibri" w:eastAsia="Calibri" w:hAnsi="Calibri" w:cs="Calibri"/>
              </w:rPr>
              <w:t xml:space="preserve">Replication incompetent GMO with immune evasion properties </w:t>
            </w:r>
          </w:p>
          <w:p w14:paraId="2F9D9FFA" w14:textId="77777777" w:rsidR="009258A9" w:rsidRPr="00FD1D24" w:rsidRDefault="009258A9" w:rsidP="009D2E20">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4D0F177B" w14:textId="77777777" w:rsidR="009258A9" w:rsidRDefault="009258A9" w:rsidP="009D2E20">
            <w:pPr>
              <w:pStyle w:val="Style4"/>
              <w:numPr>
                <w:ilvl w:val="0"/>
                <w:numId w:val="47"/>
              </w:numPr>
              <w:spacing w:after="0"/>
              <w:ind w:left="378" w:hanging="285"/>
              <w:contextualSpacing/>
              <w:rPr>
                <w:rFonts w:ascii="Calibri" w:eastAsia="Calibri" w:hAnsi="Calibri" w:cs="Calibri"/>
              </w:rPr>
            </w:pPr>
            <w:r>
              <w:rPr>
                <w:rFonts w:ascii="Calibri" w:eastAsia="Calibri" w:hAnsi="Calibri" w:cs="Calibri"/>
              </w:rPr>
              <w:t xml:space="preserve">Replication competent </w:t>
            </w:r>
            <w:proofErr w:type="spellStart"/>
            <w:r>
              <w:rPr>
                <w:rFonts w:ascii="Calibri" w:eastAsia="Calibri" w:hAnsi="Calibri" w:cs="Calibri"/>
              </w:rPr>
              <w:t>AdV</w:t>
            </w:r>
            <w:proofErr w:type="spellEnd"/>
            <w:r>
              <w:rPr>
                <w:rFonts w:ascii="Calibri" w:eastAsia="Calibri" w:hAnsi="Calibri" w:cs="Calibri"/>
              </w:rPr>
              <w:t xml:space="preserve"> or replication incompetent GMO with altered tropism</w:t>
            </w:r>
          </w:p>
          <w:p w14:paraId="5704A578" w14:textId="77777777" w:rsidR="009258A9" w:rsidRPr="008179FB" w:rsidRDefault="009258A9" w:rsidP="009D2E20">
            <w:pPr>
              <w:pStyle w:val="Style4"/>
              <w:numPr>
                <w:ilvl w:val="0"/>
                <w:numId w:val="0"/>
              </w:numPr>
              <w:ind w:left="375"/>
              <w:contextualSpacing/>
              <w:jc w:val="center"/>
              <w:rPr>
                <w:rFonts w:ascii="Calibri" w:eastAsia="Calibri" w:hAnsi="Calibri" w:cs="Calibri"/>
              </w:rPr>
            </w:pPr>
          </w:p>
        </w:tc>
      </w:tr>
      <w:tr w:rsidR="009258A9" w:rsidRPr="00961290" w14:paraId="78FE98B0" w14:textId="77777777" w:rsidTr="009D2E20">
        <w:trPr>
          <w:trHeight w:val="360"/>
          <w:tblHeader/>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53A03D" w14:textId="77777777" w:rsidR="009258A9" w:rsidRPr="00B350BD" w:rsidRDefault="009258A9" w:rsidP="009D2E20">
            <w:pPr>
              <w:keepNext/>
              <w:spacing w:before="40" w:after="40"/>
              <w:ind w:right="-30"/>
              <w:rPr>
                <w:rFonts w:asciiTheme="minorHAnsi" w:hAnsiTheme="minorHAnsi" w:cstheme="minorHAnsi"/>
                <w:b/>
              </w:rPr>
            </w:pPr>
            <w:r w:rsidRPr="00B350BD">
              <w:rPr>
                <w:rFonts w:asciiTheme="minorHAnsi" w:hAnsiTheme="minorHAnsi" w:cstheme="minorHAnsi"/>
                <w:b/>
              </w:rPr>
              <w:t>Potential harm</w:t>
            </w:r>
          </w:p>
        </w:tc>
        <w:tc>
          <w:tcPr>
            <w:tcW w:w="7508" w:type="dxa"/>
            <w:gridSpan w:val="2"/>
            <w:tcBorders>
              <w:top w:val="single" w:sz="4" w:space="0" w:color="auto"/>
              <w:left w:val="single" w:sz="4" w:space="0" w:color="auto"/>
              <w:bottom w:val="single" w:sz="4" w:space="0" w:color="auto"/>
              <w:right w:val="single" w:sz="4" w:space="0" w:color="auto"/>
            </w:tcBorders>
            <w:vAlign w:val="center"/>
            <w:hideMark/>
          </w:tcPr>
          <w:p w14:paraId="0E37427E" w14:textId="40528F9C" w:rsidR="009258A9" w:rsidRPr="00961290" w:rsidRDefault="002C4210" w:rsidP="009D2E20">
            <w:pPr>
              <w:spacing w:before="60" w:after="60"/>
              <w:rPr>
                <w:rFonts w:asciiTheme="minorHAnsi" w:hAnsiTheme="minorHAnsi" w:cstheme="minorHAnsi"/>
              </w:rPr>
            </w:pPr>
            <w:r>
              <w:rPr>
                <w:rFonts w:cs="Calibri"/>
                <w:color w:val="000000" w:themeColor="text1"/>
              </w:rPr>
              <w:t>A</w:t>
            </w:r>
            <w:r w:rsidR="009258A9" w:rsidRPr="004875A4">
              <w:rPr>
                <w:rFonts w:cs="Calibri"/>
                <w:color w:val="000000" w:themeColor="text1"/>
              </w:rPr>
              <w:t>dverse immune reactions; disease in people or animals</w:t>
            </w:r>
          </w:p>
        </w:tc>
      </w:tr>
    </w:tbl>
    <w:p w14:paraId="2590CD24" w14:textId="77777777" w:rsidR="00FB7E35" w:rsidRPr="002B70E3" w:rsidRDefault="00FB7E35" w:rsidP="00AF2557">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AF2557">
      <w:pPr>
        <w:pStyle w:val="5RARMP"/>
        <w:rPr>
          <w:shd w:val="clear" w:color="auto" w:fill="FFFFFF"/>
        </w:rPr>
      </w:pPr>
      <w:r w:rsidRPr="002B70E3">
        <w:rPr>
          <w:shd w:val="clear" w:color="auto" w:fill="FFFFFF"/>
        </w:rPr>
        <w:t>Causal Pathway</w:t>
      </w:r>
    </w:p>
    <w:p w14:paraId="5287D212" w14:textId="7068EB81" w:rsidR="00802234" w:rsidRPr="00363E09" w:rsidRDefault="00802234" w:rsidP="00802234">
      <w:pPr>
        <w:pStyle w:val="RARMPnumberedparagraphs"/>
      </w:pPr>
      <w:r w:rsidRPr="00363E09">
        <w:rPr>
          <w:shd w:val="clear" w:color="auto" w:fill="FFFFFF"/>
        </w:rPr>
        <w:t>Transmission of GMO can occur by the pathways mentioned in Risk Scenario</w:t>
      </w:r>
      <w:r w:rsidR="002C1F15">
        <w:rPr>
          <w:shd w:val="clear" w:color="auto" w:fill="FFFFFF"/>
        </w:rPr>
        <w:t>s</w:t>
      </w:r>
      <w:r w:rsidRPr="00363E09">
        <w:rPr>
          <w:shd w:val="clear" w:color="auto" w:fill="FFFFFF"/>
        </w:rPr>
        <w:t xml:space="preserve"> 1 </w:t>
      </w:r>
      <w:r w:rsidR="002C1F15">
        <w:rPr>
          <w:shd w:val="clear" w:color="auto" w:fill="FFFFFF"/>
        </w:rPr>
        <w:t xml:space="preserve">and 2 </w:t>
      </w:r>
      <w:r w:rsidRPr="00363E09">
        <w:rPr>
          <w:shd w:val="clear" w:color="auto" w:fill="FFFFFF"/>
        </w:rPr>
        <w:t xml:space="preserve">which could potentially result in transduction of host cells. If the person or animal exposed to the GMO has an existing infection of </w:t>
      </w:r>
      <w:proofErr w:type="spellStart"/>
      <w:r w:rsidRPr="00363E09">
        <w:rPr>
          <w:shd w:val="clear" w:color="auto" w:fill="FFFFFF"/>
        </w:rPr>
        <w:t>AdVs</w:t>
      </w:r>
      <w:proofErr w:type="spellEnd"/>
      <w:r w:rsidRPr="00363E09">
        <w:rPr>
          <w:shd w:val="clear" w:color="auto" w:fill="FFFFFF"/>
        </w:rPr>
        <w:t xml:space="preserve"> at the time or acquired an </w:t>
      </w:r>
      <w:proofErr w:type="spellStart"/>
      <w:r w:rsidRPr="00363E09">
        <w:rPr>
          <w:shd w:val="clear" w:color="auto" w:fill="FFFFFF"/>
        </w:rPr>
        <w:t>AdV</w:t>
      </w:r>
      <w:proofErr w:type="spellEnd"/>
      <w:r w:rsidRPr="00363E09">
        <w:rPr>
          <w:shd w:val="clear" w:color="auto" w:fill="FFFFFF"/>
        </w:rPr>
        <w:t xml:space="preserve"> infection while the GMO is present, this co-infection could potentially result in complementation </w:t>
      </w:r>
      <w:r w:rsidR="00C2727C">
        <w:rPr>
          <w:shd w:val="clear" w:color="auto" w:fill="FFFFFF"/>
        </w:rPr>
        <w:t xml:space="preserve">or </w:t>
      </w:r>
      <w:r w:rsidRPr="00363E09">
        <w:rPr>
          <w:shd w:val="clear" w:color="auto" w:fill="FFFFFF"/>
        </w:rPr>
        <w:t xml:space="preserve">recombination of the GMO with wild-type </w:t>
      </w:r>
      <w:proofErr w:type="spellStart"/>
      <w:r w:rsidRPr="00363E09">
        <w:rPr>
          <w:shd w:val="clear" w:color="auto" w:fill="FFFFFF"/>
        </w:rPr>
        <w:t>AdVs</w:t>
      </w:r>
      <w:proofErr w:type="spellEnd"/>
      <w:r w:rsidRPr="00363E09">
        <w:rPr>
          <w:shd w:val="clear" w:color="auto" w:fill="FFFFFF"/>
        </w:rPr>
        <w:t xml:space="preserve"> and cause adverse immune reactions and/or disease in people or animals</w:t>
      </w:r>
      <w:r w:rsidR="00BC3064" w:rsidRPr="00363E09">
        <w:rPr>
          <w:shd w:val="clear" w:color="auto" w:fill="FFFFFF"/>
        </w:rPr>
        <w:t xml:space="preserve"> </w:t>
      </w:r>
      <w:bookmarkStart w:id="350" w:name="_Hlk217405862"/>
    </w:p>
    <w:p w14:paraId="25115900" w14:textId="6778EA56" w:rsidR="00363E09" w:rsidRPr="00363E09" w:rsidRDefault="00363E09" w:rsidP="00363E09">
      <w:pPr>
        <w:pStyle w:val="RARMPnumberedparagraphs"/>
        <w:numPr>
          <w:ilvl w:val="0"/>
          <w:numId w:val="0"/>
        </w:numPr>
      </w:pPr>
      <w:r w:rsidRPr="00363E09">
        <w:rPr>
          <w:i/>
        </w:rPr>
        <w:t xml:space="preserve">Complementation of gene sequences responsible for viral replication and immune-evasion properties by </w:t>
      </w:r>
      <w:proofErr w:type="spellStart"/>
      <w:r w:rsidRPr="00363E09">
        <w:rPr>
          <w:i/>
        </w:rPr>
        <w:t>AdV</w:t>
      </w:r>
      <w:proofErr w:type="spellEnd"/>
    </w:p>
    <w:p w14:paraId="163FCF22" w14:textId="4CBA1A54" w:rsidR="008418BC" w:rsidRDefault="00363E09" w:rsidP="008418BC">
      <w:pPr>
        <w:pStyle w:val="RARMPnumberedparagraphs"/>
      </w:pPr>
      <w:proofErr w:type="spellStart"/>
      <w:r w:rsidRPr="00363E09">
        <w:lastRenderedPageBreak/>
        <w:t>HAdV</w:t>
      </w:r>
      <w:proofErr w:type="spellEnd"/>
      <w:r w:rsidRPr="00363E09">
        <w:t xml:space="preserve"> infects a very large portion of the human population, and </w:t>
      </w:r>
      <w:proofErr w:type="spellStart"/>
      <w:r w:rsidRPr="00363E09">
        <w:t>HAdV</w:t>
      </w:r>
      <w:proofErr w:type="spellEnd"/>
      <w:r w:rsidRPr="00363E09">
        <w:t xml:space="preserve">-C is the most widely reported serotype and has the highest seroprevalence globally (Chapter 1, Section </w:t>
      </w:r>
      <w:r w:rsidRPr="00363E09">
        <w:fldChar w:fldCharType="begin"/>
      </w:r>
      <w:r w:rsidRPr="00363E09">
        <w:instrText xml:space="preserve"> REF _Ref193119829 \n \h </w:instrText>
      </w:r>
      <w:r w:rsidRPr="00363E09">
        <w:fldChar w:fldCharType="separate"/>
      </w:r>
      <w:r w:rsidRPr="00363E09">
        <w:t>3.5.3</w:t>
      </w:r>
      <w:r w:rsidRPr="00363E09">
        <w:fldChar w:fldCharType="end"/>
      </w:r>
      <w:r w:rsidRPr="00363E09">
        <w:t xml:space="preserve">). The </w:t>
      </w:r>
      <w:proofErr w:type="spellStart"/>
      <w:r w:rsidRPr="00363E09">
        <w:t>HAdV</w:t>
      </w:r>
      <w:proofErr w:type="spellEnd"/>
      <w:r w:rsidRPr="00363E09">
        <w:t xml:space="preserve"> genome sequences are largely conserved from isolate to isolate of the same type</w:t>
      </w:r>
      <w:r w:rsidR="00C2727C">
        <w:t>,</w:t>
      </w:r>
      <w:r w:rsidR="000025FC">
        <w:t xml:space="preserve"> </w:t>
      </w:r>
      <w:r w:rsidRPr="00363E09">
        <w:t xml:space="preserve">and the genome of </w:t>
      </w:r>
      <w:proofErr w:type="spellStart"/>
      <w:r w:rsidRPr="00363E09">
        <w:t>HAdV</w:t>
      </w:r>
      <w:proofErr w:type="spellEnd"/>
      <w:r w:rsidRPr="00363E09">
        <w:t>-C is highly conserved with over 95% nucleotide identity</w:t>
      </w:r>
      <w:r w:rsidR="00C2727C">
        <w:t xml:space="preserve"> among the serotype</w:t>
      </w:r>
      <w:r w:rsidRPr="00363E09">
        <w:t xml:space="preserve"> </w:t>
      </w:r>
      <w:r w:rsidRPr="00363E09">
        <w:fldChar w:fldCharType="begin"/>
      </w:r>
      <w:r w:rsidRPr="00363E09">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63E09">
        <w:fldChar w:fldCharType="separate"/>
      </w:r>
      <w:r w:rsidRPr="00363E09">
        <w:t>(</w:t>
      </w:r>
      <w:hyperlink w:anchor="_ENREF_41" w:tooltip="Ismail, 2018 #11593" w:history="1">
        <w:r w:rsidR="0027195B" w:rsidRPr="00A26162">
          <w:t>Ismail et al., 2018a</w:t>
        </w:r>
      </w:hyperlink>
      <w:r w:rsidRPr="00363E09">
        <w:t>)</w:t>
      </w:r>
      <w:r w:rsidRPr="00363E09">
        <w:fldChar w:fldCharType="end"/>
      </w:r>
      <w:r w:rsidRPr="00363E09">
        <w:t xml:space="preserve">. Therefore, it is plausible that the gene sequences for viral replication and immune-evasion properties could be provided </w:t>
      </w:r>
      <w:r w:rsidRPr="00363E09">
        <w:rPr>
          <w:i/>
          <w:iCs/>
        </w:rPr>
        <w:t>in trans</w:t>
      </w:r>
      <w:r w:rsidRPr="00363E09">
        <w:t xml:space="preserve"> from a pre</w:t>
      </w:r>
      <w:r w:rsidRPr="00363E09">
        <w:noBreakHyphen/>
        <w:t xml:space="preserve">existing or acquired </w:t>
      </w:r>
      <w:proofErr w:type="spellStart"/>
      <w:r w:rsidRPr="00363E09">
        <w:t>HAdV</w:t>
      </w:r>
      <w:proofErr w:type="spellEnd"/>
      <w:r w:rsidRPr="00363E09">
        <w:t xml:space="preserve"> infection in persons accidentally exposed to the GMO if a co-infection in the same cell occurs. This could result in complementation by the </w:t>
      </w:r>
      <w:proofErr w:type="spellStart"/>
      <w:r w:rsidRPr="00363E09">
        <w:t>HAdV</w:t>
      </w:r>
      <w:proofErr w:type="spellEnd"/>
      <w:r w:rsidRPr="00363E09">
        <w:t xml:space="preserve"> leading to replication of the GMOs with immune evasion properties in the host. As discussed in Chapter 1, Section </w:t>
      </w:r>
      <w:r w:rsidRPr="00363E09">
        <w:fldChar w:fldCharType="begin"/>
      </w:r>
      <w:r w:rsidRPr="00363E09">
        <w:instrText xml:space="preserve"> REF _Ref193119829 \n \h </w:instrText>
      </w:r>
      <w:r w:rsidRPr="00363E09">
        <w:fldChar w:fldCharType="separate"/>
      </w:r>
      <w:r w:rsidRPr="00363E09">
        <w:t>3.5.3</w:t>
      </w:r>
      <w:r w:rsidRPr="00363E09">
        <w:fldChar w:fldCharType="end"/>
      </w:r>
      <w:r w:rsidRPr="00363E09">
        <w:t xml:space="preserve">, the </w:t>
      </w:r>
      <w:r w:rsidR="00807788">
        <w:t xml:space="preserve">actual </w:t>
      </w:r>
      <w:r w:rsidRPr="00363E09">
        <w:t xml:space="preserve">prevalence of </w:t>
      </w:r>
      <w:proofErr w:type="spellStart"/>
      <w:r w:rsidRPr="00363E09">
        <w:t>HAdV</w:t>
      </w:r>
      <w:proofErr w:type="spellEnd"/>
      <w:r w:rsidRPr="00363E09">
        <w:t xml:space="preserve"> infection in Australia is </w:t>
      </w:r>
      <w:r w:rsidR="00807788">
        <w:t>uncertain</w:t>
      </w:r>
      <w:r w:rsidRPr="00363E09">
        <w:t xml:space="preserve"> as </w:t>
      </w:r>
      <w:proofErr w:type="spellStart"/>
      <w:r w:rsidRPr="00363E09">
        <w:t>HAdV</w:t>
      </w:r>
      <w:proofErr w:type="spellEnd"/>
      <w:r w:rsidRPr="00363E09">
        <w:t xml:space="preserve"> infection is not a reportable illness. However, </w:t>
      </w:r>
      <w:proofErr w:type="spellStart"/>
      <w:r w:rsidRPr="00363E09">
        <w:t>HAdV</w:t>
      </w:r>
      <w:proofErr w:type="spellEnd"/>
      <w:r w:rsidRPr="00363E09">
        <w:t xml:space="preserve"> infections are also self-limiting, decreasing the probability of continuous complementation of GMO by </w:t>
      </w:r>
      <w:proofErr w:type="spellStart"/>
      <w:r w:rsidRPr="00363E09">
        <w:t>HAdV</w:t>
      </w:r>
      <w:proofErr w:type="spellEnd"/>
      <w:r w:rsidRPr="00363E09">
        <w:t xml:space="preserve"> </w:t>
      </w:r>
      <w:r w:rsidRPr="00363E09">
        <w:fldChar w:fldCharType="begin">
          <w:fldData xml:space="preserve">PEVuZE5vdGU+PENpdGU+PEF1dGhvcj5MZWlrYXM8L0F1dGhvcj48WWVhcj4yMDIzPC9ZZWFyPjxS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</w:fldData>
        </w:fldChar>
      </w:r>
      <w:r w:rsidRPr="00363E09">
        <w:instrText xml:space="preserve"> ADDIN EN.CITE </w:instrText>
      </w:r>
      <w:r w:rsidRPr="00363E09">
        <w:fldChar w:fldCharType="begin">
          <w:fldData xml:space="preserve">PEVuZE5vdGU+PENpdGU+PEF1dGhvcj5MZWlrYXM8L0F1dGhvcj48WWVhcj4yMDIzPC9ZZWFyPjxS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</w:fldData>
        </w:fldChar>
      </w:r>
      <w:r w:rsidRPr="00363E09">
        <w:instrText xml:space="preserve"> ADDIN EN.CITE.DATA </w:instrText>
      </w:r>
      <w:r w:rsidRPr="00363E09">
        <w:fldChar w:fldCharType="end"/>
      </w:r>
      <w:r w:rsidRPr="00363E09">
        <w:fldChar w:fldCharType="separate"/>
      </w:r>
      <w:r w:rsidRPr="00363E09">
        <w:t>(</w:t>
      </w:r>
      <w:hyperlink w:anchor="_ENREF_51" w:tooltip="Leikas, 2023 #43" w:history="1">
        <w:r w:rsidR="0027195B" w:rsidRPr="00A26162">
          <w:t>Leikas et al., 2023b</w:t>
        </w:r>
      </w:hyperlink>
      <w:r w:rsidRPr="00363E09">
        <w:t xml:space="preserve">; </w:t>
      </w:r>
      <w:hyperlink w:anchor="_ENREF_53" w:tooltip="Lichtenstein, 2004 #12189" w:history="1">
        <w:r w:rsidR="0027195B" w:rsidRPr="00A26162">
          <w:t>Lichtenstein and Wold, 2004</w:t>
        </w:r>
      </w:hyperlink>
      <w:r w:rsidRPr="00363E09">
        <w:t>)</w:t>
      </w:r>
      <w:r w:rsidRPr="00363E09">
        <w:fldChar w:fldCharType="end"/>
      </w:r>
      <w:r w:rsidRPr="00363E09">
        <w:t xml:space="preserve">. Thus, the likelihood that a person </w:t>
      </w:r>
      <w:r w:rsidR="00CF17BC">
        <w:t>has a</w:t>
      </w:r>
      <w:r w:rsidR="00CF17BC" w:rsidRPr="00363E09">
        <w:t xml:space="preserve"> </w:t>
      </w:r>
      <w:proofErr w:type="spellStart"/>
      <w:r w:rsidRPr="00363E09">
        <w:t>HAdV</w:t>
      </w:r>
      <w:proofErr w:type="spellEnd"/>
      <w:r w:rsidRPr="00363E09">
        <w:t xml:space="preserve">-C infection that could continuously complement the missing gene sequences for viral replication and defective gene sequences for immune-evasion properties in the GMO is </w:t>
      </w:r>
      <w:r w:rsidR="002C1F15">
        <w:t xml:space="preserve">very </w:t>
      </w:r>
      <w:r w:rsidRPr="00363E09">
        <w:t>low</w:t>
      </w:r>
      <w:r w:rsidR="008418BC" w:rsidRPr="002E3EA8">
        <w:t>.</w:t>
      </w:r>
      <w:bookmarkEnd w:id="350"/>
    </w:p>
    <w:p w14:paraId="3201ECCE" w14:textId="1404F7B9" w:rsidR="00363E09" w:rsidRDefault="00363E09" w:rsidP="008418BC">
      <w:pPr>
        <w:pStyle w:val="RARMPnumberedparagraphs"/>
      </w:pPr>
      <w:r w:rsidRPr="00363E09">
        <w:t xml:space="preserve">As mentioned in Chapter 1, Section </w:t>
      </w:r>
      <w:r w:rsidRPr="00363E09">
        <w:fldChar w:fldCharType="begin"/>
      </w:r>
      <w:r w:rsidRPr="00363E09">
        <w:instrText xml:space="preserve"> REF _Ref198565357 \n \h </w:instrText>
      </w:r>
      <w:r w:rsidRPr="00363E09">
        <w:fldChar w:fldCharType="separate"/>
      </w:r>
      <w:r w:rsidRPr="00363E09">
        <w:t>3.5.1</w:t>
      </w:r>
      <w:r w:rsidRPr="00363E09">
        <w:fldChar w:fldCharType="end"/>
      </w:r>
      <w:r w:rsidRPr="00363E09">
        <w:t xml:space="preserve">, spontaneous infection of animals with </w:t>
      </w:r>
      <w:proofErr w:type="spellStart"/>
      <w:r w:rsidRPr="00363E09">
        <w:t>HAdV</w:t>
      </w:r>
      <w:proofErr w:type="spellEnd"/>
      <w:r w:rsidRPr="00363E09">
        <w:t>-C in the wild is considered unlikely and no natural infections of non-human hosts have been reported so far. Therefore, it is considered</w:t>
      </w:r>
      <w:r w:rsidR="002C1F15">
        <w:t xml:space="preserve"> highly</w:t>
      </w:r>
      <w:r w:rsidRPr="00363E09">
        <w:t xml:space="preserve"> unlikely that the GMO could replicate in animals </w:t>
      </w:r>
      <w:proofErr w:type="gramStart"/>
      <w:r w:rsidRPr="00363E09">
        <w:t>as a result of</w:t>
      </w:r>
      <w:proofErr w:type="gramEnd"/>
      <w:r w:rsidRPr="00363E09">
        <w:t xml:space="preserve"> complementation</w:t>
      </w:r>
      <w:r>
        <w:t>.</w:t>
      </w:r>
    </w:p>
    <w:p w14:paraId="43FD43B9" w14:textId="77777777" w:rsidR="00363E09" w:rsidRPr="00363E09" w:rsidRDefault="00363E09" w:rsidP="00363E09">
      <w:pPr>
        <w:pStyle w:val="RARMPnumberedparagraphs"/>
        <w:numPr>
          <w:ilvl w:val="0"/>
          <w:numId w:val="0"/>
        </w:numPr>
        <w:rPr>
          <w:i/>
          <w:iCs/>
        </w:rPr>
      </w:pPr>
      <w:r w:rsidRPr="00363E09">
        <w:rPr>
          <w:i/>
          <w:iCs/>
        </w:rPr>
        <w:t xml:space="preserve">Homologous recombination with </w:t>
      </w:r>
      <w:proofErr w:type="spellStart"/>
      <w:r w:rsidRPr="00363E09">
        <w:rPr>
          <w:i/>
          <w:iCs/>
        </w:rPr>
        <w:t>AdV</w:t>
      </w:r>
      <w:proofErr w:type="spellEnd"/>
    </w:p>
    <w:p w14:paraId="24C69BEA" w14:textId="5B1B67B1" w:rsidR="00363E09" w:rsidRDefault="00363E09" w:rsidP="008418BC">
      <w:pPr>
        <w:pStyle w:val="RARMPnumberedparagraphs"/>
      </w:pPr>
      <w:r w:rsidRPr="00363E09">
        <w:t xml:space="preserve">Recombination is common among circulating wild-type adenoviruses in nature. It is seen as a key driver for adenoviral evolution. </w:t>
      </w:r>
      <w:proofErr w:type="gramStart"/>
      <w:r w:rsidRPr="00363E09">
        <w:t>Similar to</w:t>
      </w:r>
      <w:proofErr w:type="gramEnd"/>
      <w:r w:rsidRPr="00363E09">
        <w:t xml:space="preserve"> complementation, homologous recombination requires the person or animals exposed to the GMO to be infected with a wild-type </w:t>
      </w:r>
      <w:proofErr w:type="spellStart"/>
      <w:r w:rsidRPr="00363E09">
        <w:t>AdV</w:t>
      </w:r>
      <w:proofErr w:type="spellEnd"/>
      <w:r w:rsidRPr="00363E09">
        <w:t xml:space="preserve"> at the same time. Adenoviruses are prevalent in respiratory, gastrointestinal or ocular tissue. Co-infection could also occur from contact with GMO contaminated surfaces or spills. Licence conditions will be in place to limit and control the exposure of the GMO to people or animals via inhalation or contact with mucus tissue via requirements to use PPE and th</w:t>
      </w:r>
      <w:r w:rsidR="00485E61">
        <w:t>r</w:t>
      </w:r>
      <w:r w:rsidRPr="00363E09">
        <w:t>ough transport and disposal procedures</w:t>
      </w:r>
      <w:r w:rsidR="000558A8">
        <w:t>, and for the participants to decontaminate their urine for 2 days after administration of the GMO</w:t>
      </w:r>
      <w:r>
        <w:t>.</w:t>
      </w:r>
    </w:p>
    <w:p w14:paraId="2E3EAEA5" w14:textId="442830B9" w:rsidR="003829E8" w:rsidRDefault="003829E8" w:rsidP="008418BC">
      <w:pPr>
        <w:pStyle w:val="RARMPnumberedparagraphs"/>
      </w:pPr>
      <w:r w:rsidRPr="003829E8">
        <w:t xml:space="preserve">As mentioned in Chapter 1, Section 3.4, homologous recombination is restricted to members of the same species. However, homologous recombination with closely related adenoviruses species has been observed where high sequence homology occurs (Hoppe et al., 2015; Dehghan et al., 2019). The DNA homology between </w:t>
      </w:r>
      <w:proofErr w:type="spellStart"/>
      <w:r w:rsidRPr="003829E8">
        <w:t>HAdV</w:t>
      </w:r>
      <w:proofErr w:type="spellEnd"/>
      <w:r w:rsidRPr="003829E8">
        <w:t xml:space="preserve"> species is less than 20% (Ghebremedhin, 2014) and is more than 95% in </w:t>
      </w:r>
      <w:proofErr w:type="spellStart"/>
      <w:r w:rsidRPr="003829E8">
        <w:t>HAdV</w:t>
      </w:r>
      <w:proofErr w:type="spellEnd"/>
      <w:r w:rsidRPr="003829E8">
        <w:t xml:space="preserve">-C species </w:t>
      </w:r>
      <w:r w:rsidRPr="003829E8">
        <w:fldChar w:fldCharType="begin"/>
      </w:r>
      <w:r w:rsidRPr="003829E8">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3829E8">
        <w:fldChar w:fldCharType="separate"/>
      </w:r>
      <w:r w:rsidRPr="003829E8">
        <w:t>(</w:t>
      </w:r>
      <w:hyperlink w:anchor="_ENREF_41" w:tooltip="Ismail, 2018 #11593" w:history="1">
        <w:r w:rsidR="0027195B" w:rsidRPr="00A26162">
          <w:t>Ismail et al., 2018a</w:t>
        </w:r>
      </w:hyperlink>
      <w:r w:rsidRPr="003829E8">
        <w:t>)</w:t>
      </w:r>
      <w:r w:rsidRPr="003829E8">
        <w:fldChar w:fldCharType="end"/>
      </w:r>
      <w:r w:rsidRPr="003829E8">
        <w:t>. There</w:t>
      </w:r>
      <w:r w:rsidR="00254B1E">
        <w:t>fore, there</w:t>
      </w:r>
      <w:r w:rsidRPr="003829E8">
        <w:t xml:space="preserve"> is a potential for homologous recombination between the GMO and </w:t>
      </w:r>
      <w:proofErr w:type="spellStart"/>
      <w:r w:rsidRPr="003829E8">
        <w:t>HAdV</w:t>
      </w:r>
      <w:proofErr w:type="spellEnd"/>
      <w:r w:rsidRPr="003829E8">
        <w:t>-C as they belong to the same species. If it was to occur, co-infection and recombination processes could potentially result in the generation of different GM recombinants, as described in Table 3</w:t>
      </w:r>
      <w:r>
        <w:t>.</w:t>
      </w:r>
    </w:p>
    <w:p w14:paraId="7B02B61E" w14:textId="77777777" w:rsidR="003957A3" w:rsidRPr="00787440" w:rsidRDefault="003957A3" w:rsidP="00787440">
      <w:pPr>
        <w:pStyle w:val="table"/>
      </w:pPr>
      <w:r w:rsidRPr="00787440">
        <w:t>Table 3. Theoretical recombinants of GMO and wild-type (WT) adenoviruses</w:t>
      </w:r>
    </w:p>
    <w:tbl>
      <w:tblPr>
        <w:tblStyle w:val="TableGrid"/>
        <w:tblW w:w="0" w:type="auto"/>
        <w:tblLook w:val="04A0" w:firstRow="1" w:lastRow="0" w:firstColumn="1" w:lastColumn="0" w:noHBand="0" w:noVBand="1"/>
      </w:tblPr>
      <w:tblGrid>
        <w:gridCol w:w="2372"/>
        <w:gridCol w:w="2480"/>
        <w:gridCol w:w="3050"/>
        <w:gridCol w:w="1161"/>
      </w:tblGrid>
      <w:tr w:rsidR="00703F18" w:rsidRPr="00703F18" w14:paraId="6F7E1214" w14:textId="77777777" w:rsidTr="009D2E20">
        <w:trPr>
          <w:trHeight w:val="517"/>
          <w:tblHeader/>
        </w:trPr>
        <w:tc>
          <w:tcPr>
            <w:tcW w:w="2372" w:type="dxa"/>
            <w:shd w:val="clear" w:color="auto" w:fill="BFBFBF" w:themeFill="background1" w:themeFillShade="BF"/>
          </w:tcPr>
          <w:p w14:paraId="32119DB4" w14:textId="77777777" w:rsidR="003957A3" w:rsidRPr="00703F18" w:rsidRDefault="003957A3" w:rsidP="009D2E20">
            <w:pPr>
              <w:rPr>
                <w:b/>
                <w:color w:val="000000" w:themeColor="text1"/>
              </w:rPr>
            </w:pPr>
            <w:r w:rsidRPr="00703F18">
              <w:rPr>
                <w:b/>
                <w:color w:val="000000" w:themeColor="text1"/>
              </w:rPr>
              <w:t>Recombinant region</w:t>
            </w:r>
          </w:p>
        </w:tc>
        <w:tc>
          <w:tcPr>
            <w:tcW w:w="2480" w:type="dxa"/>
            <w:shd w:val="clear" w:color="auto" w:fill="BFBFBF" w:themeFill="background1" w:themeFillShade="BF"/>
          </w:tcPr>
          <w:p w14:paraId="68DBBF28" w14:textId="77777777" w:rsidR="003957A3" w:rsidRPr="00703F18" w:rsidRDefault="003957A3" w:rsidP="009D2E20">
            <w:pPr>
              <w:rPr>
                <w:b/>
                <w:color w:val="000000" w:themeColor="text1"/>
              </w:rPr>
            </w:pPr>
            <w:r w:rsidRPr="00703F18">
              <w:rPr>
                <w:b/>
                <w:color w:val="000000" w:themeColor="text1"/>
              </w:rPr>
              <w:t>Resultant recombinant</w:t>
            </w:r>
          </w:p>
        </w:tc>
        <w:tc>
          <w:tcPr>
            <w:tcW w:w="3050" w:type="dxa"/>
            <w:shd w:val="clear" w:color="auto" w:fill="BFBFBF" w:themeFill="background1" w:themeFillShade="BF"/>
          </w:tcPr>
          <w:p w14:paraId="51414748" w14:textId="77777777" w:rsidR="003957A3" w:rsidRPr="00703F18" w:rsidRDefault="003957A3" w:rsidP="009D2E20">
            <w:pPr>
              <w:rPr>
                <w:b/>
                <w:color w:val="000000" w:themeColor="text1"/>
              </w:rPr>
            </w:pPr>
            <w:r w:rsidRPr="00703F18">
              <w:rPr>
                <w:b/>
                <w:color w:val="000000" w:themeColor="text1"/>
              </w:rPr>
              <w:t>Outcome</w:t>
            </w:r>
          </w:p>
        </w:tc>
        <w:tc>
          <w:tcPr>
            <w:tcW w:w="1161" w:type="dxa"/>
            <w:shd w:val="clear" w:color="auto" w:fill="BFBFBF" w:themeFill="background1" w:themeFillShade="BF"/>
          </w:tcPr>
          <w:p w14:paraId="5058889F" w14:textId="77777777" w:rsidR="003957A3" w:rsidRPr="00703F18" w:rsidRDefault="003957A3" w:rsidP="009D2E20">
            <w:pPr>
              <w:rPr>
                <w:b/>
                <w:color w:val="000000" w:themeColor="text1"/>
              </w:rPr>
            </w:pPr>
            <w:r w:rsidRPr="00703F18">
              <w:rPr>
                <w:b/>
                <w:color w:val="000000" w:themeColor="text1"/>
              </w:rPr>
              <w:t xml:space="preserve">Likelihood </w:t>
            </w:r>
          </w:p>
        </w:tc>
      </w:tr>
      <w:tr w:rsidR="00703F18" w:rsidRPr="00703F18" w14:paraId="22F64AD2" w14:textId="77777777" w:rsidTr="009D2E20">
        <w:trPr>
          <w:trHeight w:val="2304"/>
        </w:trPr>
        <w:tc>
          <w:tcPr>
            <w:tcW w:w="2372" w:type="dxa"/>
          </w:tcPr>
          <w:p w14:paraId="52886CB2" w14:textId="77777777" w:rsidR="003957A3" w:rsidRPr="00703F18" w:rsidRDefault="003957A3" w:rsidP="009D2E20">
            <w:pPr>
              <w:rPr>
                <w:color w:val="000000" w:themeColor="text1"/>
              </w:rPr>
            </w:pPr>
            <w:r w:rsidRPr="00703F18">
              <w:rPr>
                <w:color w:val="000000" w:themeColor="text1"/>
              </w:rPr>
              <w:t xml:space="preserve">Gene sequences for viral replication between </w:t>
            </w:r>
          </w:p>
          <w:p w14:paraId="56BEC400"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6F721DF2"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07F3C6FA"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GMO without functional gene sequences for </w:t>
            </w:r>
            <w:r w:rsidRPr="00703F18">
              <w:rPr>
                <w:rFonts w:cs="Calibri"/>
                <w:color w:val="000000" w:themeColor="text1"/>
              </w:rPr>
              <w:t>immune-evasion properties</w:t>
            </w:r>
          </w:p>
          <w:p w14:paraId="2E251440"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w:t>
            </w:r>
            <w:proofErr w:type="spellStart"/>
            <w:r w:rsidRPr="00703F18">
              <w:rPr>
                <w:color w:val="000000" w:themeColor="text1"/>
              </w:rPr>
              <w:t>AdV</w:t>
            </w:r>
            <w:proofErr w:type="spellEnd"/>
            <w:r w:rsidRPr="00703F18">
              <w:rPr>
                <w:color w:val="000000" w:themeColor="text1"/>
              </w:rPr>
              <w:t xml:space="preserve"> </w:t>
            </w:r>
            <w:r w:rsidRPr="00703F18">
              <w:rPr>
                <w:color w:val="000000" w:themeColor="text1"/>
              </w:rPr>
              <w:lastRenderedPageBreak/>
              <w:t xml:space="preserve">with </w:t>
            </w:r>
            <w:proofErr w:type="spellStart"/>
            <w:r w:rsidRPr="00703F18">
              <w:rPr>
                <w:i/>
                <w:iCs/>
                <w:color w:val="000000" w:themeColor="text1"/>
              </w:rPr>
              <w:t>hIFN</w:t>
            </w:r>
            <w:proofErr w:type="spellEnd"/>
            <w:r w:rsidRPr="00703F18">
              <w:rPr>
                <w:i/>
                <w:iCs/>
                <w:color w:val="000000" w:themeColor="text1"/>
              </w:rPr>
              <w:t>-</w:t>
            </w:r>
            <w:r w:rsidRPr="00703F18">
              <w:rPr>
                <w:rFonts w:cs="Calibri"/>
                <w:i/>
                <w:iCs/>
                <w:color w:val="000000" w:themeColor="text1"/>
              </w:rPr>
              <w:t>α2b</w:t>
            </w:r>
            <w:r w:rsidRPr="00703F18">
              <w:rPr>
                <w:color w:val="000000" w:themeColor="text1"/>
              </w:rPr>
              <w:t xml:space="preserve"> gene cassette</w:t>
            </w:r>
          </w:p>
        </w:tc>
        <w:tc>
          <w:tcPr>
            <w:tcW w:w="3050" w:type="dxa"/>
          </w:tcPr>
          <w:p w14:paraId="5F86B443"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lastRenderedPageBreak/>
              <w:t>Replication competent GMO that is still less immune evasive than WT</w:t>
            </w:r>
          </w:p>
          <w:p w14:paraId="4DBE6673" w14:textId="19ADA93C"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incompetent </w:t>
            </w:r>
            <w:proofErr w:type="spellStart"/>
            <w:r w:rsidRPr="00703F18">
              <w:rPr>
                <w:color w:val="000000" w:themeColor="text1"/>
              </w:rPr>
              <w:t>AdV</w:t>
            </w:r>
            <w:proofErr w:type="spellEnd"/>
            <w:r w:rsidRPr="00703F18">
              <w:rPr>
                <w:color w:val="000000" w:themeColor="text1"/>
              </w:rPr>
              <w:t xml:space="preserve"> expressing IFN-</w:t>
            </w:r>
            <w:r w:rsidRPr="00703F18">
              <w:rPr>
                <w:rFonts w:cs="Calibri"/>
                <w:color w:val="000000" w:themeColor="text1"/>
              </w:rPr>
              <w:t>α2b</w:t>
            </w:r>
            <w:r w:rsidRPr="00703F18">
              <w:rPr>
                <w:color w:val="000000" w:themeColor="text1"/>
              </w:rPr>
              <w:t xml:space="preserve"> protein</w:t>
            </w:r>
          </w:p>
        </w:tc>
        <w:tc>
          <w:tcPr>
            <w:tcW w:w="1161" w:type="dxa"/>
          </w:tcPr>
          <w:p w14:paraId="1C6D2A23" w14:textId="77777777" w:rsidR="003957A3" w:rsidRPr="00703F18" w:rsidRDefault="003957A3" w:rsidP="009D2E20">
            <w:pPr>
              <w:rPr>
                <w:color w:val="000000" w:themeColor="text1"/>
              </w:rPr>
            </w:pPr>
            <w:r w:rsidRPr="00703F18">
              <w:rPr>
                <w:color w:val="000000" w:themeColor="text1"/>
              </w:rPr>
              <w:t xml:space="preserve">Unlikely </w:t>
            </w:r>
          </w:p>
        </w:tc>
      </w:tr>
      <w:tr w:rsidR="00703F18" w:rsidRPr="00703F18" w14:paraId="087EDFEC" w14:textId="77777777" w:rsidTr="009D2E20">
        <w:trPr>
          <w:trHeight w:val="907"/>
        </w:trPr>
        <w:tc>
          <w:tcPr>
            <w:tcW w:w="2372" w:type="dxa"/>
          </w:tcPr>
          <w:p w14:paraId="5DA1266A" w14:textId="77777777" w:rsidR="003957A3" w:rsidRPr="00703F18" w:rsidRDefault="003957A3" w:rsidP="009D2E20">
            <w:pPr>
              <w:rPr>
                <w:color w:val="000000" w:themeColor="text1"/>
              </w:rPr>
            </w:pPr>
            <w:r w:rsidRPr="00703F18">
              <w:rPr>
                <w:color w:val="000000" w:themeColor="text1"/>
              </w:rPr>
              <w:t xml:space="preserve">Gene sequences for </w:t>
            </w:r>
            <w:r w:rsidRPr="00703F18">
              <w:rPr>
                <w:rFonts w:cs="Calibri"/>
                <w:color w:val="000000" w:themeColor="text1"/>
              </w:rPr>
              <w:t>immune-evasion properties</w:t>
            </w:r>
            <w:r w:rsidRPr="00703F18">
              <w:rPr>
                <w:color w:val="000000" w:themeColor="text1"/>
              </w:rPr>
              <w:t xml:space="preserve"> between</w:t>
            </w:r>
          </w:p>
          <w:p w14:paraId="0A4B9F55"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122C25CC"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42B2B323"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GMO with functional gene sequences for </w:t>
            </w:r>
            <w:r w:rsidRPr="00703F18">
              <w:rPr>
                <w:rFonts w:cs="Calibri"/>
                <w:color w:val="000000" w:themeColor="text1"/>
              </w:rPr>
              <w:t>immune-evasion properties</w:t>
            </w:r>
          </w:p>
          <w:p w14:paraId="5C8F301D"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functional gene sequences for </w:t>
            </w:r>
            <w:r w:rsidRPr="00703F18">
              <w:rPr>
                <w:rFonts w:cs="Calibri"/>
                <w:color w:val="000000" w:themeColor="text1"/>
              </w:rPr>
              <w:t>immune-evasion properties</w:t>
            </w:r>
          </w:p>
        </w:tc>
        <w:tc>
          <w:tcPr>
            <w:tcW w:w="3050" w:type="dxa"/>
          </w:tcPr>
          <w:p w14:paraId="7C359FAC" w14:textId="346C07C1"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incompetent GMO with </w:t>
            </w:r>
            <w:r w:rsidR="000D6D8E" w:rsidRPr="00703F18">
              <w:rPr>
                <w:color w:val="000000" w:themeColor="text1"/>
              </w:rPr>
              <w:t>modified</w:t>
            </w:r>
            <w:r w:rsidRPr="00703F18">
              <w:rPr>
                <w:color w:val="000000" w:themeColor="text1"/>
              </w:rPr>
              <w:t xml:space="preserve"> immune-evasive properties</w:t>
            </w:r>
          </w:p>
          <w:p w14:paraId="303B9334"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immune-evasive properties (a wild </w:t>
            </w:r>
            <w:proofErr w:type="gramStart"/>
            <w:r w:rsidRPr="00703F18">
              <w:rPr>
                <w:color w:val="000000" w:themeColor="text1"/>
              </w:rPr>
              <w:t>type</w:t>
            </w:r>
            <w:proofErr w:type="gramEnd"/>
            <w:r w:rsidRPr="00703F18">
              <w:rPr>
                <w:color w:val="000000" w:themeColor="text1"/>
              </w:rPr>
              <w:t xml:space="preserve"> adenovirus unable to evade the host immune system)</w:t>
            </w:r>
          </w:p>
        </w:tc>
        <w:tc>
          <w:tcPr>
            <w:tcW w:w="1161" w:type="dxa"/>
          </w:tcPr>
          <w:p w14:paraId="788B0655" w14:textId="77777777" w:rsidR="003957A3" w:rsidRPr="00703F18" w:rsidRDefault="003957A3" w:rsidP="009D2E20">
            <w:pPr>
              <w:rPr>
                <w:color w:val="000000" w:themeColor="text1"/>
              </w:rPr>
            </w:pPr>
            <w:r w:rsidRPr="00703F18">
              <w:rPr>
                <w:color w:val="000000" w:themeColor="text1"/>
              </w:rPr>
              <w:t xml:space="preserve">Unlikely </w:t>
            </w:r>
          </w:p>
        </w:tc>
      </w:tr>
      <w:tr w:rsidR="00703F18" w:rsidRPr="00703F18" w14:paraId="74AE1257" w14:textId="77777777" w:rsidTr="009D2E20">
        <w:trPr>
          <w:trHeight w:val="2304"/>
        </w:trPr>
        <w:tc>
          <w:tcPr>
            <w:tcW w:w="2372" w:type="dxa"/>
          </w:tcPr>
          <w:p w14:paraId="066109B9" w14:textId="77777777" w:rsidR="003957A3" w:rsidRPr="00703F18" w:rsidRDefault="003957A3" w:rsidP="009D2E20">
            <w:pPr>
              <w:rPr>
                <w:color w:val="000000" w:themeColor="text1"/>
              </w:rPr>
            </w:pPr>
            <w:r w:rsidRPr="00703F18">
              <w:rPr>
                <w:color w:val="000000" w:themeColor="text1"/>
              </w:rPr>
              <w:t>Capsid genes (</w:t>
            </w:r>
            <w:proofErr w:type="spellStart"/>
            <w:r w:rsidRPr="00703F18">
              <w:rPr>
                <w:color w:val="000000" w:themeColor="text1"/>
              </w:rPr>
              <w:t>hexon</w:t>
            </w:r>
            <w:proofErr w:type="spellEnd"/>
            <w:r w:rsidRPr="00703F18">
              <w:rPr>
                <w:color w:val="000000" w:themeColor="text1"/>
              </w:rPr>
              <w:t>, penton and fibre) between</w:t>
            </w:r>
          </w:p>
          <w:p w14:paraId="53BEBF65"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GMO </w:t>
            </w:r>
          </w:p>
          <w:p w14:paraId="57C16094" w14:textId="77777777" w:rsidR="003957A3" w:rsidRPr="00703F18" w:rsidRDefault="003957A3" w:rsidP="009D2E20">
            <w:pPr>
              <w:pStyle w:val="ListParagraph"/>
              <w:numPr>
                <w:ilvl w:val="0"/>
                <w:numId w:val="46"/>
              </w:numPr>
              <w:ind w:left="311"/>
              <w:rPr>
                <w:color w:val="000000" w:themeColor="text1"/>
              </w:rPr>
            </w:pPr>
            <w:r w:rsidRPr="00703F18">
              <w:rPr>
                <w:color w:val="000000" w:themeColor="text1"/>
              </w:rPr>
              <w:t xml:space="preserve">WT </w:t>
            </w:r>
            <w:proofErr w:type="spellStart"/>
            <w:r w:rsidRPr="00703F18">
              <w:rPr>
                <w:color w:val="000000" w:themeColor="text1"/>
              </w:rPr>
              <w:t>AdV</w:t>
            </w:r>
            <w:proofErr w:type="spellEnd"/>
          </w:p>
        </w:tc>
        <w:tc>
          <w:tcPr>
            <w:tcW w:w="2480" w:type="dxa"/>
          </w:tcPr>
          <w:p w14:paraId="30A2F445"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incompetent GMO with different </w:t>
            </w:r>
            <w:proofErr w:type="spellStart"/>
            <w:r w:rsidRPr="00703F18">
              <w:rPr>
                <w:color w:val="000000" w:themeColor="text1"/>
              </w:rPr>
              <w:t>hexon</w:t>
            </w:r>
            <w:proofErr w:type="spellEnd"/>
            <w:r w:rsidRPr="00703F18">
              <w:rPr>
                <w:color w:val="000000" w:themeColor="text1"/>
              </w:rPr>
              <w:t>, penton or fibre</w:t>
            </w:r>
          </w:p>
          <w:p w14:paraId="7681C11F" w14:textId="77777777" w:rsidR="003957A3" w:rsidRPr="00703F18" w:rsidRDefault="003957A3" w:rsidP="009D2E20">
            <w:pPr>
              <w:pStyle w:val="ListParagraph"/>
              <w:numPr>
                <w:ilvl w:val="0"/>
                <w:numId w:val="45"/>
              </w:numPr>
              <w:ind w:left="320"/>
              <w:rPr>
                <w:color w:val="000000" w:themeColor="text1"/>
              </w:rPr>
            </w:pPr>
            <w:r w:rsidRPr="00703F18">
              <w:rPr>
                <w:color w:val="000000" w:themeColor="text1"/>
              </w:rPr>
              <w:t xml:space="preserve">Replication competent </w:t>
            </w:r>
            <w:proofErr w:type="spellStart"/>
            <w:r w:rsidRPr="00703F18">
              <w:rPr>
                <w:color w:val="000000" w:themeColor="text1"/>
              </w:rPr>
              <w:t>AdV</w:t>
            </w:r>
            <w:proofErr w:type="spellEnd"/>
            <w:r w:rsidRPr="00703F18">
              <w:rPr>
                <w:color w:val="000000" w:themeColor="text1"/>
              </w:rPr>
              <w:t xml:space="preserve"> without the </w:t>
            </w:r>
            <w:proofErr w:type="spellStart"/>
            <w:r w:rsidRPr="00703F18">
              <w:rPr>
                <w:i/>
                <w:iCs/>
                <w:color w:val="000000" w:themeColor="text1"/>
              </w:rPr>
              <w:t>hIFN</w:t>
            </w:r>
            <w:proofErr w:type="spellEnd"/>
            <w:r w:rsidRPr="00703F18">
              <w:rPr>
                <w:i/>
                <w:iCs/>
                <w:color w:val="000000" w:themeColor="text1"/>
              </w:rPr>
              <w:t>-α2b</w:t>
            </w:r>
            <w:r w:rsidRPr="00703F18">
              <w:rPr>
                <w:color w:val="000000" w:themeColor="text1"/>
              </w:rPr>
              <w:t xml:space="preserve"> gene cassette but with different </w:t>
            </w:r>
            <w:proofErr w:type="spellStart"/>
            <w:r w:rsidRPr="00703F18">
              <w:rPr>
                <w:color w:val="000000" w:themeColor="text1"/>
              </w:rPr>
              <w:t>hexon</w:t>
            </w:r>
            <w:proofErr w:type="spellEnd"/>
            <w:r w:rsidRPr="00703F18">
              <w:rPr>
                <w:color w:val="000000" w:themeColor="text1"/>
              </w:rPr>
              <w:t>, penton or fibre</w:t>
            </w:r>
          </w:p>
        </w:tc>
        <w:tc>
          <w:tcPr>
            <w:tcW w:w="3050" w:type="dxa"/>
          </w:tcPr>
          <w:p w14:paraId="6ADABC18"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Altered tropism and host range of GMO</w:t>
            </w:r>
          </w:p>
          <w:p w14:paraId="646ECC0B" w14:textId="77777777" w:rsidR="003957A3" w:rsidRPr="00703F18" w:rsidRDefault="003957A3" w:rsidP="009D2E20">
            <w:pPr>
              <w:pStyle w:val="ListParagraph"/>
              <w:numPr>
                <w:ilvl w:val="0"/>
                <w:numId w:val="45"/>
              </w:numPr>
              <w:ind w:left="410"/>
              <w:rPr>
                <w:color w:val="000000" w:themeColor="text1"/>
              </w:rPr>
            </w:pPr>
            <w:r w:rsidRPr="00703F18">
              <w:rPr>
                <w:color w:val="000000" w:themeColor="text1"/>
              </w:rPr>
              <w:t xml:space="preserve">Altered tropism and host range of </w:t>
            </w:r>
            <w:proofErr w:type="spellStart"/>
            <w:r w:rsidRPr="00703F18">
              <w:rPr>
                <w:color w:val="000000" w:themeColor="text1"/>
              </w:rPr>
              <w:t>AdV</w:t>
            </w:r>
            <w:proofErr w:type="spellEnd"/>
          </w:p>
        </w:tc>
        <w:tc>
          <w:tcPr>
            <w:tcW w:w="1161" w:type="dxa"/>
          </w:tcPr>
          <w:p w14:paraId="0996AE6C" w14:textId="77777777" w:rsidR="003957A3" w:rsidRPr="00703F18" w:rsidRDefault="003957A3" w:rsidP="009D2E20">
            <w:pPr>
              <w:rPr>
                <w:color w:val="000000" w:themeColor="text1"/>
              </w:rPr>
            </w:pPr>
            <w:r w:rsidRPr="00703F18">
              <w:rPr>
                <w:color w:val="000000" w:themeColor="text1"/>
              </w:rPr>
              <w:t>Highly unlikely</w:t>
            </w:r>
          </w:p>
        </w:tc>
      </w:tr>
    </w:tbl>
    <w:p w14:paraId="64DE8FC5" w14:textId="625D2A9B" w:rsidR="003829E8" w:rsidRPr="004875A4" w:rsidRDefault="003957A3" w:rsidP="003957A3">
      <w:pPr>
        <w:pStyle w:val="RARMPnumberedparagraphs"/>
        <w:rPr>
          <w:color w:val="000000" w:themeColor="text1"/>
        </w:rPr>
      </w:pPr>
      <w:r w:rsidRPr="004875A4">
        <w:rPr>
          <w:color w:val="000000" w:themeColor="text1"/>
        </w:rPr>
        <w:t>In the event of homologous recombination in the gene sequences responsible for viral replication, the GMO could regain its gene sequences for viral replication, or the corresponding region of the WT-</w:t>
      </w:r>
      <w:proofErr w:type="spellStart"/>
      <w:r w:rsidRPr="004875A4">
        <w:rPr>
          <w:color w:val="000000" w:themeColor="text1"/>
        </w:rPr>
        <w:t>AdV</w:t>
      </w:r>
      <w:proofErr w:type="spellEnd"/>
      <w:r w:rsidRPr="004875A4">
        <w:rPr>
          <w:color w:val="000000" w:themeColor="text1"/>
        </w:rPr>
        <w:t>, and become replication competent, but lose the expression cassette encoding the IFN-α2b protein. The WT-</w:t>
      </w:r>
      <w:proofErr w:type="spellStart"/>
      <w:r w:rsidRPr="004875A4">
        <w:rPr>
          <w:color w:val="000000" w:themeColor="text1"/>
        </w:rPr>
        <w:t>AdV</w:t>
      </w:r>
      <w:proofErr w:type="spellEnd"/>
      <w:r w:rsidRPr="004875A4">
        <w:rPr>
          <w:color w:val="000000" w:themeColor="text1"/>
        </w:rPr>
        <w:t xml:space="preserve"> could receive the </w:t>
      </w:r>
      <w:proofErr w:type="spellStart"/>
      <w:r w:rsidRPr="00A02DED">
        <w:rPr>
          <w:i/>
          <w:iCs/>
          <w:color w:val="000000" w:themeColor="text1"/>
        </w:rPr>
        <w:t>hIFN</w:t>
      </w:r>
      <w:proofErr w:type="spellEnd"/>
      <w:r w:rsidRPr="00A02DED">
        <w:rPr>
          <w:i/>
          <w:iCs/>
          <w:color w:val="000000" w:themeColor="text1"/>
        </w:rPr>
        <w:t>-α2b</w:t>
      </w:r>
      <w:r w:rsidRPr="004875A4">
        <w:rPr>
          <w:color w:val="000000" w:themeColor="text1"/>
        </w:rPr>
        <w:t xml:space="preserve"> expression cassette but lose the gene sequences for viral replication, making it replication-incompetent. This would result in a replication competent GMO without the </w:t>
      </w:r>
      <w:proofErr w:type="spellStart"/>
      <w:r w:rsidRPr="00A02DED">
        <w:rPr>
          <w:i/>
          <w:iCs/>
          <w:color w:val="000000" w:themeColor="text1"/>
        </w:rPr>
        <w:t>hIFN</w:t>
      </w:r>
      <w:proofErr w:type="spellEnd"/>
      <w:r w:rsidRPr="00A02DED">
        <w:rPr>
          <w:i/>
          <w:iCs/>
          <w:color w:val="000000" w:themeColor="text1"/>
        </w:rPr>
        <w:t>-α2b</w:t>
      </w:r>
      <w:r w:rsidRPr="004875A4">
        <w:rPr>
          <w:color w:val="000000" w:themeColor="text1"/>
        </w:rPr>
        <w:t xml:space="preserve"> expression cassette and functional gene sequences for immune-evasion properties; and a replication incompetent </w:t>
      </w:r>
      <w:proofErr w:type="spellStart"/>
      <w:r w:rsidRPr="004875A4">
        <w:rPr>
          <w:color w:val="000000" w:themeColor="text1"/>
        </w:rPr>
        <w:t>AdV</w:t>
      </w:r>
      <w:proofErr w:type="spellEnd"/>
      <w:r w:rsidRPr="004875A4">
        <w:rPr>
          <w:color w:val="000000" w:themeColor="text1"/>
        </w:rPr>
        <w:t xml:space="preserve"> expressing the IFN-α2b protein. The resulting viruses are unlikely to be more pathogenic than a WT-</w:t>
      </w:r>
      <w:proofErr w:type="spellStart"/>
      <w:r w:rsidRPr="004875A4">
        <w:rPr>
          <w:color w:val="000000" w:themeColor="text1"/>
        </w:rPr>
        <w:t>AdV</w:t>
      </w:r>
      <w:proofErr w:type="spellEnd"/>
      <w:r w:rsidRPr="004875A4">
        <w:rPr>
          <w:color w:val="000000" w:themeColor="text1"/>
        </w:rPr>
        <w:t xml:space="preserve"> strain.</w:t>
      </w:r>
    </w:p>
    <w:p w14:paraId="1A47C997" w14:textId="3BCE63C2" w:rsidR="003957A3" w:rsidRPr="004875A4" w:rsidRDefault="00F05DB6" w:rsidP="003957A3">
      <w:pPr>
        <w:pStyle w:val="RARMPnumberedparagraphs"/>
        <w:rPr>
          <w:color w:val="000000" w:themeColor="text1"/>
        </w:rPr>
      </w:pPr>
      <w:r w:rsidRPr="004875A4">
        <w:rPr>
          <w:color w:val="000000" w:themeColor="text1"/>
        </w:rPr>
        <w:t xml:space="preserve">Alternatively, in the event of homologous recombination in the gene sequences responsible for immune-evasion properties, the GMO could regain its gene sequences for immune-evasion properties but remain replication incompetent due to still lacking the genes for viral replication. The recombinant virus would not be able to replicate and would eventually be cleared by the immune system of the host. As an </w:t>
      </w:r>
      <w:proofErr w:type="spellStart"/>
      <w:r w:rsidRPr="004875A4">
        <w:rPr>
          <w:color w:val="000000" w:themeColor="text1"/>
        </w:rPr>
        <w:t>HAdV</w:t>
      </w:r>
      <w:proofErr w:type="spellEnd"/>
      <w:r w:rsidRPr="004875A4">
        <w:rPr>
          <w:color w:val="000000" w:themeColor="text1"/>
        </w:rPr>
        <w:t>, the recombinant virus is not expected to cause disease in animals.</w:t>
      </w:r>
    </w:p>
    <w:p w14:paraId="643663D2" w14:textId="240AE4BF" w:rsidR="00F05DB6" w:rsidRDefault="00F05DB6" w:rsidP="003957A3">
      <w:pPr>
        <w:pStyle w:val="RARMPnumberedparagraphs"/>
      </w:pPr>
      <w:r w:rsidRPr="00F05DB6">
        <w:t xml:space="preserve">As discussed in Chapter 1, Section </w:t>
      </w:r>
      <w:r w:rsidRPr="00F05DB6">
        <w:fldChar w:fldCharType="begin"/>
      </w:r>
      <w:r w:rsidRPr="00F05DB6">
        <w:instrText xml:space="preserve"> REF _Ref199414120 \n \h </w:instrText>
      </w:r>
      <w:r w:rsidRPr="00F05DB6">
        <w:fldChar w:fldCharType="separate"/>
      </w:r>
      <w:r w:rsidRPr="00F05DB6">
        <w:t>3.4</w:t>
      </w:r>
      <w:r w:rsidRPr="00F05DB6">
        <w:fldChar w:fldCharType="end"/>
      </w:r>
      <w:r w:rsidRPr="00F05DB6">
        <w:t xml:space="preserve">, recombination is an important source of genetic variation in viruses. Recombination of genes encoding structural proteins, such as </w:t>
      </w:r>
      <w:proofErr w:type="spellStart"/>
      <w:r w:rsidRPr="00F05DB6">
        <w:t>hexon</w:t>
      </w:r>
      <w:proofErr w:type="spellEnd"/>
      <w:r w:rsidRPr="00F05DB6">
        <w:t xml:space="preserve">, penton and </w:t>
      </w:r>
      <w:r w:rsidRPr="00F05DB6">
        <w:lastRenderedPageBreak/>
        <w:t xml:space="preserve">fibre regions of </w:t>
      </w:r>
      <w:proofErr w:type="spellStart"/>
      <w:r w:rsidRPr="00F05DB6">
        <w:t>AdV</w:t>
      </w:r>
      <w:proofErr w:type="spellEnd"/>
      <w:r w:rsidRPr="00F05DB6">
        <w:t xml:space="preserve"> can result in altered cell tropism. Recombination in </w:t>
      </w:r>
      <w:proofErr w:type="spellStart"/>
      <w:r w:rsidRPr="00F05DB6">
        <w:t>HAdV</w:t>
      </w:r>
      <w:proofErr w:type="spellEnd"/>
      <w:r w:rsidRPr="00F05DB6">
        <w:t xml:space="preserve">-C occurs most frequently in the E1 and E4 regions. The likelihood of homologous recombination at the </w:t>
      </w:r>
      <w:proofErr w:type="spellStart"/>
      <w:r w:rsidRPr="00F05DB6">
        <w:t>hexon</w:t>
      </w:r>
      <w:proofErr w:type="spellEnd"/>
      <w:r w:rsidRPr="00F05DB6">
        <w:t xml:space="preserve">, penton and fibre regions of </w:t>
      </w:r>
      <w:proofErr w:type="spellStart"/>
      <w:r w:rsidRPr="00F05DB6">
        <w:t>AdV</w:t>
      </w:r>
      <w:proofErr w:type="spellEnd"/>
      <w:r w:rsidRPr="00F05DB6">
        <w:t xml:space="preserve">, resulting in the GMO with an altered cell tropism is very low. In the event of recombination, the resulting </w:t>
      </w:r>
      <w:proofErr w:type="spellStart"/>
      <w:r w:rsidRPr="00F05DB6">
        <w:t>AdV</w:t>
      </w:r>
      <w:proofErr w:type="spellEnd"/>
      <w:r w:rsidRPr="00F05DB6">
        <w:t xml:space="preserve"> would remain replication incompetent</w:t>
      </w:r>
      <w:r>
        <w:t>.</w:t>
      </w:r>
    </w:p>
    <w:p w14:paraId="1006C966" w14:textId="69A84782" w:rsidR="00F05DB6" w:rsidRPr="00E65152" w:rsidRDefault="00F05DB6" w:rsidP="003957A3">
      <w:pPr>
        <w:pStyle w:val="RARMPnumberedparagraphs"/>
      </w:pPr>
      <w:r w:rsidRPr="00F05DB6">
        <w:t xml:space="preserve">If a recombinant replication competent </w:t>
      </w:r>
      <w:proofErr w:type="spellStart"/>
      <w:r w:rsidRPr="00F05DB6">
        <w:t>HAdV</w:t>
      </w:r>
      <w:proofErr w:type="spellEnd"/>
      <w:r w:rsidRPr="00F05DB6">
        <w:t xml:space="preserve"> is produced, it could be shed from the original host and transmitted to other hosts (human or animals) in the environment. These replication competent viruses would not contain the </w:t>
      </w:r>
      <w:proofErr w:type="spellStart"/>
      <w:r w:rsidRPr="00A02DED">
        <w:rPr>
          <w:i/>
          <w:iCs/>
        </w:rPr>
        <w:t>hIFN</w:t>
      </w:r>
      <w:proofErr w:type="spellEnd"/>
      <w:r w:rsidRPr="00A02DED">
        <w:rPr>
          <w:i/>
          <w:iCs/>
        </w:rPr>
        <w:t>-α2b</w:t>
      </w:r>
      <w:r w:rsidRPr="00F05DB6">
        <w:t xml:space="preserve"> expression cassette and would be </w:t>
      </w:r>
      <w:proofErr w:type="gramStart"/>
      <w:r w:rsidRPr="00F05DB6">
        <w:t>similar to</w:t>
      </w:r>
      <w:proofErr w:type="gramEnd"/>
      <w:r w:rsidRPr="00F05DB6">
        <w:t xml:space="preserve"> a WT-</w:t>
      </w:r>
      <w:proofErr w:type="spellStart"/>
      <w:r w:rsidRPr="00F05DB6">
        <w:t>AdV.</w:t>
      </w:r>
      <w:proofErr w:type="spellEnd"/>
      <w:r w:rsidRPr="00F05DB6">
        <w:t xml:space="preserve"> In addition, for a full reversion into a WT virus, multiple recombination events would need to occur, and this is highly unlikely</w:t>
      </w:r>
      <w:r>
        <w:t>.</w:t>
      </w:r>
    </w:p>
    <w:p w14:paraId="6AB5D3B8" w14:textId="77777777" w:rsidR="00FB7E35" w:rsidRPr="006E0388" w:rsidRDefault="00FB7E35" w:rsidP="00AF2557">
      <w:pPr>
        <w:pStyle w:val="5RARMP"/>
      </w:pPr>
      <w:r w:rsidRPr="006E0388">
        <w:t>Potential harm</w:t>
      </w:r>
    </w:p>
    <w:p w14:paraId="5C338573" w14:textId="3DADBF02" w:rsidR="00B901C7" w:rsidRDefault="00BF66CA" w:rsidP="001D17E3">
      <w:pPr>
        <w:pStyle w:val="RARMPnumberedparagraphs"/>
      </w:pPr>
      <w:r w:rsidRPr="00BF66CA">
        <w:t xml:space="preserve">If complementation were to occur, the number of replication incompetent GMO produced in the host cells would increase, resulting in increased expression of the IFN-α2b protein in the host. This is not expected to cause harm to affected individuals for reasons as discussed in Risk Scenario 1. Also, if the person exhibits any symptoms of </w:t>
      </w:r>
      <w:proofErr w:type="spellStart"/>
      <w:r w:rsidRPr="00BF66CA">
        <w:t>AdV</w:t>
      </w:r>
      <w:proofErr w:type="spellEnd"/>
      <w:r w:rsidRPr="00BF66CA">
        <w:t xml:space="preserve"> infection, effective antiviral treatments can be used to treat the infection</w:t>
      </w:r>
      <w:r w:rsidR="004C68B0">
        <w:t xml:space="preserve">. </w:t>
      </w:r>
    </w:p>
    <w:p w14:paraId="5E05FE78" w14:textId="37B623B9" w:rsidR="00BF66CA" w:rsidRPr="004C68B0" w:rsidRDefault="00BF66CA" w:rsidP="001D17E3">
      <w:pPr>
        <w:pStyle w:val="RARMPnumberedparagraphs"/>
      </w:pPr>
      <w:r w:rsidRPr="00BF66CA">
        <w:t xml:space="preserve">If homologous recombination were to occur it could result in the formation of replication competent HAdV-C5. The person exposed could potentially experience mild respiratory or eye infections depending on the route of exposure as described in Chapter 1, Section </w:t>
      </w:r>
      <w:r w:rsidRPr="00BF66CA">
        <w:fldChar w:fldCharType="begin"/>
      </w:r>
      <w:r w:rsidRPr="00BF66CA">
        <w:instrText xml:space="preserve"> REF _Ref216432270 \n \h </w:instrText>
      </w:r>
      <w:r w:rsidRPr="00BF66CA">
        <w:fldChar w:fldCharType="separate"/>
      </w:r>
      <w:r w:rsidRPr="00BF66CA">
        <w:t>3.1</w:t>
      </w:r>
      <w:r w:rsidRPr="00BF66CA">
        <w:fldChar w:fldCharType="end"/>
      </w:r>
      <w:r w:rsidRPr="00BF66CA">
        <w:t>. These infections are self-limiting and rarely need medical intervention. If needed, first line adenoviral antiviral therapies could be used (</w:t>
      </w:r>
      <w:r w:rsidRPr="00BF66CA">
        <w:fldChar w:fldCharType="begin"/>
      </w:r>
      <w:r w:rsidRPr="00BF66CA">
        <w:instrText xml:space="preserve"> REF _Ref57107833 \n \h </w:instrText>
      </w:r>
      <w:r w:rsidRPr="00BF66CA">
        <w:fldChar w:fldCharType="separate"/>
      </w:r>
      <w:r w:rsidRPr="00BF66CA">
        <w:t>Chapter 1</w:t>
      </w:r>
      <w:r w:rsidRPr="00BF66CA">
        <w:fldChar w:fldCharType="end"/>
      </w:r>
      <w:r w:rsidRPr="00BF66CA">
        <w:t xml:space="preserve">, Section </w:t>
      </w:r>
      <w:r w:rsidRPr="00BF66CA">
        <w:fldChar w:fldCharType="begin"/>
      </w:r>
      <w:r w:rsidRPr="00BF66CA">
        <w:instrText xml:space="preserve"> REF _Ref57107869 \n \h </w:instrText>
      </w:r>
      <w:r w:rsidRPr="00BF66CA">
        <w:fldChar w:fldCharType="separate"/>
      </w:r>
      <w:r w:rsidRPr="00BF66CA">
        <w:t>3.5.4</w:t>
      </w:r>
      <w:r w:rsidRPr="00BF66CA">
        <w:fldChar w:fldCharType="end"/>
      </w:r>
      <w:r w:rsidRPr="00BF66CA">
        <w:t>). Theoretically, if homologous recombination in the major capsid proteins (</w:t>
      </w:r>
      <w:proofErr w:type="spellStart"/>
      <w:r w:rsidRPr="00BF66CA">
        <w:t>HAdV</w:t>
      </w:r>
      <w:proofErr w:type="spellEnd"/>
      <w:r w:rsidRPr="00BF66CA">
        <w:t xml:space="preserve">-C) or other </w:t>
      </w:r>
      <w:proofErr w:type="spellStart"/>
      <w:r w:rsidRPr="00BF66CA">
        <w:t>AdV</w:t>
      </w:r>
      <w:proofErr w:type="spellEnd"/>
      <w:r w:rsidRPr="00BF66CA">
        <w:t xml:space="preserve"> regions with high homology occurs, it could alter the tropism and host range of the virus. However, occurrence of increased harm is unlikely as </w:t>
      </w:r>
      <w:proofErr w:type="spellStart"/>
      <w:r w:rsidRPr="00BF66CA">
        <w:t>AdV</w:t>
      </w:r>
      <w:proofErr w:type="spellEnd"/>
      <w:r w:rsidRPr="00BF66CA">
        <w:t xml:space="preserve"> do not usually cause severe disease and the resultant recombinants are unlikely to be more pathogenic than a WT-</w:t>
      </w:r>
      <w:proofErr w:type="spellStart"/>
      <w:r w:rsidRPr="00BF66CA">
        <w:t>AdV</w:t>
      </w:r>
      <w:proofErr w:type="spellEnd"/>
      <w:r w:rsidRPr="00BF66CA">
        <w:t xml:space="preserve"> strain</w:t>
      </w:r>
      <w:r>
        <w:t>.</w:t>
      </w:r>
    </w:p>
    <w:p w14:paraId="796A0B75" w14:textId="5F04F4E3" w:rsidR="00FB7E35" w:rsidRPr="00202707" w:rsidRDefault="00FB7E35" w:rsidP="00AF2557">
      <w:pPr>
        <w:pStyle w:val="5RARMP"/>
      </w:pPr>
      <w:r w:rsidRPr="00202707">
        <w:t>Conclusion</w:t>
      </w:r>
    </w:p>
    <w:p w14:paraId="69512DDB" w14:textId="5D188844" w:rsidR="006170CC" w:rsidRDefault="00BF66CA" w:rsidP="00B41F87">
      <w:pPr>
        <w:pStyle w:val="RARMPnumberedparagraphs"/>
      </w:pPr>
      <w:r w:rsidRPr="00BF66CA">
        <w:t xml:space="preserve">The exposure of people or animals to a GMO which has acquired the gene sequences responsible for viral replication, transferred the IFN-α2b protein to other </w:t>
      </w:r>
      <w:proofErr w:type="spellStart"/>
      <w:r w:rsidRPr="00BF66CA">
        <w:t>AdVs</w:t>
      </w:r>
      <w:proofErr w:type="spellEnd"/>
      <w:r w:rsidRPr="00BF66CA">
        <w:t xml:space="preserve"> or other recombinant viruses resulting in adverse immune response or disease in people or animals is not identified as a risk that could be greater than negligible. Therefore, it does not warrant further assessment</w:t>
      </w:r>
      <w:r w:rsidR="00FB7E35" w:rsidRPr="006404A8">
        <w:t>.</w:t>
      </w:r>
    </w:p>
    <w:p w14:paraId="3C0867E9" w14:textId="1567E344" w:rsidR="00C97EE9" w:rsidRDefault="00C97EE9" w:rsidP="006E06B6">
      <w:pPr>
        <w:pStyle w:val="2RARMP"/>
      </w:pPr>
      <w:bookmarkStart w:id="351" w:name="_Toc376438183"/>
      <w:bookmarkStart w:id="352" w:name="_Toc377743584"/>
      <w:bookmarkStart w:id="353" w:name="_Toc47536767"/>
      <w:bookmarkStart w:id="354" w:name="_Ref67492224"/>
      <w:bookmarkStart w:id="355" w:name="_Toc226975023"/>
      <w:r w:rsidRPr="006404A8">
        <w:t>Uncertainty</w:t>
      </w:r>
      <w:bookmarkEnd w:id="351"/>
      <w:bookmarkEnd w:id="352"/>
      <w:bookmarkEnd w:id="353"/>
      <w:bookmarkEnd w:id="354"/>
      <w:bookmarkEnd w:id="355"/>
    </w:p>
    <w:p w14:paraId="5FFB859E" w14:textId="77EBD401" w:rsidR="00C97EE9" w:rsidRPr="00703F18" w:rsidRDefault="00027FD3" w:rsidP="00027FD3">
      <w:pPr>
        <w:pStyle w:val="RARMPnumberedparagraphs"/>
        <w:rPr>
          <w:color w:val="000000" w:themeColor="text1"/>
        </w:rPr>
      </w:pPr>
      <w:r w:rsidRPr="00703F18">
        <w:rPr>
          <w:color w:val="000000" w:themeColor="text1"/>
        </w:rPr>
        <w:t xml:space="preserve">Uncertainty is an intrinsic property of risk analysis and is present in all aspects of risk analysis. This is discussed in detail in the Regulator’s </w:t>
      </w:r>
      <w:hyperlink r:id="rId44" w:history="1">
        <w:r w:rsidRPr="00703F18">
          <w:rPr>
            <w:rStyle w:val="Hyperlink"/>
            <w:color w:val="000000" w:themeColor="text1"/>
          </w:rPr>
          <w:t>Risk Analysis Framework</w:t>
        </w:r>
      </w:hyperlink>
      <w:r w:rsidRPr="00703F18">
        <w:rPr>
          <w:color w:val="000000" w:themeColor="text1"/>
        </w:rPr>
        <w:t xml:space="preserve"> document</w:t>
      </w:r>
      <w:r w:rsidR="00C97EE9" w:rsidRPr="00703F18">
        <w:rPr>
          <w:color w:val="000000" w:themeColor="text1"/>
        </w:rPr>
        <w:t>.</w:t>
      </w:r>
    </w:p>
    <w:p w14:paraId="359513AD" w14:textId="6CB999B3" w:rsidR="00FF59EC" w:rsidRPr="00703F18" w:rsidRDefault="00C97EE9" w:rsidP="0068644D">
      <w:pPr>
        <w:pStyle w:val="RARMPnumberedparagraphs"/>
        <w:rPr>
          <w:color w:val="000000" w:themeColor="text1"/>
        </w:rPr>
      </w:pPr>
      <w:r w:rsidRPr="00703F18">
        <w:rPr>
          <w:color w:val="000000" w:themeColor="text1"/>
        </w:rPr>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703F18">
        <w:rPr>
          <w:color w:val="000000" w:themeColor="text1"/>
        </w:rPr>
        <w:t>estimating</w:t>
      </w:r>
      <w:proofErr w:type="gramEnd"/>
      <w:r w:rsidRPr="00703F18">
        <w:rPr>
          <w:color w:val="000000" w:themeColor="text1"/>
        </w:rPr>
        <w:t xml:space="preserve"> the level of risk, the Regulator will take this uncertainty in</w:t>
      </w:r>
      <w:r w:rsidR="0068644D" w:rsidRPr="00703F18">
        <w:rPr>
          <w:color w:val="000000" w:themeColor="text1"/>
        </w:rPr>
        <w:t>to account in making decisions.</w:t>
      </w:r>
    </w:p>
    <w:p w14:paraId="274A6516" w14:textId="344CF1AF" w:rsidR="008057FB" w:rsidRPr="00703F18" w:rsidRDefault="00027FD3" w:rsidP="0068644D">
      <w:pPr>
        <w:pStyle w:val="RARMPnumberedparagraphs"/>
        <w:rPr>
          <w:color w:val="000000" w:themeColor="text1"/>
        </w:rPr>
      </w:pPr>
      <w:r w:rsidRPr="00703F18">
        <w:rPr>
          <w:color w:val="000000" w:themeColor="text1"/>
        </w:rPr>
        <w:t xml:space="preserve">Uncertainty can also arise from a lack of experience with the </w:t>
      </w:r>
      <w:bookmarkStart w:id="356" w:name="_Hlk199505137"/>
      <w:r w:rsidRPr="00703F18">
        <w:rPr>
          <w:color w:val="000000" w:themeColor="text1"/>
        </w:rPr>
        <w:t xml:space="preserve">GM therapeutic </w:t>
      </w:r>
      <w:bookmarkEnd w:id="356"/>
      <w:r w:rsidRPr="00703F18">
        <w:rPr>
          <w:color w:val="000000" w:themeColor="text1"/>
        </w:rPr>
        <w:t>itself. For DIR-2</w:t>
      </w:r>
      <w:r w:rsidR="00417FF1" w:rsidRPr="00703F18">
        <w:rPr>
          <w:color w:val="000000" w:themeColor="text1"/>
        </w:rPr>
        <w:t>23</w:t>
      </w:r>
      <w:r w:rsidRPr="00703F18">
        <w:rPr>
          <w:color w:val="000000" w:themeColor="text1"/>
        </w:rPr>
        <w:t xml:space="preserve">, while the potential for harm due to the RCA contamination following accidental exposure has been noted as an area of uncertainty (Risk Scenario 1), the GM therapeutic has been approved for commercial </w:t>
      </w:r>
      <w:r w:rsidR="00707B2F" w:rsidRPr="00703F18">
        <w:rPr>
          <w:color w:val="000000" w:themeColor="text1"/>
        </w:rPr>
        <w:t xml:space="preserve">supply in Australia by the Regulator and commercial </w:t>
      </w:r>
      <w:r w:rsidRPr="00703F18">
        <w:rPr>
          <w:color w:val="000000" w:themeColor="text1"/>
        </w:rPr>
        <w:t xml:space="preserve">clinical use </w:t>
      </w:r>
      <w:r w:rsidR="00707B2F" w:rsidRPr="00703F18">
        <w:rPr>
          <w:color w:val="000000" w:themeColor="text1"/>
        </w:rPr>
        <w:t>in the USA by</w:t>
      </w:r>
      <w:r w:rsidRPr="00703F18">
        <w:rPr>
          <w:color w:val="000000" w:themeColor="text1"/>
        </w:rPr>
        <w:t xml:space="preserve"> </w:t>
      </w:r>
      <w:r w:rsidR="00707B2F" w:rsidRPr="00703F18">
        <w:rPr>
          <w:color w:val="000000" w:themeColor="text1"/>
        </w:rPr>
        <w:t xml:space="preserve">the FDA </w:t>
      </w:r>
      <w:r w:rsidRPr="00703F18">
        <w:rPr>
          <w:color w:val="000000" w:themeColor="text1"/>
        </w:rPr>
        <w:t xml:space="preserve">(Chapter 1, Sections </w:t>
      </w:r>
      <w:r w:rsidRPr="00703F18">
        <w:rPr>
          <w:color w:val="000000" w:themeColor="text1"/>
        </w:rPr>
        <w:fldChar w:fldCharType="begin"/>
      </w:r>
      <w:r w:rsidRPr="00703F18">
        <w:rPr>
          <w:color w:val="000000" w:themeColor="text1"/>
        </w:rPr>
        <w:instrText xml:space="preserve"> REF _Ref216451926 \n \h </w:instrText>
      </w:r>
      <w:r w:rsidRPr="00703F18">
        <w:rPr>
          <w:color w:val="000000" w:themeColor="text1"/>
        </w:rPr>
      </w:r>
      <w:r w:rsidRPr="00703F18">
        <w:rPr>
          <w:color w:val="000000" w:themeColor="text1"/>
        </w:rPr>
        <w:fldChar w:fldCharType="separate"/>
      </w:r>
      <w:r w:rsidRPr="00703F18">
        <w:rPr>
          <w:color w:val="000000" w:themeColor="text1"/>
        </w:rPr>
        <w:t>6.1</w:t>
      </w:r>
      <w:r w:rsidRPr="00703F18">
        <w:rPr>
          <w:color w:val="000000" w:themeColor="text1"/>
        </w:rPr>
        <w:fldChar w:fldCharType="end"/>
      </w:r>
      <w:r w:rsidRPr="00703F18">
        <w:rPr>
          <w:color w:val="000000" w:themeColor="text1"/>
        </w:rPr>
        <w:t xml:space="preserve"> and </w:t>
      </w:r>
      <w:r w:rsidRPr="00703F18">
        <w:rPr>
          <w:color w:val="000000" w:themeColor="text1"/>
        </w:rPr>
        <w:fldChar w:fldCharType="begin"/>
      </w:r>
      <w:r w:rsidRPr="00703F18">
        <w:rPr>
          <w:color w:val="000000" w:themeColor="text1"/>
        </w:rPr>
        <w:instrText xml:space="preserve"> REF _Ref216451961 \n \h </w:instrText>
      </w:r>
      <w:r w:rsidRPr="00703F18">
        <w:rPr>
          <w:color w:val="000000" w:themeColor="text1"/>
        </w:rPr>
      </w:r>
      <w:r w:rsidRPr="00703F18">
        <w:rPr>
          <w:color w:val="000000" w:themeColor="text1"/>
        </w:rPr>
        <w:fldChar w:fldCharType="separate"/>
      </w:r>
      <w:r w:rsidRPr="00703F18">
        <w:rPr>
          <w:color w:val="000000" w:themeColor="text1"/>
        </w:rPr>
        <w:t>6.2</w:t>
      </w:r>
      <w:r w:rsidRPr="00703F18">
        <w:rPr>
          <w:color w:val="000000" w:themeColor="text1"/>
        </w:rPr>
        <w:fldChar w:fldCharType="end"/>
      </w:r>
      <w:r w:rsidRPr="00703F18">
        <w:rPr>
          <w:color w:val="000000" w:themeColor="text1"/>
        </w:rPr>
        <w:t xml:space="preserve">) and overall, treatment with the GM therapeutic was considered to be safe </w:t>
      </w:r>
      <w:r w:rsidRPr="00703F18">
        <w:rPr>
          <w:color w:val="000000" w:themeColor="text1"/>
        </w:rPr>
        <w:fldChar w:fldCharType="begin">
          <w:fldData xml:space="preserve">PEVuZE5vdGU+PENpdGU+PEF1dGhvcj5TdGVpbm1ldHo8L0F1dGhvcj48WWVhcj4yMDI0PC9ZZWFy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</w:fldData>
        </w:fldChar>
      </w:r>
      <w:r w:rsidR="00BB52B2" w:rsidRPr="00703F18">
        <w:rPr>
          <w:color w:val="000000" w:themeColor="text1"/>
        </w:rPr>
        <w:instrText xml:space="preserve"> ADDIN EN.CITE </w:instrText>
      </w:r>
      <w:r w:rsidR="00BB52B2" w:rsidRPr="00703F18">
        <w:rPr>
          <w:color w:val="000000" w:themeColor="text1"/>
        </w:rPr>
        <w:fldChar w:fldCharType="begin">
          <w:fldData xml:space="preserve">PEVuZE5vdGU+PENpdGU+PEF1dGhvcj5TdGVpbm1ldHo8L0F1dGhvcj48WWVhcj4yMDI0PC9ZZWFy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</w:fldData>
        </w:fldChar>
      </w:r>
      <w:r w:rsidR="00BB52B2" w:rsidRPr="00703F18">
        <w:rPr>
          <w:color w:val="000000" w:themeColor="text1"/>
        </w:rPr>
        <w:instrText xml:space="preserve"> ADDIN EN.CITE.DATA </w:instrText>
      </w:r>
      <w:r w:rsidR="00BB52B2" w:rsidRPr="00703F18">
        <w:rPr>
          <w:color w:val="000000" w:themeColor="text1"/>
        </w:rPr>
      </w:r>
      <w:r w:rsidR="00BB52B2" w:rsidRPr="00703F18">
        <w:rPr>
          <w:color w:val="000000" w:themeColor="text1"/>
        </w:rPr>
        <w:fldChar w:fldCharType="end"/>
      </w:r>
      <w:r w:rsidRPr="00703F18">
        <w:rPr>
          <w:color w:val="000000" w:themeColor="text1"/>
        </w:rPr>
      </w:r>
      <w:r w:rsidRPr="00703F18">
        <w:rPr>
          <w:color w:val="000000" w:themeColor="text1"/>
        </w:rPr>
        <w:fldChar w:fldCharType="separate"/>
      </w:r>
      <w:r w:rsidRPr="00703F18">
        <w:rPr>
          <w:noProof/>
          <w:color w:val="000000" w:themeColor="text1"/>
        </w:rPr>
        <w:t>(</w:t>
      </w:r>
      <w:hyperlink w:anchor="_ENREF_88" w:tooltip="Steinmetz, 2024 #41" w:history="1">
        <w:r w:rsidR="0027195B" w:rsidRPr="00703F18">
          <w:rPr>
            <w:noProof/>
            <w:color w:val="000000" w:themeColor="text1"/>
          </w:rPr>
          <w:t>Steinmetz et al., 2024</w:t>
        </w:r>
      </w:hyperlink>
      <w:r w:rsidRPr="00703F18">
        <w:rPr>
          <w:noProof/>
          <w:color w:val="000000" w:themeColor="text1"/>
        </w:rPr>
        <w:t>)</w:t>
      </w:r>
      <w:r w:rsidRPr="00703F18">
        <w:rPr>
          <w:color w:val="000000" w:themeColor="text1"/>
        </w:rPr>
        <w:fldChar w:fldCharType="end"/>
      </w:r>
      <w:r w:rsidR="002C2C5C" w:rsidRPr="00703F18">
        <w:rPr>
          <w:color w:val="000000" w:themeColor="text1"/>
        </w:rPr>
        <w:t xml:space="preserve">. </w:t>
      </w:r>
    </w:p>
    <w:p w14:paraId="66664177" w14:textId="3F2C0D14" w:rsidR="00C97EE9" w:rsidRPr="0062604E" w:rsidRDefault="00C97EE9" w:rsidP="00C97EE9">
      <w:pPr>
        <w:pStyle w:val="RARMPnumberedparagraphs"/>
      </w:pPr>
      <w:r w:rsidRPr="0062604E">
        <w:t xml:space="preserve">Overall, the </w:t>
      </w:r>
      <w:bookmarkStart w:id="357" w:name="_Hlk217311519"/>
      <w:r w:rsidRPr="0062604E">
        <w:t xml:space="preserve">level of uncertainty in this risk assessment is considered low </w:t>
      </w:r>
      <w:bookmarkEnd w:id="357"/>
      <w:r w:rsidRPr="0062604E">
        <w:t>and does not impact on the overall estimate of risk.</w:t>
      </w:r>
    </w:p>
    <w:p w14:paraId="75F7AD74" w14:textId="6EB1FED0" w:rsidR="00ED664E" w:rsidRPr="006404A8" w:rsidRDefault="00ED664E" w:rsidP="006E06B6">
      <w:pPr>
        <w:pStyle w:val="2RARMP"/>
      </w:pPr>
      <w:bookmarkStart w:id="358" w:name="_Toc47536768"/>
      <w:bookmarkStart w:id="359" w:name="_Ref329596058"/>
      <w:bookmarkStart w:id="360" w:name="_Ref329596068"/>
      <w:bookmarkStart w:id="361" w:name="_Toc337043444"/>
      <w:bookmarkStart w:id="362" w:name="_Toc376438182"/>
      <w:bookmarkStart w:id="363" w:name="_Toc377743583"/>
      <w:bookmarkStart w:id="364" w:name="_Toc226975024"/>
      <w:bookmarkStart w:id="365" w:name="_Toc209859597"/>
      <w:bookmarkStart w:id="366" w:name="_Toc274904777"/>
      <w:bookmarkStart w:id="367" w:name="_Toc291151830"/>
      <w:bookmarkStart w:id="368" w:name="_Toc309054030"/>
      <w:bookmarkStart w:id="369" w:name="_Toc309833722"/>
      <w:bookmarkEnd w:id="240"/>
      <w:r w:rsidRPr="006404A8">
        <w:lastRenderedPageBreak/>
        <w:t xml:space="preserve">Risk </w:t>
      </w:r>
      <w:r w:rsidR="00A2563E">
        <w:t>evaluation</w:t>
      </w:r>
      <w:bookmarkEnd w:id="358"/>
      <w:bookmarkEnd w:id="359"/>
      <w:bookmarkEnd w:id="360"/>
      <w:bookmarkEnd w:id="361"/>
      <w:bookmarkEnd w:id="362"/>
      <w:bookmarkEnd w:id="363"/>
      <w:bookmarkEnd w:id="364"/>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7CED4783"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85B15A1" w14:textId="14DB01DD" w:rsidR="00EB2070" w:rsidRPr="00612D03" w:rsidRDefault="00034873" w:rsidP="009C1795">
      <w:pPr>
        <w:pStyle w:val="RARMPnumberedparagraphs"/>
        <w:numPr>
          <w:ilvl w:val="0"/>
          <w:numId w:val="35"/>
        </w:numPr>
      </w:pPr>
      <w:r>
        <w:t>t</w:t>
      </w:r>
      <w:r w:rsidR="00A2563E" w:rsidRPr="006404A8">
        <w:t>he</w:t>
      </w:r>
      <w:r w:rsidR="008C7ABE">
        <w:t xml:space="preserve"> </w:t>
      </w:r>
      <w:r w:rsidR="008C7ABE" w:rsidRPr="00612D03">
        <w:t xml:space="preserve">GMO </w:t>
      </w:r>
      <w:r w:rsidR="009C1795" w:rsidRPr="00612D03">
        <w:t>is replication incompetent which will prevent it from multiplying in other cells</w:t>
      </w:r>
      <w:r w:rsidR="008C7ABE" w:rsidRPr="00612D03">
        <w:t>;</w:t>
      </w:r>
      <w:r w:rsidR="009C1795" w:rsidRPr="00612D03">
        <w:t xml:space="preserve"> and</w:t>
      </w:r>
    </w:p>
    <w:p w14:paraId="7109DF96" w14:textId="7D4F49CB" w:rsidR="00642AC6" w:rsidRPr="00612D03" w:rsidRDefault="00034873" w:rsidP="00B50718">
      <w:pPr>
        <w:pStyle w:val="RARMPnumberedparagraphs"/>
        <w:numPr>
          <w:ilvl w:val="0"/>
          <w:numId w:val="35"/>
        </w:numPr>
      </w:pPr>
      <w:r w:rsidRPr="00612D03">
        <w:t>t</w:t>
      </w:r>
      <w:r w:rsidR="00642AC6" w:rsidRPr="00612D03">
        <w:t xml:space="preserve">he </w:t>
      </w:r>
      <w:r w:rsidR="00994E96" w:rsidRPr="00612D03">
        <w:t xml:space="preserve">likelihood </w:t>
      </w:r>
      <w:r w:rsidR="00642AC6" w:rsidRPr="00612D03">
        <w:t>of accidental exposure to</w:t>
      </w:r>
      <w:r w:rsidR="001D62F2" w:rsidRPr="00612D03">
        <w:t xml:space="preserve"> the GMO in people not being </w:t>
      </w:r>
      <w:r w:rsidR="00033515" w:rsidRPr="00612D03">
        <w:t>treated</w:t>
      </w:r>
      <w:r w:rsidR="00642AC6" w:rsidRPr="00612D03">
        <w:t xml:space="preserve"> </w:t>
      </w:r>
      <w:r w:rsidR="00647E50" w:rsidRPr="00612D03">
        <w:t xml:space="preserve">or animals </w:t>
      </w:r>
      <w:r w:rsidR="00893BA2" w:rsidRPr="00612D03">
        <w:t>would</w:t>
      </w:r>
      <w:r w:rsidR="00642AC6" w:rsidRPr="00612D03">
        <w:t xml:space="preserve"> be minimised due to well-established </w:t>
      </w:r>
      <w:r w:rsidR="009C1795" w:rsidRPr="00612D03">
        <w:t xml:space="preserve">clinical, </w:t>
      </w:r>
      <w:r w:rsidR="00642AC6" w:rsidRPr="00612D03">
        <w:t>import, transport, storage and disposal procedures; and</w:t>
      </w:r>
    </w:p>
    <w:p w14:paraId="167A4108" w14:textId="641B6FDD" w:rsidR="009C1795" w:rsidRPr="00612D03" w:rsidRDefault="009C1795" w:rsidP="009C1795">
      <w:pPr>
        <w:pStyle w:val="ListParagraph"/>
        <w:numPr>
          <w:ilvl w:val="0"/>
          <w:numId w:val="35"/>
        </w:numPr>
      </w:pPr>
      <w:r w:rsidRPr="00612D03">
        <w:t>the dose received through accidental exposure would be far smaller than that administered; and</w:t>
      </w:r>
    </w:p>
    <w:p w14:paraId="0B8977BF" w14:textId="43D69527" w:rsidR="00FC616D" w:rsidRPr="00FC616D" w:rsidRDefault="00642AC6" w:rsidP="00B50718">
      <w:pPr>
        <w:pStyle w:val="RARMPnumberedparagraphs"/>
        <w:numPr>
          <w:ilvl w:val="0"/>
          <w:numId w:val="35"/>
        </w:numPr>
      </w:pPr>
      <w:r w:rsidRPr="00612D03">
        <w:rPr>
          <w:rFonts w:cs="Calibri"/>
        </w:rPr>
        <w:t xml:space="preserve">complementation and recombination </w:t>
      </w:r>
      <w:r w:rsidR="00FF2954" w:rsidRPr="00612D03">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7257A197" w:rsidR="00642AC6" w:rsidRDefault="00FC616D" w:rsidP="00FC616D">
      <w:pPr>
        <w:pStyle w:val="RARMPnumberedparagraphs"/>
        <w:numPr>
          <w:ilvl w:val="0"/>
          <w:numId w:val="35"/>
        </w:numPr>
      </w:pPr>
      <w:r>
        <w:rPr>
          <w:rFonts w:cs="Calibri"/>
        </w:rPr>
        <w:t>survival and</w:t>
      </w:r>
      <w:r w:rsidR="00642AC6" w:rsidRPr="00815DA9">
        <w:rPr>
          <w:rFonts w:cs="Calibri"/>
        </w:rPr>
        <w:t xml:space="preserve"> persistence of the small </w:t>
      </w:r>
      <w:r w:rsidR="00746B45">
        <w:rPr>
          <w:rFonts w:cs="Calibri"/>
        </w:rPr>
        <w:t>amount</w:t>
      </w:r>
      <w:r w:rsidR="00642AC6" w:rsidRPr="00815DA9">
        <w:rPr>
          <w:rFonts w:cs="Calibri"/>
        </w:rPr>
        <w:t xml:space="preserve"> of GMO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6F8FC730" w:rsidR="008F5F84" w:rsidRDefault="00ED664E" w:rsidP="00781D9F">
      <w:pPr>
        <w:pStyle w:val="RARMPnumberedparagraphs"/>
        <w:sectPr w:rsidR="008F5F84" w:rsidSect="00D83417">
          <w:footerReference w:type="default" r:id="rId45"/>
          <w:pgSz w:w="11909" w:h="16834" w:code="9"/>
          <w:pgMar w:top="1418" w:right="1418" w:bottom="1418" w:left="1418" w:header="720" w:footer="720" w:gutter="0"/>
          <w:paperSrc w:first="2" w:other="2"/>
          <w:cols w:space="720"/>
          <w:rtlGutter/>
        </w:sectPr>
      </w:pPr>
      <w:r w:rsidRPr="006404A8">
        <w:t xml:space="preserve">Therefore,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p>
    <w:p w14:paraId="6A6BEB28" w14:textId="77777777" w:rsidR="00ED664E" w:rsidRPr="0000143A" w:rsidRDefault="00ED664E" w:rsidP="00ED664E">
      <w:pPr>
        <w:pStyle w:val="1RARMP"/>
      </w:pPr>
      <w:bookmarkStart w:id="370" w:name="_Toc202859581"/>
      <w:bookmarkStart w:id="371" w:name="_Toc223510482"/>
      <w:bookmarkStart w:id="372" w:name="_Toc301341858"/>
      <w:bookmarkStart w:id="373" w:name="_Toc47536769"/>
      <w:bookmarkStart w:id="374" w:name="_Ref57119365"/>
      <w:bookmarkStart w:id="375" w:name="_Toc226975025"/>
      <w:bookmarkStart w:id="376" w:name="_Toc109207389"/>
      <w:bookmarkStart w:id="377" w:name="_Toc111019337"/>
      <w:bookmarkStart w:id="378" w:name="_Toc112822925"/>
      <w:bookmarkStart w:id="379" w:name="_Toc127695746"/>
      <w:bookmarkStart w:id="380" w:name="_Toc142471173"/>
      <w:bookmarkStart w:id="381" w:name="_Toc142987540"/>
      <w:bookmarkStart w:id="382" w:name="_Toc143058829"/>
      <w:bookmarkEnd w:id="365"/>
      <w:bookmarkEnd w:id="366"/>
      <w:bookmarkEnd w:id="367"/>
      <w:bookmarkEnd w:id="368"/>
      <w:bookmarkEnd w:id="369"/>
      <w:r w:rsidRPr="0000143A">
        <w:lastRenderedPageBreak/>
        <w:t>Risk management</w:t>
      </w:r>
      <w:bookmarkEnd w:id="370"/>
      <w:bookmarkEnd w:id="371"/>
      <w:bookmarkEnd w:id="372"/>
      <w:r w:rsidRPr="0000143A">
        <w:t xml:space="preserve"> plan</w:t>
      </w:r>
      <w:bookmarkEnd w:id="373"/>
      <w:bookmarkEnd w:id="374"/>
      <w:bookmarkEnd w:id="375"/>
    </w:p>
    <w:p w14:paraId="492954E4" w14:textId="77777777" w:rsidR="00ED664E" w:rsidRPr="0000143A" w:rsidRDefault="00ED664E" w:rsidP="006E06B6">
      <w:pPr>
        <w:pStyle w:val="2RARMP"/>
      </w:pPr>
      <w:bookmarkStart w:id="383" w:name="_Toc446425415"/>
      <w:bookmarkStart w:id="384" w:name="_Toc47536770"/>
      <w:bookmarkStart w:id="385" w:name="_Toc226975026"/>
      <w:r w:rsidRPr="0000143A">
        <w:t>Background</w:t>
      </w:r>
      <w:bookmarkEnd w:id="383"/>
      <w:bookmarkEnd w:id="384"/>
      <w:bookmarkEnd w:id="385"/>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tabs>
          <w:tab w:val="clear" w:pos="567"/>
        </w:tab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6E06B6">
      <w:pPr>
        <w:pStyle w:val="2RARMP"/>
      </w:pPr>
      <w:bookmarkStart w:id="386" w:name="_Toc47536771"/>
      <w:bookmarkStart w:id="387" w:name="_Toc226975027"/>
      <w:r w:rsidRPr="0000143A">
        <w:t>Risk treatment measures for substantive risks</w:t>
      </w:r>
      <w:bookmarkEnd w:id="386"/>
      <w:bookmarkEnd w:id="387"/>
    </w:p>
    <w:p w14:paraId="7F082CE6" w14:textId="55807897"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1E7664">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1E7664">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1E7664">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1E7664">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1E7664">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1E7664">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6E06B6">
      <w:pPr>
        <w:pStyle w:val="2RARMP"/>
      </w:pPr>
      <w:bookmarkStart w:id="388" w:name="_Toc47536772"/>
      <w:bookmarkStart w:id="389" w:name="_Toc226975028"/>
      <w:r w:rsidRPr="0000143A">
        <w:t>General risk management</w:t>
      </w:r>
      <w:bookmarkEnd w:id="388"/>
      <w:bookmarkEnd w:id="389"/>
    </w:p>
    <w:p w14:paraId="11E97F7B" w14:textId="739D46AE"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90" w:name="_Toc61015662"/>
      <w:bookmarkStart w:id="391" w:name="_Toc47536773"/>
      <w:bookmarkStart w:id="392" w:name="_Toc226975029"/>
      <w:r>
        <w:t>Limits and controls on the clinical trial</w:t>
      </w:r>
      <w:bookmarkEnd w:id="390"/>
      <w:bookmarkEnd w:id="391"/>
      <w:bookmarkEnd w:id="392"/>
    </w:p>
    <w:p w14:paraId="36CC5082" w14:textId="4A844E73"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1E7664">
        <w:t>2.1</w:t>
      </w:r>
      <w:r>
        <w:fldChar w:fldCharType="end"/>
      </w:r>
      <w:r w:rsidRPr="00C1583E">
        <w:t xml:space="preserve"> and </w:t>
      </w:r>
      <w:r>
        <w:fldChar w:fldCharType="begin"/>
      </w:r>
      <w:r>
        <w:instrText xml:space="preserve"> REF _Ref57040802 \n \h </w:instrText>
      </w:r>
      <w:r>
        <w:fldChar w:fldCharType="separate"/>
      </w:r>
      <w:r w:rsidR="001E7664">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1E7664">
        <w:t>Chapter 1</w:t>
      </w:r>
      <w:r w:rsidR="00EE70D5">
        <w:fldChar w:fldCharType="end"/>
      </w:r>
      <w:r w:rsidR="00EE70D5">
        <w:t xml:space="preserve"> </w:t>
      </w:r>
      <w:r w:rsidRPr="00C1583E">
        <w:t>list th</w:t>
      </w:r>
      <w:r w:rsidRPr="00961290">
        <w:t>e limits and controls proposed</w:t>
      </w:r>
      <w:r>
        <w:t xml:space="preserve"> by </w:t>
      </w:r>
      <w:bookmarkStart w:id="393" w:name="_Hlk216191984"/>
      <w:r w:rsidR="004D2539" w:rsidRPr="00A26162">
        <w:t>Ferring</w:t>
      </w:r>
      <w:bookmarkEnd w:id="393"/>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1E7664">
        <w:t>Chapter 2</w:t>
      </w:r>
      <w:r w:rsidR="00EE70D5">
        <w:fldChar w:fldCharType="end"/>
      </w:r>
      <w:r w:rsidRPr="00961290">
        <w:t>. The appropriateness of the limits and controls is considered further in the following sections.</w:t>
      </w:r>
    </w:p>
    <w:p w14:paraId="57394E36" w14:textId="675897F7" w:rsidR="003D53C8" w:rsidRPr="00D64592" w:rsidRDefault="003D53C8" w:rsidP="003D53C8">
      <w:pPr>
        <w:pStyle w:val="4RARMP"/>
        <w:tabs>
          <w:tab w:val="clear" w:pos="284"/>
          <w:tab w:val="left" w:pos="680"/>
        </w:tabs>
      </w:pPr>
      <w:r>
        <w:lastRenderedPageBreak/>
        <w:t xml:space="preserve">Consideration of limits and controls proposed by </w:t>
      </w:r>
      <w:r w:rsidR="004D2539" w:rsidRPr="00D64592">
        <w:t>Ferring</w:t>
      </w:r>
    </w:p>
    <w:p w14:paraId="4C7A564B" w14:textId="21776A27" w:rsidR="003D53C8" w:rsidRPr="00F976C8" w:rsidRDefault="003D53C8" w:rsidP="00C72058">
      <w:pPr>
        <w:pStyle w:val="RARMPnumberedparagraphs"/>
      </w:pPr>
      <w:r w:rsidRPr="00D64592">
        <w:t xml:space="preserve">The proposed clinical trial would involve a maximum of </w:t>
      </w:r>
      <w:r w:rsidR="003E6D1B">
        <w:t>25</w:t>
      </w:r>
      <w:r w:rsidR="003E6D1B" w:rsidRPr="00D64592">
        <w:t xml:space="preserve"> </w:t>
      </w:r>
      <w:r w:rsidRPr="00D64592">
        <w:t xml:space="preserve">participants within Australia, and dealings with the GMO would take place in medical facilities such as clinical trial </w:t>
      </w:r>
      <w:r w:rsidR="00771C98" w:rsidRPr="00D64592">
        <w:t xml:space="preserve">facilities </w:t>
      </w:r>
      <w:r w:rsidR="00AF57D9" w:rsidRPr="00D64592">
        <w:t>or</w:t>
      </w:r>
      <w:r w:rsidRPr="00D64592">
        <w:t xml:space="preserve"> hospitals. Activities that would occur outside of medical facilities include transport, storage and disposal of the GMO. The applicant has proposed to complete </w:t>
      </w:r>
      <w:r w:rsidR="009C58DD" w:rsidRPr="00D64592">
        <w:t>dealings with the GMO</w:t>
      </w:r>
      <w:r w:rsidRPr="00D64592">
        <w:t xml:space="preserve"> within </w:t>
      </w:r>
      <w:r w:rsidR="00584849" w:rsidRPr="00D64592">
        <w:t>5</w:t>
      </w:r>
      <w:r w:rsidRPr="00D64592">
        <w:t xml:space="preserve"> years of commencement. </w:t>
      </w:r>
      <w:r w:rsidR="001963E3" w:rsidRPr="00D64592">
        <w:t xml:space="preserve">A licence condition limits the period when the GMO may be administered under the licence to </w:t>
      </w:r>
      <w:r w:rsidR="00584849" w:rsidRPr="00D64592">
        <w:t>5</w:t>
      </w:r>
      <w:r w:rsidR="001963E3" w:rsidRPr="00D64592">
        <w:t xml:space="preserve"> years from the date of issue of the licence. </w:t>
      </w:r>
      <w:r w:rsidR="00B96533" w:rsidRPr="00D64592">
        <w:t xml:space="preserve">Other conditions </w:t>
      </w:r>
      <w:r w:rsidRPr="00D64592">
        <w:t xml:space="preserve">maintaining the risk context and proposed limits of the trial such as </w:t>
      </w:r>
      <w:r w:rsidR="00B96533" w:rsidRPr="00D64592">
        <w:t xml:space="preserve">a </w:t>
      </w:r>
      <w:r w:rsidRPr="00D64592">
        <w:t xml:space="preserve">maximum of </w:t>
      </w:r>
      <w:r w:rsidR="003E6D1B">
        <w:t>25</w:t>
      </w:r>
      <w:r w:rsidR="003E6D1B" w:rsidRPr="00D64592">
        <w:t xml:space="preserve"> </w:t>
      </w:r>
      <w:r w:rsidRPr="00D64592">
        <w:t xml:space="preserve">trial participants and </w:t>
      </w:r>
      <w:r w:rsidR="00B96533" w:rsidRPr="00D64592">
        <w:t xml:space="preserve">requirements for </w:t>
      </w:r>
      <w:r w:rsidR="00D45C84" w:rsidRPr="00D64592">
        <w:t xml:space="preserve">dealings related to preparation and administration of the GMO </w:t>
      </w:r>
      <w:r w:rsidR="00D45C84">
        <w:t>to be conducted at a clinical trial site</w:t>
      </w:r>
      <w:r w:rsidRPr="00F976C8">
        <w:t xml:space="preserve"> have been included in the licence.</w:t>
      </w:r>
    </w:p>
    <w:p w14:paraId="0C4D4B93" w14:textId="70C8F3AF" w:rsidR="003D53C8" w:rsidRPr="00144595" w:rsidRDefault="009F6EDA" w:rsidP="00C72058">
      <w:pPr>
        <w:pStyle w:val="RARMPnumberedparagraphs"/>
      </w:pPr>
      <w:r>
        <w:t>O</w:t>
      </w:r>
      <w:r w:rsidR="00947FE2">
        <w:t xml:space="preserve">nce the GMO is </w:t>
      </w:r>
      <w:r w:rsidR="00EF08CF">
        <w:t>included</w:t>
      </w:r>
      <w:r w:rsidR="00947FE2">
        <w:t xml:space="preserve"> on the ARTG and able to be supplied for commercial use in Australia, i</w:t>
      </w:r>
      <w:r w:rsidR="00553531" w:rsidRPr="008B7C7B">
        <w:t>mport and transport of the GMO</w:t>
      </w:r>
      <w:r>
        <w:t xml:space="preserve"> to the clinical sites</w:t>
      </w:r>
      <w:r w:rsidR="00553531">
        <w:t xml:space="preserve"> </w:t>
      </w:r>
      <w:r w:rsidR="004C3D28">
        <w:t xml:space="preserve">will be </w:t>
      </w:r>
      <w:r w:rsidR="00553531">
        <w:t xml:space="preserve">covered </w:t>
      </w:r>
      <w:r w:rsidR="00EF1522">
        <w:t xml:space="preserve">by </w:t>
      </w:r>
      <w:r w:rsidR="00104A5F">
        <w:t xml:space="preserve">licence </w:t>
      </w:r>
      <w:r w:rsidR="00553531">
        <w:t>DIR</w:t>
      </w:r>
      <w:r w:rsidR="00104A5F">
        <w:t xml:space="preserve"> </w:t>
      </w:r>
      <w:r w:rsidR="00553531">
        <w:t>217</w:t>
      </w:r>
      <w:r w:rsidR="00622167">
        <w:t xml:space="preserve">. </w:t>
      </w:r>
      <w:r w:rsidR="00EF1522">
        <w:t>This</w:t>
      </w:r>
      <w:r w:rsidR="004C3D28">
        <w:t xml:space="preserve"> licence includes</w:t>
      </w:r>
      <w:r w:rsidR="00947FE2">
        <w:t xml:space="preserve"> transport and storage conditions</w:t>
      </w:r>
      <w:r w:rsidR="004C3D28">
        <w:t xml:space="preserve"> </w:t>
      </w:r>
      <w:r>
        <w:t xml:space="preserve">to cover those dealings </w:t>
      </w:r>
      <w:r w:rsidR="004C3D28">
        <w:t xml:space="preserve">until the GMO is </w:t>
      </w:r>
      <w:r w:rsidR="00822E54">
        <w:t>includ</w:t>
      </w:r>
      <w:r w:rsidR="004C3D28">
        <w:t>ed on the ARTG</w:t>
      </w:r>
      <w:r w:rsidR="004C3D28" w:rsidRPr="004C3D28">
        <w:t xml:space="preserve">. </w:t>
      </w:r>
      <w:r w:rsidR="00A751B3">
        <w:t>T</w:t>
      </w:r>
      <w:r w:rsidR="003D53C8" w:rsidRPr="008B7C7B">
        <w:t xml:space="preserve">he applicant advised that transport </w:t>
      </w:r>
      <w:r w:rsidR="00553531">
        <w:t xml:space="preserve">and disposal </w:t>
      </w:r>
      <w:r w:rsidR="003D53C8" w:rsidRPr="008B7C7B">
        <w:t xml:space="preserve">of the waste containing the GMO would be in accordance with the Regulator’s </w:t>
      </w:r>
      <w:r w:rsidR="003D53C8" w:rsidRPr="008B7C7B">
        <w:rPr>
          <w:i/>
        </w:rPr>
        <w:t>Guidelines for the Transport, Storage and Disposal of GMOs</w:t>
      </w:r>
      <w:r w:rsidR="003D53C8" w:rsidRPr="008B7C7B">
        <w:t xml:space="preserve">. These are standard protocols for the handling </w:t>
      </w:r>
      <w:r w:rsidR="003D53C8">
        <w:t xml:space="preserve">and </w:t>
      </w:r>
      <w:r w:rsidR="003D53C8" w:rsidRPr="008B7C7B">
        <w:t>minimis</w:t>
      </w:r>
      <w:r w:rsidR="003D53C8">
        <w:t>ing</w:t>
      </w:r>
      <w:r w:rsidR="003D53C8" w:rsidRPr="008B7C7B">
        <w:t xml:space="preserve"> exposure to the GMO. </w:t>
      </w:r>
      <w:r w:rsidR="003D53C8">
        <w:t xml:space="preserve">These proposed transport conditions are suitable for the GMO. Therefore, the licence details the minimum requirements for packaging and labelling waste contaminated with the GMO for transport and storage within a clinical trial site, as well as transport of the </w:t>
      </w:r>
      <w:r w:rsidR="00C72058">
        <w:t xml:space="preserve">samples that may contain </w:t>
      </w:r>
      <w:r w:rsidR="003D53C8">
        <w:t xml:space="preserve">GMO for </w:t>
      </w:r>
      <w:r w:rsidR="00C72058">
        <w:t>analysis</w:t>
      </w:r>
      <w:r w:rsidR="003D53C8">
        <w:t xml:space="preserve">. </w:t>
      </w:r>
      <w:r w:rsidR="003D53C8" w:rsidRPr="008B7C7B">
        <w:t xml:space="preserve">These measures would limit the </w:t>
      </w:r>
      <w:r w:rsidR="003D53C8" w:rsidRPr="00144595">
        <w:t xml:space="preserve">exposure of people and the environment to the GMO. </w:t>
      </w:r>
    </w:p>
    <w:p w14:paraId="51C6B956" w14:textId="7C4B68DF" w:rsidR="000430F8" w:rsidRDefault="003D53C8" w:rsidP="00C72058">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1E7664">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1E7664">
        <w:t>2.3.5</w:t>
      </w:r>
      <w:r w:rsidR="00C72058">
        <w:fldChar w:fldCharType="end"/>
      </w:r>
      <w:r w:rsidRPr="00144595">
        <w:t xml:space="preserve">. The inclusion and exclusion criteria for trial participants would be subject to approval by a HREC, who would consider the safety of the individuals involved in the trial. </w:t>
      </w:r>
      <w:r w:rsidR="00B74728">
        <w:t>As discussed in Chapter 1</w:t>
      </w:r>
      <w:r w:rsidR="00822E54">
        <w:t>,</w:t>
      </w:r>
      <w:r w:rsidR="00B74728">
        <w:t xml:space="preserve"> Section </w:t>
      </w:r>
      <w:r w:rsidR="00822E54">
        <w:fldChar w:fldCharType="begin"/>
      </w:r>
      <w:r w:rsidR="00822E54">
        <w:instrText xml:space="preserve"> REF _Ref425251282 \n \h </w:instrText>
      </w:r>
      <w:r w:rsidR="00822E54">
        <w:fldChar w:fldCharType="separate"/>
      </w:r>
      <w:r w:rsidR="00822E54">
        <w:t>1.1</w:t>
      </w:r>
      <w:r w:rsidR="00822E54">
        <w:fldChar w:fldCharType="end"/>
      </w:r>
      <w:r w:rsidR="00B74728">
        <w:t>, t</w:t>
      </w:r>
      <w:r w:rsidR="00B74728" w:rsidRPr="00F364D2">
        <w:t xml:space="preserve">o avoid duplication of regulatory oversight, and as risks to trial participants are addressed through </w:t>
      </w:r>
      <w:r w:rsidR="00B74728">
        <w:t>mechanisms such as HREC approval and TGA oversight</w:t>
      </w:r>
      <w:r w:rsidR="00B74728" w:rsidRPr="00F364D2">
        <w:t>, the Regulator’s focus is on assessing risks posed to people other than those participating in the clinical trial, and to the environment.</w:t>
      </w:r>
      <w:r w:rsidR="00AB09DE">
        <w:t xml:space="preserve"> Therefore, inclusion and exclusion criteria are considered only in this context.</w:t>
      </w:r>
    </w:p>
    <w:p w14:paraId="1E0C2C9E" w14:textId="1B07B96A" w:rsidR="000430F8" w:rsidRDefault="000430F8" w:rsidP="00497056">
      <w:pPr>
        <w:pStyle w:val="RARMPnumberedparagraphs"/>
      </w:pPr>
      <w:r w:rsidRPr="000430F8">
        <w:t xml:space="preserve">The relevant inclusion criteria proposed by the applicant include that the trial participants </w:t>
      </w:r>
      <w:r w:rsidRPr="00497056">
        <w:t>must</w:t>
      </w:r>
      <w:r w:rsidR="00497056">
        <w:t xml:space="preserve"> </w:t>
      </w:r>
      <w:r w:rsidR="00497056" w:rsidRPr="000430F8">
        <w:t xml:space="preserve">agree </w:t>
      </w:r>
      <w:r w:rsidR="00497056" w:rsidRPr="00612D03">
        <w:t>to use effective forms of contraception during treatment and for 6 months (female) or 3 months (male) after the last dose.</w:t>
      </w:r>
    </w:p>
    <w:p w14:paraId="2B543235" w14:textId="3C4F486E" w:rsidR="007E1BBA" w:rsidRPr="00612D03" w:rsidRDefault="007E1BBA" w:rsidP="00497056">
      <w:pPr>
        <w:pStyle w:val="RARMPnumberedparagraphs"/>
      </w:pPr>
      <w:r w:rsidRPr="00612D03">
        <w:t xml:space="preserve">Shedding in semen has not been assessed for this GMO. Due to the non-replicating nature of the GMO, sexual transmission </w:t>
      </w:r>
      <w:r w:rsidRPr="000430F8">
        <w:t>of the GMO from the trial participants is unlikely</w:t>
      </w:r>
      <w:r w:rsidR="00E450E5">
        <w:t xml:space="preserve">, however the preclinical studies with the GMO show the presence of </w:t>
      </w:r>
      <w:r w:rsidR="00E450E5" w:rsidRPr="003E2C69">
        <w:t>GMO-specific DNA</w:t>
      </w:r>
      <w:r w:rsidR="00E450E5">
        <w:t xml:space="preserve"> in the gonads of monkeys 8 days after intravesical administration of the GMO (Chapter 1 Section 4.3.3)</w:t>
      </w:r>
      <w:r w:rsidRPr="000430F8">
        <w:t xml:space="preserve">. </w:t>
      </w:r>
      <w:r w:rsidR="00E450E5">
        <w:t xml:space="preserve">Therefore, </w:t>
      </w:r>
      <w:r w:rsidR="004A2F39">
        <w:t xml:space="preserve">as a precaution, the participants should use effective </w:t>
      </w:r>
      <w:r w:rsidR="00E450E5">
        <w:t xml:space="preserve">barrier </w:t>
      </w:r>
      <w:r w:rsidR="00EF7306">
        <w:t>methods</w:t>
      </w:r>
      <w:r w:rsidR="00E450E5">
        <w:t xml:space="preserve"> to prevent pregnancy and potential exposure to the GMO during sexual </w:t>
      </w:r>
      <w:proofErr w:type="gramStart"/>
      <w:r w:rsidR="00E450E5">
        <w:t>activities</w:t>
      </w:r>
      <w:r w:rsidR="004A2F39">
        <w:t>, and</w:t>
      </w:r>
      <w:proofErr w:type="gramEnd"/>
      <w:r w:rsidR="004A2F39">
        <w:t xml:space="preserve"> not donate gametes for a period after GMO administration</w:t>
      </w:r>
      <w:r w:rsidR="00E450E5">
        <w:t xml:space="preserve">. </w:t>
      </w:r>
      <w:r w:rsidR="004A2F39">
        <w:t>Regarding donation of blood</w:t>
      </w:r>
      <w:r w:rsidR="009F6EDA">
        <w:t>, blood product</w:t>
      </w:r>
      <w:r w:rsidR="00B16337">
        <w:t>s</w:t>
      </w:r>
      <w:r w:rsidR="006E51EA">
        <w:t>,</w:t>
      </w:r>
      <w:r w:rsidR="004A2F39">
        <w:t xml:space="preserve"> and other tissues, the Phase 2 clinical trial of the GMO showed GMO-specific DNA in the blood of 1/23 participants 2 days after the second intravesical administration of the GMO (Chapter 1 Section 4.4.4), therefore blood</w:t>
      </w:r>
      <w:r w:rsidR="00B16337">
        <w:t>, blood product</w:t>
      </w:r>
      <w:r w:rsidR="004A2F39">
        <w:t xml:space="preserve"> and organ donation after GMO administration should also be avoided as a precaution. </w:t>
      </w:r>
      <w:r w:rsidRPr="000430F8">
        <w:t xml:space="preserve">Using the conservative timeframe of </w:t>
      </w:r>
      <w:r>
        <w:t>60</w:t>
      </w:r>
      <w:r w:rsidRPr="000430F8">
        <w:t> days</w:t>
      </w:r>
      <w:r w:rsidR="00E450E5">
        <w:t xml:space="preserve"> after GMO administration</w:t>
      </w:r>
      <w:r w:rsidRPr="000430F8">
        <w:t xml:space="preserve">, as </w:t>
      </w:r>
      <w:r>
        <w:t>is standard in similar clinical trial licences</w:t>
      </w:r>
      <w:r w:rsidRPr="000430F8">
        <w:t xml:space="preserve">, </w:t>
      </w:r>
      <w:r>
        <w:t>th</w:t>
      </w:r>
      <w:r w:rsidR="00E450E5">
        <w:t>is</w:t>
      </w:r>
      <w:r>
        <w:t xml:space="preserve"> use of effective barrier </w:t>
      </w:r>
      <w:r w:rsidR="00EF7306">
        <w:t>method</w:t>
      </w:r>
      <w:r w:rsidR="00B16337">
        <w:t>(s)</w:t>
      </w:r>
      <w:r>
        <w:t xml:space="preserve"> </w:t>
      </w:r>
      <w:r w:rsidR="00E450E5">
        <w:t>as well as abstaining</w:t>
      </w:r>
      <w:r w:rsidRPr="000430F8">
        <w:t xml:space="preserve"> from blood</w:t>
      </w:r>
      <w:r>
        <w:t xml:space="preserve">, </w:t>
      </w:r>
      <w:r w:rsidR="00B16337">
        <w:t xml:space="preserve">blood product, </w:t>
      </w:r>
      <w:r>
        <w:t>gamete</w:t>
      </w:r>
      <w:r w:rsidRPr="000430F8">
        <w:t xml:space="preserve"> or organ donation would </w:t>
      </w:r>
      <w:r>
        <w:t xml:space="preserve">further </w:t>
      </w:r>
      <w:r w:rsidRPr="000430F8">
        <w:t xml:space="preserve">minimise the potential for transmission of infectious viral particles. Therefore, the criteria included in the licence are that the licence holder must obtain written agreement from the trial participant </w:t>
      </w:r>
      <w:r w:rsidR="0088010B" w:rsidRPr="000430F8">
        <w:t>that</w:t>
      </w:r>
      <w:r w:rsidR="0088010B" w:rsidRPr="000430F8" w:rsidDel="0088010B">
        <w:t xml:space="preserve"> </w:t>
      </w:r>
      <w:r w:rsidRPr="000430F8">
        <w:t xml:space="preserve">they </w:t>
      </w:r>
      <w:r w:rsidR="00752A41">
        <w:t>will use</w:t>
      </w:r>
      <w:r w:rsidR="00725F81">
        <w:t xml:space="preserve"> an</w:t>
      </w:r>
      <w:r w:rsidR="00752A41">
        <w:t xml:space="preserve"> effective barrier </w:t>
      </w:r>
      <w:r w:rsidR="00573E14">
        <w:t xml:space="preserve">method </w:t>
      </w:r>
      <w:r w:rsidR="00C6764F" w:rsidRPr="00C6764F">
        <w:t xml:space="preserve">to prevent pregnancy and exposure to the GMO during sexual activities </w:t>
      </w:r>
      <w:r w:rsidR="00573E14">
        <w:t xml:space="preserve">for 60 days </w:t>
      </w:r>
      <w:r w:rsidR="0088010B" w:rsidRPr="000430F8">
        <w:t xml:space="preserve">after </w:t>
      </w:r>
      <w:r w:rsidR="0088010B">
        <w:t>each administration</w:t>
      </w:r>
      <w:r w:rsidR="0088010B" w:rsidRPr="000430F8">
        <w:t xml:space="preserve"> of the GMO </w:t>
      </w:r>
      <w:r w:rsidR="0088010B">
        <w:t xml:space="preserve">and </w:t>
      </w:r>
      <w:r w:rsidRPr="000430F8">
        <w:t>will not donate blood</w:t>
      </w:r>
      <w:r w:rsidR="004A2F39">
        <w:t xml:space="preserve">, </w:t>
      </w:r>
      <w:r w:rsidR="009303D4">
        <w:t xml:space="preserve">blood products, </w:t>
      </w:r>
      <w:r w:rsidR="004A2F39">
        <w:t>gametes</w:t>
      </w:r>
      <w:r w:rsidRPr="000430F8">
        <w:t xml:space="preserve"> or organs</w:t>
      </w:r>
      <w:r w:rsidR="0088010B" w:rsidRPr="0088010B">
        <w:t xml:space="preserve"> </w:t>
      </w:r>
      <w:r w:rsidR="0088010B" w:rsidRPr="000430F8">
        <w:t>for</w:t>
      </w:r>
      <w:r w:rsidR="0088010B">
        <w:t xml:space="preserve"> the duration of the trial and</w:t>
      </w:r>
      <w:r w:rsidR="0088010B" w:rsidRPr="000430F8">
        <w:t xml:space="preserve"> </w:t>
      </w:r>
      <w:r w:rsidR="0088010B">
        <w:t>60</w:t>
      </w:r>
      <w:r w:rsidR="0088010B" w:rsidRPr="000430F8">
        <w:t xml:space="preserve"> days after the last dose of the GMO</w:t>
      </w:r>
      <w:r w:rsidR="004A2F39">
        <w:t>.</w:t>
      </w:r>
    </w:p>
    <w:p w14:paraId="4D895698" w14:textId="65C9EF69" w:rsidR="000430F8" w:rsidRDefault="000430F8" w:rsidP="00EB5ED1">
      <w:pPr>
        <w:pStyle w:val="RARMPnumberedparagraphs"/>
      </w:pPr>
      <w:r w:rsidRPr="00612D03">
        <w:lastRenderedPageBreak/>
        <w:t>The relevant exclusion criteria pr</w:t>
      </w:r>
      <w:r w:rsidR="00EB5ED1" w:rsidRPr="00612D03">
        <w:t xml:space="preserve">oposed by the applicant include </w:t>
      </w:r>
      <w:r w:rsidRPr="00612D03">
        <w:t xml:space="preserve">pregnant </w:t>
      </w:r>
      <w:r w:rsidR="00CC0F15" w:rsidRPr="00612D03">
        <w:t>or</w:t>
      </w:r>
      <w:r w:rsidRPr="00612D03">
        <w:t xml:space="preserve"> breastfeeding women</w:t>
      </w:r>
      <w:r w:rsidR="00CC0F15" w:rsidRPr="00612D03">
        <w:t>, and immunocompromised or immunodeficient people.</w:t>
      </w:r>
    </w:p>
    <w:p w14:paraId="64EA0BE4" w14:textId="6A2583B7" w:rsidR="007E1BBA" w:rsidRPr="000430F8" w:rsidRDefault="007E1BBA" w:rsidP="007E1BBA">
      <w:pPr>
        <w:pStyle w:val="RARMPnumberedparagraphs"/>
      </w:pPr>
      <w:r>
        <w:t xml:space="preserve">The risk context </w:t>
      </w:r>
      <w:r w:rsidR="00B74728">
        <w:t xml:space="preserve">of this assessment </w:t>
      </w:r>
      <w:r>
        <w:t>is maintained provided the GMO can be cleared by the immune system,</w:t>
      </w:r>
      <w:r w:rsidR="00B74728">
        <w:t xml:space="preserve"> thereby limiting the shedding of the GMO from the participants into the environment.</w:t>
      </w:r>
      <w:r>
        <w:t xml:space="preserve"> </w:t>
      </w:r>
      <w:r w:rsidR="00B74728">
        <w:t>T</w:t>
      </w:r>
      <w:r>
        <w:t>herefore</w:t>
      </w:r>
      <w:r w:rsidR="00B74728">
        <w:t>,</w:t>
      </w:r>
      <w:r>
        <w:t xml:space="preserve"> a precautionary condition is included in the licence to exclude participants </w:t>
      </w:r>
      <w:r w:rsidR="00B16337">
        <w:t xml:space="preserve">who are immunosuppressed, </w:t>
      </w:r>
      <w:r w:rsidR="00B16337" w:rsidRPr="00B16337">
        <w:t>mea</w:t>
      </w:r>
      <w:r w:rsidR="00B16337">
        <w:t>ning</w:t>
      </w:r>
      <w:r w:rsidR="00B16337" w:rsidRPr="00B16337">
        <w:t xml:space="preserve"> a person that has a reduced ability to fight infections. This may be caused by certain diseases (e.g. AIDS) or conditions (e.g. organ transplant) which are not well managed. It may also be caused by certain medicines or treatments, excluding any medications that are taken as part of the clinical trial.</w:t>
      </w:r>
      <w:r>
        <w:t xml:space="preserve"> </w:t>
      </w:r>
    </w:p>
    <w:p w14:paraId="09365BDA" w14:textId="3BEC5928" w:rsidR="001C13D4" w:rsidRDefault="007E1BBA" w:rsidP="0020000A">
      <w:pPr>
        <w:pStyle w:val="RARMPnumberedparagraphs"/>
      </w:pPr>
      <w:r w:rsidRPr="000430F8">
        <w:t xml:space="preserve"> The potential transmission to babies via breastfeeding and to foetuses if pregnant women are included in the trial is minimal. However, this risk would be minimised further by excluding breastfeeding and pregnant women</w:t>
      </w:r>
      <w:r>
        <w:t xml:space="preserve"> and a condition to exclude pregnant and breastfeeding women from</w:t>
      </w:r>
      <w:r w:rsidR="00EF7306">
        <w:t xml:space="preserve"> participating in</w:t>
      </w:r>
      <w:r>
        <w:t xml:space="preserve"> the clinical trial has been included in the licence.</w:t>
      </w:r>
    </w:p>
    <w:p w14:paraId="4AD91108" w14:textId="05A3110A" w:rsidR="003D53C8" w:rsidRPr="00E71ED5" w:rsidRDefault="001C13D4" w:rsidP="00C72058">
      <w:pPr>
        <w:pStyle w:val="RARMPnumberedparagraphs"/>
      </w:pPr>
      <w:r>
        <w:t xml:space="preserve">For the context of this RARMP, </w:t>
      </w:r>
      <w:r>
        <w:rPr>
          <w:rFonts w:eastAsia="Calibri"/>
          <w:lang w:eastAsia="en-US"/>
        </w:rPr>
        <w:t>persons who have immunosuppressive disorders</w:t>
      </w:r>
      <w:r w:rsidR="00A732F7">
        <w:rPr>
          <w:rFonts w:eastAsia="Calibri"/>
          <w:lang w:eastAsia="en-US"/>
        </w:rPr>
        <w:t xml:space="preserve"> or who are pregnant</w:t>
      </w:r>
      <w:r>
        <w:rPr>
          <w:rFonts w:eastAsia="Calibri"/>
          <w:lang w:eastAsia="en-US"/>
        </w:rPr>
        <w:t xml:space="preserve"> are considered persons at higher risk of a serious adverse event when exposed to the GMO. To manage risk and to maintain the context of the risk assessment, a</w:t>
      </w:r>
      <w:r>
        <w:t xml:space="preserve"> condition in the licence requires </w:t>
      </w:r>
      <w:bookmarkStart w:id="394" w:name="_Hlk218686469"/>
      <w:r w:rsidR="007E1BBA" w:rsidRPr="00C65869">
        <w:rPr>
          <w:rFonts w:asciiTheme="minorHAnsi" w:hAnsiTheme="minorHAnsi" w:cstheme="minorHAnsi"/>
          <w:szCs w:val="22"/>
        </w:rPr>
        <w:t xml:space="preserve">persons preparing or administering the GMO must be informed of the risks associated with the GMO (including risks in people suffering from </w:t>
      </w:r>
      <w:r w:rsidR="007E1BBA">
        <w:rPr>
          <w:rFonts w:asciiTheme="minorHAnsi" w:hAnsiTheme="minorHAnsi" w:cstheme="minorHAnsi"/>
          <w:szCs w:val="22"/>
        </w:rPr>
        <w:t>i</w:t>
      </w:r>
      <w:r w:rsidR="007E1BBA" w:rsidRPr="00C65869">
        <w:rPr>
          <w:rFonts w:asciiTheme="minorHAnsi" w:hAnsiTheme="minorHAnsi" w:cstheme="minorHAnsi"/>
          <w:szCs w:val="22"/>
        </w:rPr>
        <w:t>mmunosuppressive disorder or pregnant individuals)</w:t>
      </w:r>
      <w:bookmarkEnd w:id="394"/>
      <w:r>
        <w:rPr>
          <w:rFonts w:asciiTheme="minorHAnsi" w:hAnsiTheme="minorHAnsi" w:cstheme="minorHAnsi"/>
          <w:szCs w:val="22"/>
        </w:rPr>
        <w:t xml:space="preserve">. </w:t>
      </w:r>
    </w:p>
    <w:p w14:paraId="5A891B55" w14:textId="396A4B67" w:rsidR="007E1BBA" w:rsidRPr="00E71ED5" w:rsidRDefault="007E1BBA" w:rsidP="00C72058">
      <w:pPr>
        <w:pStyle w:val="RARMPnumberedparagraphs"/>
      </w:pPr>
      <w:r>
        <w:t xml:space="preserve">In addition, the </w:t>
      </w:r>
      <w:r w:rsidRPr="002F569D">
        <w:t xml:space="preserve">clinical staff </w:t>
      </w:r>
      <w:r>
        <w:t xml:space="preserve">handling the GMO </w:t>
      </w:r>
      <w:r w:rsidRPr="002F569D">
        <w:t xml:space="preserve">would wear PPE including </w:t>
      </w:r>
      <w:r w:rsidRPr="002F569D">
        <w:rPr>
          <w:rFonts w:cs="Calibri"/>
          <w:szCs w:val="20"/>
        </w:rPr>
        <w:t>gown, gloves, mask and eye protection</w:t>
      </w:r>
      <w:r>
        <w:rPr>
          <w:rFonts w:cs="Calibri"/>
          <w:szCs w:val="20"/>
        </w:rPr>
        <w:t>/face shield</w:t>
      </w:r>
      <w:r w:rsidRPr="002F569D">
        <w:t>. These practices would minimise exposure of people handling and administering the GMO (Risk scenario 1) and have been included in the licence conditions.</w:t>
      </w:r>
      <w:r w:rsidR="00630F11">
        <w:t xml:space="preserve"> However, for staff collecting</w:t>
      </w:r>
      <w:r w:rsidR="00E91761">
        <w:t xml:space="preserve"> and analysing samples from the trial participants, the </w:t>
      </w:r>
      <w:r w:rsidR="008331B0">
        <w:t xml:space="preserve">likelihood of </w:t>
      </w:r>
      <w:r w:rsidR="00E91761">
        <w:t>exposure</w:t>
      </w:r>
      <w:r w:rsidR="008331B0">
        <w:t xml:space="preserve"> to the GMO is </w:t>
      </w:r>
      <w:r w:rsidR="008331B0" w:rsidRPr="008331B0">
        <w:t>expected to be low</w:t>
      </w:r>
      <w:r w:rsidR="00EF08CF">
        <w:t>.</w:t>
      </w:r>
      <w:r w:rsidR="009F6EDA">
        <w:t xml:space="preserve"> In addition, </w:t>
      </w:r>
      <w:r w:rsidR="00C36F23">
        <w:t>pathology</w:t>
      </w:r>
      <w:r w:rsidR="008D6EC8">
        <w:t xml:space="preserve"> </w:t>
      </w:r>
      <w:r w:rsidR="009F6EDA">
        <w:t>premise</w:t>
      </w:r>
      <w:r w:rsidR="00623974" w:rsidRPr="00623974">
        <w:t>s are regulated by State and Territory governments and adhere to professional standards for safety</w:t>
      </w:r>
      <w:r w:rsidR="00623974">
        <w:t xml:space="preserve"> and </w:t>
      </w:r>
      <w:r w:rsidR="00623974" w:rsidRPr="00623974">
        <w:t>disease control</w:t>
      </w:r>
      <w:r w:rsidR="00623974">
        <w:t xml:space="preserve"> </w:t>
      </w:r>
      <w:r w:rsidR="00DD690C">
        <w:t xml:space="preserve">(Chapter 1, Section </w:t>
      </w:r>
      <w:r w:rsidR="00DD690C">
        <w:fldChar w:fldCharType="begin"/>
      </w:r>
      <w:r w:rsidR="00DD690C">
        <w:instrText xml:space="preserve"> REF _Ref425251282 \n \h </w:instrText>
      </w:r>
      <w:r w:rsidR="00DD690C">
        <w:fldChar w:fldCharType="separate"/>
      </w:r>
      <w:r w:rsidR="00DD690C">
        <w:t>1.1</w:t>
      </w:r>
      <w:r w:rsidR="00DD690C">
        <w:fldChar w:fldCharType="end"/>
      </w:r>
      <w:r w:rsidR="00DD690C">
        <w:t>)</w:t>
      </w:r>
      <w:r w:rsidR="009F6EDA">
        <w:t>. Given those existing Guidelines</w:t>
      </w:r>
      <w:r w:rsidR="00DD690C">
        <w:t xml:space="preserve"> </w:t>
      </w:r>
      <w:r w:rsidR="00623974">
        <w:t>and the</w:t>
      </w:r>
      <w:r w:rsidR="00DB7B84">
        <w:t xml:space="preserve"> </w:t>
      </w:r>
      <w:r w:rsidR="009F6EDA">
        <w:t xml:space="preserve">expected low </w:t>
      </w:r>
      <w:r w:rsidR="00DB7B84">
        <w:t>amount of viable</w:t>
      </w:r>
      <w:r w:rsidR="00623974">
        <w:t xml:space="preserve"> GMO contained </w:t>
      </w:r>
      <w:r w:rsidR="009F6EDA">
        <w:t>with</w:t>
      </w:r>
      <w:r w:rsidR="00623974">
        <w:t xml:space="preserve">in the </w:t>
      </w:r>
      <w:r w:rsidR="00DD690C">
        <w:t>samples</w:t>
      </w:r>
      <w:r w:rsidR="009F6EDA">
        <w:t>,</w:t>
      </w:r>
      <w:r w:rsidR="00DD690C">
        <w:t xml:space="preserve"> no </w:t>
      </w:r>
      <w:r w:rsidR="00DD0A9E">
        <w:t xml:space="preserve">licence condition </w:t>
      </w:r>
      <w:r w:rsidR="009F6EDA">
        <w:t xml:space="preserve">relating to PPE </w:t>
      </w:r>
      <w:r w:rsidR="00DD0A9E">
        <w:t>is imposed on staff collecting and analysing samples.</w:t>
      </w:r>
    </w:p>
    <w:p w14:paraId="729F5BFF" w14:textId="615F624F" w:rsidR="007E1BBA" w:rsidRDefault="007E1BBA" w:rsidP="00C72058">
      <w:pPr>
        <w:pStyle w:val="RARMPnumberedparagraphs"/>
      </w:pPr>
      <w:r>
        <w:t>While recombination with other adenoviruses is considered unlikely to occur, a precautionary condition is included in the licence to exclude participants who have recently received a different adenovirus</w:t>
      </w:r>
      <w:r w:rsidR="005A0741">
        <w:t>-</w:t>
      </w:r>
      <w:r>
        <w:t>based therapy</w:t>
      </w:r>
      <w:r w:rsidR="005A2F6C">
        <w:t>.</w:t>
      </w:r>
    </w:p>
    <w:p w14:paraId="61BED247" w14:textId="151E70D0" w:rsidR="007E1BBA" w:rsidRPr="002F569D" w:rsidRDefault="007E1BBA" w:rsidP="00C72058">
      <w:pPr>
        <w:pStyle w:val="RARMPnumberedparagraphs"/>
      </w:pPr>
      <w:r w:rsidRPr="00612D03">
        <w:t xml:space="preserve">Due to the intravesical mode of administration, shedding of infectious viral particles from urine of the trial participants following the bladder installation is expected to last for a few days. </w:t>
      </w:r>
      <w:r w:rsidR="00812AEE">
        <w:t>A</w:t>
      </w:r>
      <w:r w:rsidRPr="00612D03">
        <w:t xml:space="preserve"> requirement has been included in the licence for the licence holder to instruct the patients to add bleach to the toilet bowl before urinating and disinfect voided urine for 15 min before flushing the toilet for 2 days following treatment, consistent with the requirements as per the </w:t>
      </w:r>
      <w:hyperlink r:id="rId46" w:history="1">
        <w:r w:rsidRPr="00612D03">
          <w:rPr>
            <w:rStyle w:val="Hyperlink"/>
          </w:rPr>
          <w:t>Package Insert for ADSTILADRIN</w:t>
        </w:r>
      </w:hyperlink>
      <w:r w:rsidRPr="00612D03">
        <w:t>.</w:t>
      </w:r>
    </w:p>
    <w:p w14:paraId="24B32D4A" w14:textId="06E8A5F2" w:rsidR="0011711E" w:rsidRDefault="0011711E" w:rsidP="00C72058">
      <w:pPr>
        <w:pStyle w:val="RARMPnumberedparagraphs"/>
      </w:pPr>
      <w:bookmarkStart w:id="395"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EB40E8">
        <w:t>L</w:t>
      </w:r>
      <w:r w:rsidRPr="002F569D">
        <w:t xml:space="preserve">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This is considered satisfactory, provided that the licence holder is only permitted to engage persons who can adhere to appropriate standards to conduct the dealings</w:t>
      </w:r>
      <w:r w:rsidR="00BF3D62">
        <w:t xml:space="preserve">. </w:t>
      </w:r>
    </w:p>
    <w:p w14:paraId="5033CCFC" w14:textId="381F4172"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rsidR="00824706">
        <w:instrText xml:space="preserve"> ADDIN EN.CITE &lt;EndNote&gt;&lt;Cite&gt;&lt;Author&gt;Biohazard Waste Industry&lt;/Author&gt;&lt;Year&gt;2010&lt;/Year&gt;&lt;RecNum&gt;53&lt;/RecNum&gt;&lt;DisplayText&gt;(Biohazard Waste Industry, 2010)&lt;/DisplayText&gt;&lt;record&gt;&lt;rec-number&gt;53&lt;/rec-number&gt;&lt;foreign-keys&gt;&lt;key app="EN" db-id="verwe2fxj5fev7epfz8xtdvez025feseze0z" timestamp="1732074052"&gt;53&lt;/key&gt;&lt;/foreign-keys&gt;&lt;ref-type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11" w:tooltip="Biohazard Waste Industry, 2010 #53" w:history="1">
        <w:r w:rsidR="0027195B">
          <w:rPr>
            <w:noProof/>
          </w:rPr>
          <w:t>Biohazard Waste Industry, 2010</w:t>
        </w:r>
      </w:hyperlink>
      <w:r>
        <w:rPr>
          <w:noProof/>
        </w:rPr>
        <w:t>)</w:t>
      </w:r>
      <w:r>
        <w:fldChar w:fldCharType="end"/>
      </w:r>
      <w:r>
        <w:t xml:space="preserve">. The clinical waste stream typically involves destruction of infectious waste by incineration or autoclaving, which are considered appropriate for disposal of the GMO. Given that </w:t>
      </w:r>
      <w:proofErr w:type="spellStart"/>
      <w:r w:rsidR="00185CD9">
        <w:t>AdV</w:t>
      </w:r>
      <w:proofErr w:type="spellEnd"/>
      <w:r w:rsidR="00185CD9">
        <w:t xml:space="preserve"> </w:t>
      </w:r>
      <w:r>
        <w:t>can persist in the environment</w:t>
      </w:r>
      <w:r w:rsidR="00185CD9">
        <w:t>,</w:t>
      </w:r>
      <w:r>
        <w:t xml:space="preserve"> </w:t>
      </w:r>
      <w:r w:rsidRPr="002F2B6C">
        <w:rPr>
          <w:rFonts w:asciiTheme="minorHAnsi" w:hAnsiTheme="minorHAnsi" w:cstheme="minorHAnsi"/>
        </w:rPr>
        <w:t xml:space="preserve">disposal measures such as </w:t>
      </w:r>
      <w:r w:rsidRPr="002F2B6C">
        <w:rPr>
          <w:rFonts w:asciiTheme="minorHAnsi" w:hAnsiTheme="minorHAnsi" w:cstheme="minorHAnsi"/>
        </w:rPr>
        <w:lastRenderedPageBreak/>
        <w:t>burial or maceration would not ensure containment. Therefore, t</w:t>
      </w:r>
      <w:r w:rsidRPr="002F569D">
        <w:t>he licence requires waste disposal by external service providers to be by autoclaving or high-temperature incineration. These measures would limit the exposure of people or other animals to the GMO</w:t>
      </w:r>
      <w:r w:rsidR="0011711E" w:rsidRPr="002F569D">
        <w:t>.</w:t>
      </w:r>
    </w:p>
    <w:p w14:paraId="0DC328FB" w14:textId="2414C591" w:rsidR="003D53C8" w:rsidRPr="008C40FA" w:rsidRDefault="003D53C8" w:rsidP="00C72058">
      <w:pPr>
        <w:pStyle w:val="RARMPnumberedparagraphs"/>
        <w:rPr>
          <w:color w:val="000000" w:themeColor="text1"/>
        </w:rPr>
      </w:pPr>
      <w:bookmarkStart w:id="396" w:name="_Ref22211047"/>
      <w:bookmarkEnd w:id="395"/>
      <w:r w:rsidRPr="008C40FA">
        <w:t xml:space="preserve">A standard condition is included in the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t>
      </w:r>
      <w:r w:rsidR="004B7735">
        <w:t>to</w:t>
      </w:r>
      <w:r w:rsidRPr="008C40FA">
        <w:t xml:space="preserve"> the condition explains that compliance may be achieved by only engaging persons who are required to adhere to appropriate standards to conduct the dealings.</w:t>
      </w:r>
      <w:bookmarkEnd w:id="396"/>
    </w:p>
    <w:p w14:paraId="1307D6F0" w14:textId="38DD1EEB"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licence state that only people authorised by the licence holder are covered by the licence, and that the licence holder must inform all people </w:t>
      </w:r>
      <w:r w:rsidRPr="000330FC">
        <w:t>dealing with the GMO</w:t>
      </w:r>
      <w:r>
        <w:t>, other than external service providers,</w:t>
      </w:r>
      <w:r w:rsidRPr="000330FC">
        <w:t xml:space="preserve"> of applicable licence conditions.</w:t>
      </w:r>
    </w:p>
    <w:p w14:paraId="2ECD800B" w14:textId="259F8111"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licence </w:t>
      </w:r>
      <w:r>
        <w:t xml:space="preserve">is </w:t>
      </w:r>
      <w:r w:rsidRPr="000330FC">
        <w:t>to ensure that a compliance management plan is in place for each clinical trial site before administration of the GMO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5F38F8B9" w:rsidR="003D53C8" w:rsidRPr="007377E3" w:rsidRDefault="003D53C8" w:rsidP="00C72058">
      <w:pPr>
        <w:pStyle w:val="RARMPnumberedparagraphs"/>
      </w:pPr>
      <w:proofErr w:type="gramStart"/>
      <w:r>
        <w:t>A number of</w:t>
      </w:r>
      <w:proofErr w:type="gramEnd"/>
      <w:r>
        <w:t xml:space="preserve"> licence conditions have been </w:t>
      </w:r>
      <w:r w:rsidR="00EB40E8">
        <w:t xml:space="preserve">included </w:t>
      </w:r>
      <w:r>
        <w:t>to limit and control the proposed clinical trial, based on th</w:t>
      </w:r>
      <w:r w:rsidRPr="007377E3">
        <w:t>e above considerations. These include requirements to:</w:t>
      </w:r>
    </w:p>
    <w:p w14:paraId="29570F4E" w14:textId="51075682" w:rsidR="00A732F7" w:rsidRDefault="003D53C8" w:rsidP="003D53C8">
      <w:pPr>
        <w:pStyle w:val="ListParagraph"/>
        <w:numPr>
          <w:ilvl w:val="0"/>
          <w:numId w:val="33"/>
        </w:numPr>
        <w:spacing w:before="0" w:after="0"/>
        <w:contextualSpacing/>
      </w:pPr>
      <w:r w:rsidRPr="007377E3">
        <w:t xml:space="preserve">limit the trial </w:t>
      </w:r>
      <w:r w:rsidRPr="00612D03">
        <w:t xml:space="preserve">to </w:t>
      </w:r>
      <w:r w:rsidR="003E6D1B">
        <w:t>25</w:t>
      </w:r>
      <w:r w:rsidR="003E6D1B" w:rsidRPr="00612D03">
        <w:t xml:space="preserve"> </w:t>
      </w:r>
      <w:r w:rsidRPr="00612D03">
        <w:t xml:space="preserve">trial </w:t>
      </w:r>
      <w:proofErr w:type="gramStart"/>
      <w:r w:rsidRPr="007377E3">
        <w:t>participants</w:t>
      </w:r>
      <w:r w:rsidR="00A732F7">
        <w:t>;</w:t>
      </w:r>
      <w:proofErr w:type="gramEnd"/>
    </w:p>
    <w:p w14:paraId="7B14D62E" w14:textId="7ED0D802" w:rsidR="003D53C8" w:rsidRDefault="00A732F7" w:rsidP="003D53C8">
      <w:pPr>
        <w:pStyle w:val="ListParagraph"/>
        <w:numPr>
          <w:ilvl w:val="0"/>
          <w:numId w:val="33"/>
        </w:numPr>
        <w:spacing w:before="0" w:after="0"/>
        <w:contextualSpacing/>
      </w:pPr>
      <w:r>
        <w:t xml:space="preserve">the trial must be conducted at suitable clinical trial </w:t>
      </w:r>
      <w:proofErr w:type="gramStart"/>
      <w:r>
        <w:t>sites</w:t>
      </w:r>
      <w:r w:rsidR="007B1D37">
        <w:t>;</w:t>
      </w:r>
      <w:proofErr w:type="gramEnd"/>
    </w:p>
    <w:p w14:paraId="62CC58B1" w14:textId="7EA53CDB" w:rsidR="004B7735" w:rsidRPr="007377E3" w:rsidRDefault="004B7735" w:rsidP="003D53C8">
      <w:pPr>
        <w:pStyle w:val="ListParagraph"/>
        <w:numPr>
          <w:ilvl w:val="0"/>
          <w:numId w:val="33"/>
        </w:numPr>
        <w:spacing w:before="0" w:after="0"/>
        <w:contextualSpacing/>
      </w:pPr>
      <w:r>
        <w:t xml:space="preserve">limit the time when the GMO can be administered to </w:t>
      </w:r>
      <w:r w:rsidR="00416238" w:rsidRPr="000F5594">
        <w:t>5</w:t>
      </w:r>
      <w:r>
        <w:t xml:space="preserve"> years from issue of the </w:t>
      </w:r>
      <w:proofErr w:type="gramStart"/>
      <w:r>
        <w:t>licence;</w:t>
      </w:r>
      <w:proofErr w:type="gramEnd"/>
    </w:p>
    <w:p w14:paraId="6969A29D" w14:textId="5D58BE17" w:rsidR="003D53C8" w:rsidRPr="007377E3" w:rsidRDefault="003D53C8" w:rsidP="003D53C8">
      <w:pPr>
        <w:pStyle w:val="ListParagraph"/>
        <w:numPr>
          <w:ilvl w:val="0"/>
          <w:numId w:val="33"/>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rsidP="003D53C8">
      <w:pPr>
        <w:pStyle w:val="ListParagraph"/>
        <w:numPr>
          <w:ilvl w:val="0"/>
          <w:numId w:val="33"/>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rsidP="003D53C8">
      <w:pPr>
        <w:pStyle w:val="ListParagraph"/>
        <w:numPr>
          <w:ilvl w:val="0"/>
          <w:numId w:val="33"/>
        </w:numPr>
        <w:spacing w:before="0" w:after="0"/>
        <w:contextualSpacing/>
      </w:pPr>
      <w:r w:rsidRPr="007377E3">
        <w:t xml:space="preserve">ensure appropriate PPE is </w:t>
      </w:r>
      <w:proofErr w:type="gramStart"/>
      <w:r w:rsidRPr="007377E3">
        <w:t>used</w:t>
      </w:r>
      <w:r w:rsidR="007B1D37">
        <w:t>;</w:t>
      </w:r>
      <w:proofErr w:type="gramEnd"/>
    </w:p>
    <w:p w14:paraId="0C776341" w14:textId="53B37C28" w:rsidR="003D53C8" w:rsidRPr="007377E3" w:rsidRDefault="003D53C8" w:rsidP="003D53C8">
      <w:pPr>
        <w:pStyle w:val="ListParagraph"/>
        <w:numPr>
          <w:ilvl w:val="0"/>
          <w:numId w:val="33"/>
        </w:numPr>
        <w:spacing w:before="0" w:after="0"/>
        <w:contextualSpacing/>
      </w:pPr>
      <w:r w:rsidRPr="007377E3">
        <w:t xml:space="preserve">restrict personnel permitted to administer the </w:t>
      </w:r>
      <w:proofErr w:type="gramStart"/>
      <w:r w:rsidRPr="007377E3">
        <w:t>GMO</w:t>
      </w:r>
      <w:r w:rsidR="007B1D37">
        <w:t>;</w:t>
      </w:r>
      <w:proofErr w:type="gramEnd"/>
    </w:p>
    <w:p w14:paraId="5B27688A" w14:textId="59AD3E1C" w:rsidR="003D53C8" w:rsidRDefault="003D53C8" w:rsidP="007F53F0">
      <w:pPr>
        <w:pStyle w:val="ListParagraph"/>
        <w:numPr>
          <w:ilvl w:val="0"/>
          <w:numId w:val="33"/>
        </w:numPr>
        <w:spacing w:before="0" w:after="0"/>
        <w:contextualSpacing/>
      </w:pPr>
      <w:r w:rsidRPr="007377E3">
        <w:t xml:space="preserve">requiring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5D39A504" w14:textId="65D2DAC6" w:rsidR="00416238" w:rsidRPr="00D417CC" w:rsidRDefault="00B71F84" w:rsidP="007F53F0">
      <w:pPr>
        <w:pStyle w:val="ListParagraph"/>
        <w:numPr>
          <w:ilvl w:val="0"/>
          <w:numId w:val="33"/>
        </w:numPr>
        <w:spacing w:before="0" w:after="0"/>
        <w:contextualSpacing/>
      </w:pPr>
      <w:r w:rsidRPr="00D417CC">
        <w:t>I</w:t>
      </w:r>
      <w:r w:rsidR="00416238" w:rsidRPr="00D417CC">
        <w:t>nstruct</w:t>
      </w:r>
      <w:r w:rsidRPr="00D417CC">
        <w:t>ing</w:t>
      </w:r>
      <w:r w:rsidR="00416238" w:rsidRPr="00D417CC">
        <w:t xml:space="preserve"> the patients to disinfect voided urine </w:t>
      </w:r>
      <w:r w:rsidRPr="00D417CC">
        <w:t xml:space="preserve">in the toilet bowl </w:t>
      </w:r>
      <w:r w:rsidR="00416238" w:rsidRPr="00D417CC">
        <w:t xml:space="preserve">before flushing the toilet for 2 days following </w:t>
      </w:r>
      <w:proofErr w:type="gramStart"/>
      <w:r w:rsidR="00416238" w:rsidRPr="00D417CC">
        <w:t>treatment;</w:t>
      </w:r>
      <w:proofErr w:type="gramEnd"/>
    </w:p>
    <w:p w14:paraId="11E24B41" w14:textId="4B2A3AA1" w:rsidR="003D53C8" w:rsidRDefault="003D53C8" w:rsidP="003D53C8">
      <w:pPr>
        <w:pStyle w:val="ListParagraph"/>
        <w:numPr>
          <w:ilvl w:val="0"/>
          <w:numId w:val="33"/>
        </w:numPr>
        <w:spacing w:before="0" w:after="0"/>
        <w:contextualSpacing/>
      </w:pPr>
      <w:r w:rsidRPr="007377E3">
        <w:t>transport and store the GMO and sample</w:t>
      </w:r>
      <w:r>
        <w:t xml:space="preserve">s from GMO-treated participants </w:t>
      </w:r>
      <w:r w:rsidRPr="007377E3">
        <w:t xml:space="preserve">in accordance with </w:t>
      </w:r>
      <w:r w:rsidRPr="00274CA2">
        <w:t xml:space="preserve">IATA shipping classification </w:t>
      </w:r>
      <w:r w:rsidR="00812AEE">
        <w:t xml:space="preserve">UN 3245 or </w:t>
      </w:r>
      <w:r w:rsidRPr="00283970">
        <w:t>UN 3373 [Category B]</w:t>
      </w:r>
      <w:r>
        <w:t xml:space="preserve"> and/or </w:t>
      </w:r>
      <w:r w:rsidRPr="007377E3">
        <w:t xml:space="preserve">the </w:t>
      </w:r>
      <w:r>
        <w:t xml:space="preserve">minimum requirements for packaging, and labelling as detailed in the </w:t>
      </w:r>
      <w:proofErr w:type="gramStart"/>
      <w:r>
        <w:t>licence</w:t>
      </w:r>
      <w:r w:rsidR="007B1D37">
        <w:t>;</w:t>
      </w:r>
      <w:proofErr w:type="gramEnd"/>
    </w:p>
    <w:p w14:paraId="316DBD47" w14:textId="0998DA9B" w:rsidR="003D53C8" w:rsidRDefault="003D53C8" w:rsidP="003D53C8">
      <w:pPr>
        <w:pStyle w:val="ListParagraph"/>
        <w:numPr>
          <w:ilvl w:val="0"/>
          <w:numId w:val="33"/>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97" w:name="_Toc61015663"/>
      <w:bookmarkStart w:id="398" w:name="_Toc226975030"/>
      <w:r>
        <w:t>Other risk management considerations</w:t>
      </w:r>
      <w:bookmarkEnd w:id="397"/>
      <w:bookmarkEnd w:id="398"/>
    </w:p>
    <w:p w14:paraId="448696B0" w14:textId="36FC3945" w:rsidR="003D53C8" w:rsidRDefault="003D53C8" w:rsidP="00C72058">
      <w:pPr>
        <w:pStyle w:val="RARMPnumberedparagraphs"/>
      </w:pPr>
      <w:r>
        <w:t>All DIR licences issued by the Regulator contain conditions that relate to general risk management. These include conditions relating to:</w:t>
      </w:r>
    </w:p>
    <w:p w14:paraId="7A4FC7BC" w14:textId="77777777" w:rsidR="003D53C8" w:rsidRPr="007C0C74" w:rsidRDefault="003D53C8" w:rsidP="0001323A">
      <w:pPr>
        <w:pStyle w:val="ListParagraph"/>
        <w:numPr>
          <w:ilvl w:val="0"/>
          <w:numId w:val="59"/>
        </w:numPr>
        <w:spacing w:before="0" w:after="0"/>
        <w:contextualSpacing/>
      </w:pPr>
      <w:r w:rsidRPr="007C0C74">
        <w:t>applicant suitability</w:t>
      </w:r>
    </w:p>
    <w:p w14:paraId="61AE636B" w14:textId="77777777" w:rsidR="003D53C8" w:rsidRPr="007C0C74" w:rsidRDefault="003D53C8" w:rsidP="0001323A">
      <w:pPr>
        <w:pStyle w:val="ListParagraph"/>
        <w:numPr>
          <w:ilvl w:val="0"/>
          <w:numId w:val="59"/>
        </w:numPr>
        <w:spacing w:before="0" w:after="0"/>
        <w:contextualSpacing/>
      </w:pPr>
      <w:r w:rsidRPr="007C0C74">
        <w:t>contingency plans</w:t>
      </w:r>
    </w:p>
    <w:p w14:paraId="7A28DDE7" w14:textId="77777777" w:rsidR="003D53C8" w:rsidRPr="007C0C74" w:rsidRDefault="003D53C8" w:rsidP="0001323A">
      <w:pPr>
        <w:pStyle w:val="ListParagraph"/>
        <w:numPr>
          <w:ilvl w:val="0"/>
          <w:numId w:val="59"/>
        </w:numPr>
        <w:spacing w:before="0" w:after="0"/>
        <w:contextualSpacing/>
      </w:pPr>
      <w:r w:rsidRPr="007C0C74">
        <w:t>identification of the persons or classes of persons covered by the licence</w:t>
      </w:r>
    </w:p>
    <w:p w14:paraId="0CD5E58D" w14:textId="77777777" w:rsidR="003D53C8" w:rsidRPr="007C0C74" w:rsidRDefault="003D53C8" w:rsidP="0001323A">
      <w:pPr>
        <w:pStyle w:val="ListParagraph"/>
        <w:numPr>
          <w:ilvl w:val="0"/>
          <w:numId w:val="59"/>
        </w:numPr>
        <w:spacing w:before="0" w:after="0"/>
        <w:contextualSpacing/>
      </w:pPr>
      <w:r w:rsidRPr="007C0C74">
        <w:t>reporting requirements</w:t>
      </w:r>
    </w:p>
    <w:p w14:paraId="04D404CE" w14:textId="77777777" w:rsidR="003D53C8" w:rsidRDefault="003D53C8" w:rsidP="0001323A">
      <w:pPr>
        <w:pStyle w:val="ListParagraph"/>
        <w:numPr>
          <w:ilvl w:val="0"/>
          <w:numId w:val="59"/>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lastRenderedPageBreak/>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t>
      </w:r>
      <w:proofErr w:type="gramStart"/>
      <w:r>
        <w:t>whether or not</w:t>
      </w:r>
      <w:proofErr w:type="gramEnd"/>
      <w:r>
        <w:t xml:space="preserve">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rsidP="0001323A">
      <w:pPr>
        <w:pStyle w:val="ListParagraph"/>
        <w:numPr>
          <w:ilvl w:val="0"/>
          <w:numId w:val="60"/>
        </w:numPr>
        <w:spacing w:before="0" w:after="0"/>
        <w:contextualSpacing/>
      </w:pPr>
      <w:r>
        <w:t>any relevant convictions of the applicant</w:t>
      </w:r>
    </w:p>
    <w:p w14:paraId="680DE268" w14:textId="77777777" w:rsidR="003D53C8" w:rsidRDefault="003D53C8" w:rsidP="0001323A">
      <w:pPr>
        <w:pStyle w:val="ListParagraph"/>
        <w:numPr>
          <w:ilvl w:val="0"/>
          <w:numId w:val="60"/>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rsidP="0001323A">
      <w:pPr>
        <w:pStyle w:val="ListParagraph"/>
        <w:numPr>
          <w:ilvl w:val="0"/>
          <w:numId w:val="60"/>
        </w:numPr>
        <w:spacing w:before="0" w:after="0"/>
        <w:contextualSpacing/>
      </w:pPr>
      <w:r>
        <w:t>the capacity of the applicant to meet the conditions of the licence.</w:t>
      </w:r>
    </w:p>
    <w:p w14:paraId="3E2F1BE0" w14:textId="6509FBCC" w:rsidR="003D53C8" w:rsidRDefault="00D523AC" w:rsidP="00C72058">
      <w:pPr>
        <w:pStyle w:val="RARMPnumberedparagraphs"/>
      </w:pPr>
      <w:r>
        <w:t>T</w:t>
      </w:r>
      <w:r w:rsidR="003D53C8">
        <w:t xml:space="preserve">he </w:t>
      </w:r>
      <w:r>
        <w:t xml:space="preserve">licence </w:t>
      </w:r>
      <w:r w:rsidR="003D53C8">
        <w:t>conditions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6DF2D3C2" w:rsidR="003D53C8" w:rsidRDefault="004D2539" w:rsidP="00C72058">
      <w:pPr>
        <w:pStyle w:val="RARMPnumberedparagraphs"/>
      </w:pPr>
      <w:r w:rsidRPr="00612D03">
        <w:t>Ferring</w:t>
      </w:r>
      <w:r w:rsidR="00A468DA" w:rsidRPr="00612D03">
        <w:t xml:space="preserve"> </w:t>
      </w:r>
      <w:r w:rsidR="003D53C8">
        <w:t>is</w:t>
      </w:r>
      <w:r w:rsidR="003D53C8" w:rsidRPr="00961290">
        <w:t xml:space="preserve"> required to submit a contingency plan to the Regulator before </w:t>
      </w:r>
      <w:r w:rsidR="003D53C8">
        <w:t xml:space="preserve">commencing </w:t>
      </w:r>
      <w:r w:rsidR="003D53C8" w:rsidRPr="00961290">
        <w:t>dealing</w:t>
      </w:r>
      <w:r w:rsidR="003D53C8">
        <w:t>s</w:t>
      </w:r>
      <w:r w:rsidR="003D53C8" w:rsidRPr="00961290">
        <w:t xml:space="preserve"> with the GMO. This plan w</w:t>
      </w:r>
      <w:r w:rsidR="003D53C8">
        <w:t>ill</w:t>
      </w:r>
      <w:r w:rsidR="003D53C8" w:rsidRPr="00961290">
        <w:t xml:space="preserve"> detail measures to be undertaken in the event of</w:t>
      </w:r>
      <w:r w:rsidR="003D53C8">
        <w:t>:</w:t>
      </w:r>
    </w:p>
    <w:p w14:paraId="0CC4A477" w14:textId="3C432E1D" w:rsidR="003D53C8" w:rsidRPr="005D03A7" w:rsidRDefault="003D53C8" w:rsidP="0001323A">
      <w:pPr>
        <w:pStyle w:val="ListParagraph"/>
        <w:numPr>
          <w:ilvl w:val="0"/>
          <w:numId w:val="61"/>
        </w:numPr>
        <w:spacing w:before="0" w:after="0"/>
        <w:contextualSpacing/>
      </w:pPr>
      <w:r w:rsidRPr="005D03A7">
        <w:t>the unintended release of the GMO, including spills</w:t>
      </w:r>
    </w:p>
    <w:p w14:paraId="6EE62BB0" w14:textId="77777777" w:rsidR="003D53C8" w:rsidRPr="005D03A7" w:rsidRDefault="003D53C8" w:rsidP="0001323A">
      <w:pPr>
        <w:pStyle w:val="ListParagraph"/>
        <w:numPr>
          <w:ilvl w:val="0"/>
          <w:numId w:val="61"/>
        </w:numPr>
        <w:spacing w:before="0" w:after="0"/>
        <w:contextualSpacing/>
      </w:pPr>
      <w:r w:rsidRPr="005D03A7">
        <w:t>exposure of, or transmission to persons other than trial participants</w:t>
      </w:r>
    </w:p>
    <w:p w14:paraId="0F270390" w14:textId="784CD4D1" w:rsidR="003D53C8" w:rsidRPr="005D03A7" w:rsidRDefault="003D53C8" w:rsidP="0001323A">
      <w:pPr>
        <w:pStyle w:val="ListParagraph"/>
        <w:numPr>
          <w:ilvl w:val="0"/>
          <w:numId w:val="61"/>
        </w:numPr>
        <w:spacing w:before="0" w:after="0"/>
        <w:contextualSpacing/>
      </w:pPr>
      <w:r w:rsidRPr="005D03A7">
        <w:t>a person exposed to the GMO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70B76540" w:rsidR="003D53C8" w:rsidRPr="00961290" w:rsidRDefault="00D523AC" w:rsidP="00C72058">
      <w:pPr>
        <w:pStyle w:val="RARMPnumberedparagraphs"/>
      </w:pPr>
      <w:r>
        <w:t>T</w:t>
      </w:r>
      <w:r w:rsidR="003D53C8" w:rsidRPr="00961290">
        <w:t xml:space="preserve">he persons covered by the licence </w:t>
      </w:r>
      <w:r>
        <w:t>are</w:t>
      </w:r>
      <w:r w:rsidR="003D53C8" w:rsidRPr="00961290">
        <w:t xml:space="preserv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rsidR="003D53C8">
        <w:t>s</w:t>
      </w:r>
      <w:r w:rsidR="003D53C8" w:rsidRPr="00961290">
        <w:t xml:space="preserve"> with the G</w:t>
      </w:r>
      <w:r w:rsidR="003D53C8">
        <w:t>MO,</w:t>
      </w:r>
      <w:r w:rsidR="00A468DA">
        <w:t xml:space="preserve"> </w:t>
      </w:r>
      <w:r w:rsidR="004D2539" w:rsidRPr="00612D03">
        <w:t>Ferring</w:t>
      </w:r>
      <w:r w:rsidR="003D53C8" w:rsidRPr="00612D03">
        <w:t xml:space="preserve"> </w:t>
      </w:r>
      <w:r w:rsidR="003D53C8">
        <w:t>is</w:t>
      </w:r>
      <w:r w:rsidR="003D53C8" w:rsidRPr="00961290">
        <w:t xml:space="preserve"> required to provide a list of people and organisations that </w:t>
      </w:r>
      <w:r w:rsidR="003D53C8">
        <w:t>are</w:t>
      </w:r>
      <w:r w:rsidR="003D53C8"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479A70AF" w:rsidR="003D53C8" w:rsidRPr="00A068AA" w:rsidRDefault="00D523AC" w:rsidP="00C72058">
      <w:pPr>
        <w:pStyle w:val="RARMPnumberedparagraphs"/>
      </w:pPr>
      <w:r>
        <w:t>T</w:t>
      </w:r>
      <w:r w:rsidR="003D53C8" w:rsidRPr="00A068AA">
        <w:t>he licence require</w:t>
      </w:r>
      <w:r>
        <w:t>s</w:t>
      </w:r>
      <w:r w:rsidR="003D53C8" w:rsidRPr="00A068AA">
        <w:t xml:space="preserve"> the licence holder to immediately report any of the following to the Regulator:</w:t>
      </w:r>
    </w:p>
    <w:p w14:paraId="5322936C" w14:textId="77777777" w:rsidR="003D53C8" w:rsidRPr="00A068AA" w:rsidRDefault="003D53C8" w:rsidP="0001323A">
      <w:pPr>
        <w:pStyle w:val="ListParagraph"/>
        <w:numPr>
          <w:ilvl w:val="0"/>
          <w:numId w:val="62"/>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01323A">
      <w:pPr>
        <w:pStyle w:val="ListParagraph"/>
        <w:numPr>
          <w:ilvl w:val="0"/>
          <w:numId w:val="62"/>
        </w:numPr>
        <w:spacing w:before="0" w:after="0"/>
        <w:contextualSpacing/>
      </w:pPr>
      <w:r w:rsidRPr="007672C7">
        <w:t>any contraventions of the licence by persons covered by the licence</w:t>
      </w:r>
    </w:p>
    <w:p w14:paraId="3CF1E256" w14:textId="77777777" w:rsidR="003D53C8" w:rsidRPr="007672C7" w:rsidRDefault="003D53C8" w:rsidP="0001323A">
      <w:pPr>
        <w:pStyle w:val="ListParagraph"/>
        <w:numPr>
          <w:ilvl w:val="0"/>
          <w:numId w:val="62"/>
        </w:numPr>
        <w:spacing w:before="0" w:after="0"/>
        <w:contextualSpacing/>
      </w:pPr>
      <w:r w:rsidRPr="007672C7">
        <w:t>any unintended effects of the clinical trial.</w:t>
      </w:r>
    </w:p>
    <w:p w14:paraId="2684C181" w14:textId="779519DA" w:rsidR="003D53C8" w:rsidRPr="007672C7" w:rsidRDefault="0032288E" w:rsidP="00C72058">
      <w:pPr>
        <w:pStyle w:val="RARMPnumberedparagraphs"/>
      </w:pPr>
      <w:r>
        <w:t>W</w:t>
      </w:r>
      <w:r w:rsidRPr="007672C7">
        <w:t xml:space="preserve">ritten </w:t>
      </w:r>
      <w:r w:rsidR="003D53C8" w:rsidRPr="007672C7">
        <w:t>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01323A">
      <w:pPr>
        <w:pStyle w:val="ListParagraph"/>
        <w:numPr>
          <w:ilvl w:val="0"/>
          <w:numId w:val="63"/>
        </w:numPr>
        <w:spacing w:before="0" w:after="0"/>
        <w:contextualSpacing/>
      </w:pPr>
      <w:r w:rsidRPr="007672C7">
        <w:t>identification of the clinical trial sites where administration of the GMO to trial participants would take place</w:t>
      </w:r>
    </w:p>
    <w:p w14:paraId="795FCCD9" w14:textId="316A490B" w:rsidR="003D53C8" w:rsidRPr="007672C7" w:rsidRDefault="003D53C8" w:rsidP="0001323A">
      <w:pPr>
        <w:pStyle w:val="ListParagraph"/>
        <w:numPr>
          <w:ilvl w:val="0"/>
          <w:numId w:val="63"/>
        </w:numPr>
        <w:spacing w:before="0" w:after="0"/>
        <w:contextualSpacing/>
      </w:pPr>
      <w:r w:rsidRPr="007672C7">
        <w:t>expected date of administration with the GMO for each clinical trial site</w:t>
      </w:r>
    </w:p>
    <w:p w14:paraId="6B429C9C" w14:textId="6BC0EF3F" w:rsidR="003D53C8" w:rsidRPr="007672C7" w:rsidRDefault="003D53C8" w:rsidP="0001323A">
      <w:pPr>
        <w:pStyle w:val="ListParagraph"/>
        <w:numPr>
          <w:ilvl w:val="0"/>
          <w:numId w:val="63"/>
        </w:numPr>
        <w:spacing w:before="0" w:after="0"/>
        <w:contextualSpacing/>
      </w:pPr>
      <w:r w:rsidRPr="007672C7">
        <w:t xml:space="preserve">cease of </w:t>
      </w:r>
      <w:r>
        <w:t>administration</w:t>
      </w:r>
      <w:r w:rsidRPr="007672C7">
        <w:t xml:space="preserve"> with the GMO for each clinical trial site</w:t>
      </w:r>
      <w:r w:rsidR="00DF4F86">
        <w:t>.</w:t>
      </w:r>
      <w:r w:rsidRPr="007672C7">
        <w:t xml:space="preserv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lastRenderedPageBreak/>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399" w:name="_Ref57213894"/>
      <w:bookmarkStart w:id="400" w:name="_Toc61015664"/>
      <w:bookmarkStart w:id="401" w:name="_Toc226975031"/>
      <w:r>
        <w:t>Issues to be addressed for future releases</w:t>
      </w:r>
      <w:bookmarkEnd w:id="399"/>
      <w:bookmarkEnd w:id="400"/>
      <w:bookmarkEnd w:id="401"/>
    </w:p>
    <w:p w14:paraId="2E0369F5" w14:textId="31375A35" w:rsidR="003D53C8" w:rsidRPr="00076FB0" w:rsidRDefault="004A2BE6" w:rsidP="004A2BE6">
      <w:pPr>
        <w:pStyle w:val="RARMPnumberedparagraphs"/>
      </w:pPr>
      <w:r w:rsidRPr="00076FB0">
        <w:t xml:space="preserve">As noted in </w:t>
      </w:r>
      <w:r w:rsidRPr="00076FB0">
        <w:fldChar w:fldCharType="begin"/>
      </w:r>
      <w:r w:rsidRPr="00076FB0">
        <w:instrText xml:space="preserve"> REF _Ref67492223 \n \h </w:instrText>
      </w:r>
      <w:r w:rsidRPr="00076FB0">
        <w:fldChar w:fldCharType="separate"/>
      </w:r>
      <w:r w:rsidRPr="00076FB0">
        <w:t>Chapter 2</w:t>
      </w:r>
      <w:r w:rsidRPr="00076FB0">
        <w:fldChar w:fldCharType="end"/>
      </w:r>
      <w:r w:rsidRPr="00076FB0">
        <w:t xml:space="preserve">, </w:t>
      </w:r>
      <w:r w:rsidRPr="00076FB0">
        <w:fldChar w:fldCharType="begin"/>
      </w:r>
      <w:r w:rsidRPr="00076FB0">
        <w:instrText xml:space="preserve"> REF _Ref67492224 \n \h </w:instrText>
      </w:r>
      <w:r w:rsidRPr="00076FB0">
        <w:fldChar w:fldCharType="separate"/>
      </w:r>
      <w:r w:rsidRPr="00076FB0">
        <w:t>Section 3</w:t>
      </w:r>
      <w:r w:rsidRPr="00076FB0">
        <w:fldChar w:fldCharType="end"/>
      </w:r>
      <w:r w:rsidRPr="00076FB0">
        <w:t xml:space="preserve">, the level of uncertainty in this risk assessment is considered low and the commercial release of the GMO has been approved under the DIR 217 licence, </w:t>
      </w:r>
      <w:r w:rsidR="00DF4F86">
        <w:t xml:space="preserve">and therefore </w:t>
      </w:r>
      <w:r w:rsidRPr="00076FB0">
        <w:t>no further issues have been identified that may be required to assess any future applica</w:t>
      </w:r>
      <w:r w:rsidR="005E711D" w:rsidRPr="00076FB0">
        <w:t>tions.</w:t>
      </w:r>
      <w:r w:rsidRPr="00076FB0">
        <w:t xml:space="preserve"> </w:t>
      </w:r>
    </w:p>
    <w:p w14:paraId="5404B013" w14:textId="77777777" w:rsidR="003D53C8" w:rsidRDefault="003D53C8" w:rsidP="003D53C8">
      <w:pPr>
        <w:pStyle w:val="Style2"/>
        <w:numPr>
          <w:ilvl w:val="1"/>
          <w:numId w:val="2"/>
        </w:numPr>
        <w:tabs>
          <w:tab w:val="num" w:pos="1985"/>
        </w:tabs>
      </w:pPr>
      <w:bookmarkStart w:id="402" w:name="_Toc61015665"/>
      <w:bookmarkStart w:id="403" w:name="_Toc226975032"/>
      <w:r>
        <w:t>Conclusions of the consultation RARMP</w:t>
      </w:r>
      <w:bookmarkEnd w:id="402"/>
      <w:bookmarkEnd w:id="403"/>
    </w:p>
    <w:p w14:paraId="52E39B19" w14:textId="431CD509" w:rsidR="003D53C8" w:rsidRDefault="003D53C8" w:rsidP="00C72058">
      <w:pPr>
        <w:pStyle w:val="RARMPnumberedparagraphs"/>
      </w:pPr>
      <w:r>
        <w:t xml:space="preserve">The risk assessment concludes that the proposed clinical trial of the GMO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52CCCAC2" w:rsidR="00921BE9" w:rsidRPr="0000143A" w:rsidRDefault="003436B4" w:rsidP="00C72058">
      <w:pPr>
        <w:pStyle w:val="RARMPnumberedparagraphs"/>
      </w:pPr>
      <w:r>
        <w:t>C</w:t>
      </w:r>
      <w:r w:rsidR="003D53C8">
        <w:t>onditions are imposed to limit the trial to the proposed scale, location and duration, and to restrict the spread and persistence of the GMO and its genetic material in the environment, as these were important considerations in establishing the context for assessing the risks.</w:t>
      </w:r>
    </w:p>
    <w:bookmarkEnd w:id="376"/>
    <w:bookmarkEnd w:id="377"/>
    <w:bookmarkEnd w:id="378"/>
    <w:bookmarkEnd w:id="379"/>
    <w:bookmarkEnd w:id="380"/>
    <w:bookmarkEnd w:id="381"/>
    <w:bookmarkEnd w:id="382"/>
    <w:p w14:paraId="01B1C279" w14:textId="77777777" w:rsidR="00F91D23" w:rsidRDefault="00F91D23" w:rsidP="00ED664E">
      <w:pPr>
        <w:sectPr w:rsidR="00F91D23" w:rsidSect="00D83417">
          <w:footerReference w:type="default" r:id="rId47"/>
          <w:pgSz w:w="11909" w:h="16834" w:code="9"/>
          <w:pgMar w:top="1418" w:right="1418" w:bottom="1418" w:left="1418" w:header="720" w:footer="720" w:gutter="0"/>
          <w:paperSrc w:first="2" w:other="2"/>
          <w:cols w:space="720"/>
          <w:rtlGutter/>
        </w:sectPr>
      </w:pPr>
    </w:p>
    <w:p w14:paraId="035D4EF1" w14:textId="01EF921E" w:rsidR="00500DA1" w:rsidRPr="0000143A" w:rsidRDefault="00386D0F" w:rsidP="00DC2DD2">
      <w:pPr>
        <w:pStyle w:val="1RARMP"/>
        <w:numPr>
          <w:ilvl w:val="0"/>
          <w:numId w:val="0"/>
        </w:numPr>
      </w:pPr>
      <w:bookmarkStart w:id="404" w:name="_Toc47536793"/>
      <w:bookmarkStart w:id="405" w:name="_Toc226975033"/>
      <w:r w:rsidRPr="00DC2DD2">
        <w:lastRenderedPageBreak/>
        <w:t>References</w:t>
      </w:r>
      <w:bookmarkEnd w:id="404"/>
      <w:bookmarkEnd w:id="405"/>
    </w:p>
    <w:p w14:paraId="0593A8B7" w14:textId="77777777" w:rsidR="0027195B" w:rsidRPr="0027195B" w:rsidRDefault="00D13F31" w:rsidP="0027195B">
      <w:pPr>
        <w:pStyle w:val="EndNoteBibliography"/>
        <w:spacing w:after="240"/>
      </w:pPr>
      <w:r w:rsidRPr="0000143A">
        <w:fldChar w:fldCharType="begin"/>
      </w:r>
      <w:r w:rsidRPr="0000143A">
        <w:instrText xml:space="preserve"> ADDIN EN.REFLIST </w:instrText>
      </w:r>
      <w:r w:rsidRPr="0000143A">
        <w:fldChar w:fldCharType="separate"/>
      </w:r>
      <w:bookmarkStart w:id="406" w:name="_ENREF_1"/>
      <w:r w:rsidR="0027195B" w:rsidRPr="0027195B">
        <w:t>Abad, F.X., Pintó, R.M., and Bosch, A. (1994). Survival of enteric viruses on environmental fomites. Applied and environmental microbiology</w:t>
      </w:r>
      <w:r w:rsidR="0027195B" w:rsidRPr="0027195B">
        <w:rPr>
          <w:i/>
        </w:rPr>
        <w:t xml:space="preserve"> 60</w:t>
      </w:r>
      <w:r w:rsidR="0027195B" w:rsidRPr="0027195B">
        <w:t>, 3704-3710.</w:t>
      </w:r>
      <w:bookmarkEnd w:id="406"/>
    </w:p>
    <w:p w14:paraId="0D26ACAD" w14:textId="0C4697CC" w:rsidR="0027195B" w:rsidRPr="0027195B" w:rsidRDefault="0027195B" w:rsidP="0027195B">
      <w:pPr>
        <w:pStyle w:val="EndNoteBibliography"/>
        <w:spacing w:after="240"/>
      </w:pPr>
      <w:bookmarkStart w:id="407" w:name="_ENREF_2"/>
      <w:r w:rsidRPr="0027195B">
        <w:t xml:space="preserve">ACT (2017). Clinical Waste Act 1990. (ACT Government) Accessed: December 2020. </w:t>
      </w:r>
      <w:hyperlink r:id="rId48" w:history="1">
        <w:r w:rsidRPr="0027195B">
          <w:rPr>
            <w:rStyle w:val="Hyperlink"/>
          </w:rPr>
          <w:t>https://www.legislation.act.gov.au/a/1990-5/</w:t>
        </w:r>
      </w:hyperlink>
      <w:r w:rsidRPr="0027195B">
        <w:t>.</w:t>
      </w:r>
      <w:bookmarkEnd w:id="407"/>
    </w:p>
    <w:p w14:paraId="7741192E" w14:textId="77777777" w:rsidR="0027195B" w:rsidRPr="0027195B" w:rsidRDefault="0027195B" w:rsidP="0027195B">
      <w:pPr>
        <w:pStyle w:val="EndNoteBibliography"/>
        <w:spacing w:after="240"/>
      </w:pPr>
      <w:bookmarkStart w:id="408" w:name="_ENREF_3"/>
      <w:r w:rsidRPr="0027195B">
        <w:t>Adam, L., Black, P.C., Kassouf, W., Eve, B., McConkey, D., Munsell, M.F., Benedict, W.F.</w:t>
      </w:r>
      <w:r w:rsidRPr="0027195B">
        <w:rPr>
          <w:i/>
        </w:rPr>
        <w:t>, et al.</w:t>
      </w:r>
      <w:r w:rsidRPr="0027195B">
        <w:t xml:space="preserve"> (2007). Adenoviral mediated interferon-α 2b gene therapy suppresses the pro-angiogenic effect of vascular endothelial growth factor in superficial bladder cancer. The Journal of Urology</w:t>
      </w:r>
      <w:r w:rsidRPr="0027195B">
        <w:rPr>
          <w:i/>
        </w:rPr>
        <w:t xml:space="preserve"> 177</w:t>
      </w:r>
      <w:r w:rsidRPr="0027195B">
        <w:t>, 1900-1906.</w:t>
      </w:r>
      <w:bookmarkEnd w:id="408"/>
    </w:p>
    <w:p w14:paraId="48997320" w14:textId="77777777" w:rsidR="0027195B" w:rsidRPr="0027195B" w:rsidRDefault="0027195B" w:rsidP="0027195B">
      <w:pPr>
        <w:pStyle w:val="EndNoteBibliography"/>
        <w:spacing w:after="240"/>
      </w:pPr>
      <w:bookmarkStart w:id="409" w:name="_ENREF_4"/>
      <w:r w:rsidRPr="0027195B">
        <w:t>Afkhami, S., Yao, Y., and Xing, Z. (2016). Methods and clinical development of adenovirus-vectored vaccines against mucosal pathogens. Molecular Therapy - Methods &amp; Clinical Development</w:t>
      </w:r>
      <w:r w:rsidRPr="0027195B">
        <w:rPr>
          <w:i/>
        </w:rPr>
        <w:t xml:space="preserve"> 3</w:t>
      </w:r>
      <w:r w:rsidRPr="0027195B">
        <w:t>, 16030.</w:t>
      </w:r>
      <w:bookmarkEnd w:id="409"/>
    </w:p>
    <w:p w14:paraId="25DDE91D" w14:textId="77777777" w:rsidR="0027195B" w:rsidRPr="0027195B" w:rsidRDefault="0027195B" w:rsidP="0027195B">
      <w:pPr>
        <w:pStyle w:val="EndNoteBibliography"/>
        <w:spacing w:after="240"/>
      </w:pPr>
      <w:bookmarkStart w:id="410" w:name="_ENREF_5"/>
      <w:r w:rsidRPr="0027195B">
        <w:t>Ahi, Y.S., and Mittal, S.K. (2016). Components of Adenovirus Genome Packaging. Front Microbiol</w:t>
      </w:r>
      <w:r w:rsidRPr="0027195B">
        <w:rPr>
          <w:i/>
        </w:rPr>
        <w:t xml:space="preserve"> 7</w:t>
      </w:r>
      <w:r w:rsidRPr="0027195B">
        <w:t>, 1503.</w:t>
      </w:r>
      <w:bookmarkEnd w:id="410"/>
    </w:p>
    <w:p w14:paraId="380A5B24" w14:textId="21199061" w:rsidR="0027195B" w:rsidRPr="0027195B" w:rsidRDefault="0027195B" w:rsidP="0027195B">
      <w:pPr>
        <w:pStyle w:val="EndNoteBibliography"/>
        <w:spacing w:after="240"/>
      </w:pPr>
      <w:bookmarkStart w:id="411" w:name="_ENREF_6"/>
      <w:r w:rsidRPr="0027195B">
        <w:t xml:space="preserve">Allard and Vantarakis (2017). Adenoviruses. (In: J.B. Rose and B. Jiménez-Cisneros, (eds) Global Water Pathogen Project.   </w:t>
      </w:r>
      <w:hyperlink r:id="rId49" w:history="1">
        <w:r w:rsidRPr="0027195B">
          <w:rPr>
            <w:rStyle w:val="Hyperlink"/>
          </w:rPr>
          <w:t>http://www.waterpathogens.org</w:t>
        </w:r>
      </w:hyperlink>
      <w:r w:rsidRPr="0027195B">
        <w:t xml:space="preserve"> (J.S Meschke, and R. Girones (eds) Part 3 Viruses) </w:t>
      </w:r>
      <w:hyperlink r:id="rId50" w:history="1">
        <w:r w:rsidRPr="0027195B">
          <w:rPr>
            <w:rStyle w:val="Hyperlink"/>
          </w:rPr>
          <w:t>http://www.waterpathogens.org/book/adenoviruses</w:t>
        </w:r>
      </w:hyperlink>
      <w:r w:rsidRPr="0027195B">
        <w:t xml:space="preserve"> Michigan State University, E. Lansing, MI, UNESCO. </w:t>
      </w:r>
      <w:hyperlink r:id="rId51" w:history="1">
        <w:r w:rsidRPr="0027195B">
          <w:rPr>
            <w:rStyle w:val="Hyperlink"/>
          </w:rPr>
          <w:t>https://doi.org/10.14321/waterpathogens.11</w:t>
        </w:r>
      </w:hyperlink>
      <w:r w:rsidRPr="0027195B">
        <w:t>).</w:t>
      </w:r>
      <w:bookmarkEnd w:id="411"/>
    </w:p>
    <w:p w14:paraId="588B5FDC" w14:textId="77777777" w:rsidR="0027195B" w:rsidRPr="0027195B" w:rsidRDefault="0027195B" w:rsidP="0027195B">
      <w:pPr>
        <w:pStyle w:val="EndNoteBibliography"/>
        <w:spacing w:after="240"/>
      </w:pPr>
      <w:bookmarkStart w:id="412" w:name="_ENREF_7"/>
      <w:r w:rsidRPr="0027195B">
        <w:t>Asmana Ningrum, R. (2014). Human interferon alpha-2b: a therapeutic protein for cancer treatment. Scientifica</w:t>
      </w:r>
      <w:r w:rsidRPr="0027195B">
        <w:rPr>
          <w:i/>
        </w:rPr>
        <w:t xml:space="preserve"> 2014</w:t>
      </w:r>
      <w:r w:rsidRPr="0027195B">
        <w:t>, 970315.</w:t>
      </w:r>
      <w:bookmarkEnd w:id="412"/>
    </w:p>
    <w:p w14:paraId="224D7782" w14:textId="77777777" w:rsidR="0027195B" w:rsidRPr="0027195B" w:rsidRDefault="0027195B" w:rsidP="0027195B">
      <w:pPr>
        <w:pStyle w:val="EndNoteBibliography"/>
        <w:spacing w:after="240"/>
      </w:pPr>
      <w:bookmarkStart w:id="413" w:name="_ENREF_8"/>
      <w:r w:rsidRPr="0027195B">
        <w:t>Benedict, W.F., Tao, Z., Kim, C.S., Zhang, X., Zhou, J.H., Adam, L., McConkey, D.J.</w:t>
      </w:r>
      <w:r w:rsidRPr="0027195B">
        <w:rPr>
          <w:i/>
        </w:rPr>
        <w:t>, et al.</w:t>
      </w:r>
      <w:r w:rsidRPr="0027195B">
        <w:t xml:space="preserve"> (2004). Intravesical Ad-IFNalpha causes marked regression of human bladder cancer growing orthotopically in nude mice and overcomes resistance to IFN-alpha protein. Mol Ther</w:t>
      </w:r>
      <w:r w:rsidRPr="0027195B">
        <w:rPr>
          <w:i/>
        </w:rPr>
        <w:t xml:space="preserve"> 10</w:t>
      </w:r>
      <w:r w:rsidRPr="0027195B">
        <w:t>, 525-532.</w:t>
      </w:r>
      <w:bookmarkEnd w:id="413"/>
    </w:p>
    <w:p w14:paraId="69E841B4" w14:textId="77777777" w:rsidR="0027195B" w:rsidRPr="0027195B" w:rsidRDefault="0027195B" w:rsidP="0027195B">
      <w:pPr>
        <w:pStyle w:val="EndNoteBibliography"/>
        <w:spacing w:after="240"/>
      </w:pPr>
      <w:bookmarkStart w:id="414" w:name="_ENREF_9"/>
      <w:r w:rsidRPr="0027195B">
        <w:t>Benevento, M., Di Palma, S., Snijder, J., Moyer, C.L., Reddy, V.S., Nemerow, G.R., and Heck, A.J. (2014). Adenovirus composition, proteolysis, and disassembly studied by in-depth qualitative and quantitative proteomics. J Biol Chem</w:t>
      </w:r>
      <w:r w:rsidRPr="0027195B">
        <w:rPr>
          <w:i/>
        </w:rPr>
        <w:t xml:space="preserve"> 289</w:t>
      </w:r>
      <w:r w:rsidRPr="0027195B">
        <w:t>, 11421-11430.</w:t>
      </w:r>
      <w:bookmarkEnd w:id="414"/>
    </w:p>
    <w:p w14:paraId="01EC4574" w14:textId="77777777" w:rsidR="0027195B" w:rsidRPr="0027195B" w:rsidRDefault="0027195B" w:rsidP="0027195B">
      <w:pPr>
        <w:pStyle w:val="EndNoteBibliography"/>
        <w:spacing w:after="240"/>
      </w:pPr>
      <w:bookmarkStart w:id="415" w:name="_ENREF_10"/>
      <w:r w:rsidRPr="0027195B">
        <w:t>Bertzbach, L.D., Ip, W.H., and Dobner, T. (2021). Animal Models in Human Adenovirus Research. Biology (Basel)</w:t>
      </w:r>
      <w:r w:rsidRPr="0027195B">
        <w:rPr>
          <w:i/>
        </w:rPr>
        <w:t xml:space="preserve"> 10</w:t>
      </w:r>
      <w:r w:rsidRPr="0027195B">
        <w:t>.</w:t>
      </w:r>
      <w:bookmarkEnd w:id="415"/>
    </w:p>
    <w:p w14:paraId="17F4A2F5" w14:textId="77777777" w:rsidR="0027195B" w:rsidRPr="0027195B" w:rsidRDefault="0027195B" w:rsidP="0027195B">
      <w:pPr>
        <w:pStyle w:val="EndNoteBibliography"/>
        <w:spacing w:after="240"/>
      </w:pPr>
      <w:bookmarkStart w:id="416" w:name="_ENREF_11"/>
      <w:r w:rsidRPr="0027195B">
        <w:t>Biohazard Waste Industry (2010). Industry Code of Practice for the Management of Clinical and Related Wastes, 6 edn.</w:t>
      </w:r>
      <w:bookmarkEnd w:id="416"/>
    </w:p>
    <w:p w14:paraId="1F9F71CF" w14:textId="77777777" w:rsidR="0027195B" w:rsidRPr="0027195B" w:rsidRDefault="0027195B" w:rsidP="0027195B">
      <w:pPr>
        <w:pStyle w:val="EndNoteBibliography"/>
        <w:spacing w:after="240"/>
      </w:pPr>
      <w:bookmarkStart w:id="417" w:name="_ENREF_12"/>
      <w:r w:rsidRPr="0027195B">
        <w:t>Boorjian, S.A., Alemozaffar, M., Konety, B.R., Shore, N.D., Gomella, L.G., Kamat, A.M., Bivalacqua, T.J.</w:t>
      </w:r>
      <w:r w:rsidRPr="0027195B">
        <w:rPr>
          <w:i/>
        </w:rPr>
        <w:t>, et al.</w:t>
      </w:r>
      <w:r w:rsidRPr="0027195B">
        <w:t xml:space="preserve"> (2021). Intravesical nadofaragene firadenovec gene therapy for BCG-unresponsive non-muscle-invasive bladder cancer: a single-arm, open-label, repeat-dose clinical trial. Lancet Oncol</w:t>
      </w:r>
      <w:r w:rsidRPr="0027195B">
        <w:rPr>
          <w:i/>
        </w:rPr>
        <w:t xml:space="preserve"> 22</w:t>
      </w:r>
      <w:r w:rsidRPr="0027195B">
        <w:t>, 107-117.</w:t>
      </w:r>
      <w:bookmarkEnd w:id="417"/>
    </w:p>
    <w:p w14:paraId="7F359C62" w14:textId="77777777" w:rsidR="0027195B" w:rsidRPr="0027195B" w:rsidRDefault="0027195B" w:rsidP="0027195B">
      <w:pPr>
        <w:pStyle w:val="EndNoteBibliography"/>
        <w:spacing w:after="240"/>
      </w:pPr>
      <w:bookmarkStart w:id="418" w:name="_ENREF_13"/>
      <w:r w:rsidRPr="0027195B">
        <w:t>Borkenhagen, L.K., Fieldhouse, J.K., Seto, D., and Gray, G.C. (2019). Are adenoviruses zoonotic? A systematic review of the evidence. Emerg Microbes Infect</w:t>
      </w:r>
      <w:r w:rsidRPr="0027195B">
        <w:rPr>
          <w:i/>
        </w:rPr>
        <w:t xml:space="preserve"> 8</w:t>
      </w:r>
      <w:r w:rsidRPr="0027195B">
        <w:t>, 1679-1687.</w:t>
      </w:r>
      <w:bookmarkEnd w:id="418"/>
    </w:p>
    <w:p w14:paraId="6AC53094" w14:textId="77777777" w:rsidR="0027195B" w:rsidRPr="0027195B" w:rsidRDefault="0027195B" w:rsidP="0027195B">
      <w:pPr>
        <w:pStyle w:val="EndNoteBibliography"/>
        <w:spacing w:after="240"/>
      </w:pPr>
      <w:bookmarkStart w:id="419" w:name="_ENREF_14"/>
      <w:r w:rsidRPr="0027195B">
        <w:t>Bots, S.T.F., and Hoeben, R.C. (2020). Non-Human Primate-Derived Adenoviruses for Future Use as Oncolytic Agents? International journal of molecular sciences</w:t>
      </w:r>
      <w:r w:rsidRPr="0027195B">
        <w:rPr>
          <w:i/>
        </w:rPr>
        <w:t xml:space="preserve"> 21</w:t>
      </w:r>
      <w:r w:rsidRPr="0027195B">
        <w:t>, 4821.</w:t>
      </w:r>
      <w:bookmarkEnd w:id="419"/>
    </w:p>
    <w:p w14:paraId="45CFCAA0" w14:textId="2FB3E2E0" w:rsidR="0027195B" w:rsidRPr="0027195B" w:rsidRDefault="0027195B" w:rsidP="0027195B">
      <w:pPr>
        <w:pStyle w:val="EndNoteBibliography"/>
        <w:spacing w:after="240"/>
      </w:pPr>
      <w:bookmarkStart w:id="420" w:name="_ENREF_15"/>
      <w:r w:rsidRPr="0027195B">
        <w:t xml:space="preserve">CDC (2019a). Adenoviruses - Symptoms. Accessed: December 2020. </w:t>
      </w:r>
      <w:hyperlink r:id="rId52" w:history="1">
        <w:r w:rsidRPr="0027195B">
          <w:rPr>
            <w:rStyle w:val="Hyperlink"/>
          </w:rPr>
          <w:t>https://www.cdc.gov/adenovirus/about/symptoms.html</w:t>
        </w:r>
      </w:hyperlink>
      <w:r w:rsidRPr="0027195B">
        <w:t>.</w:t>
      </w:r>
      <w:bookmarkEnd w:id="420"/>
    </w:p>
    <w:p w14:paraId="5D545497" w14:textId="7B3E2A3B" w:rsidR="0027195B" w:rsidRPr="0027195B" w:rsidRDefault="0027195B" w:rsidP="0027195B">
      <w:pPr>
        <w:pStyle w:val="EndNoteBibliography"/>
        <w:spacing w:after="240"/>
      </w:pPr>
      <w:bookmarkStart w:id="421" w:name="_ENREF_16"/>
      <w:r w:rsidRPr="0027195B">
        <w:lastRenderedPageBreak/>
        <w:t xml:space="preserve">CDC (2019b). Adenoviruses - Transmission. Accessed: December 2020. </w:t>
      </w:r>
      <w:hyperlink r:id="rId53" w:history="1">
        <w:r w:rsidRPr="0027195B">
          <w:rPr>
            <w:rStyle w:val="Hyperlink"/>
          </w:rPr>
          <w:t>https://www.cdc.gov/adenovirus/about/transmission.html</w:t>
        </w:r>
      </w:hyperlink>
      <w:r w:rsidRPr="0027195B">
        <w:t>.</w:t>
      </w:r>
      <w:bookmarkEnd w:id="421"/>
    </w:p>
    <w:p w14:paraId="1F8F8585" w14:textId="77777777" w:rsidR="0027195B" w:rsidRPr="0027195B" w:rsidRDefault="0027195B" w:rsidP="0027195B">
      <w:pPr>
        <w:pStyle w:val="EndNoteBibliography"/>
        <w:spacing w:after="240"/>
      </w:pPr>
      <w:bookmarkStart w:id="422" w:name="_ENREF_17"/>
      <w:r w:rsidRPr="0027195B">
        <w:t>Charman, M., Herrmann, C., and Weitzman, M.D. (2019). Viral and cellular interactions during adenovirus DNA replication. FEBS Lett</w:t>
      </w:r>
      <w:r w:rsidRPr="0027195B">
        <w:rPr>
          <w:i/>
        </w:rPr>
        <w:t xml:space="preserve"> 593</w:t>
      </w:r>
      <w:r w:rsidRPr="0027195B">
        <w:t>, 3531-3550.</w:t>
      </w:r>
      <w:bookmarkEnd w:id="422"/>
    </w:p>
    <w:p w14:paraId="791EB27A" w14:textId="77777777" w:rsidR="0027195B" w:rsidRPr="0027195B" w:rsidRDefault="0027195B" w:rsidP="0027195B">
      <w:pPr>
        <w:pStyle w:val="EndNoteBibliography"/>
        <w:spacing w:after="240"/>
      </w:pPr>
      <w:bookmarkStart w:id="423" w:name="_ENREF_18"/>
      <w:r w:rsidRPr="0027195B">
        <w:t>Connor, R.J., Anderson, J.M., Machemer, T., Maneval, D.C., and Engler, H. (2005). Sustained intravesical interferon protein exposure is achieved using an adenoviral-mediated gene delivery system: A study in rats evaluating dosing regimens. Urology</w:t>
      </w:r>
      <w:r w:rsidRPr="0027195B">
        <w:rPr>
          <w:i/>
        </w:rPr>
        <w:t xml:space="preserve"> 66</w:t>
      </w:r>
      <w:r w:rsidRPr="0027195B">
        <w:t>, 224-229.</w:t>
      </w:r>
      <w:bookmarkEnd w:id="423"/>
    </w:p>
    <w:p w14:paraId="473AC2E1" w14:textId="77777777" w:rsidR="0027195B" w:rsidRPr="0027195B" w:rsidRDefault="0027195B" w:rsidP="0027195B">
      <w:pPr>
        <w:pStyle w:val="EndNoteBibliography"/>
        <w:spacing w:after="240"/>
      </w:pPr>
      <w:bookmarkStart w:id="424" w:name="_ENREF_19"/>
      <w:r w:rsidRPr="0027195B">
        <w:t>Connor, R.J., Engler, H., Machemer, T., Philopena, J.M., Horn, M.T., Sutjipto, S., Maneval, D.C.</w:t>
      </w:r>
      <w:r w:rsidRPr="0027195B">
        <w:rPr>
          <w:i/>
        </w:rPr>
        <w:t>, et al.</w:t>
      </w:r>
      <w:r w:rsidRPr="0027195B">
        <w:t xml:space="preserve"> (2001). Identification of polyamides that enhance adenovirus-mediated gene expression in the urothelium. Gene Ther</w:t>
      </w:r>
      <w:r w:rsidRPr="0027195B">
        <w:rPr>
          <w:i/>
        </w:rPr>
        <w:t xml:space="preserve"> 8</w:t>
      </w:r>
      <w:r w:rsidRPr="0027195B">
        <w:t>, 41-48.</w:t>
      </w:r>
      <w:bookmarkEnd w:id="424"/>
    </w:p>
    <w:p w14:paraId="6574144B" w14:textId="77777777" w:rsidR="0027195B" w:rsidRPr="0027195B" w:rsidRDefault="0027195B" w:rsidP="0027195B">
      <w:pPr>
        <w:pStyle w:val="EndNoteBibliography"/>
        <w:spacing w:after="240"/>
      </w:pPr>
      <w:bookmarkStart w:id="425" w:name="_ENREF_20"/>
      <w:r w:rsidRPr="0027195B">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425"/>
    </w:p>
    <w:p w14:paraId="1AD0411A" w14:textId="77777777" w:rsidR="0027195B" w:rsidRPr="0027195B" w:rsidRDefault="0027195B" w:rsidP="0027195B">
      <w:pPr>
        <w:pStyle w:val="EndNoteBibliography"/>
        <w:spacing w:after="240"/>
      </w:pPr>
      <w:bookmarkStart w:id="426" w:name="_ENREF_21"/>
      <w:r w:rsidRPr="0027195B">
        <w:t>Dehghan, S., Seto, J., Liu, E.B., Ismail, A.M., Madupu, R., Heim, A., Jones, M.S.</w:t>
      </w:r>
      <w:r w:rsidRPr="0027195B">
        <w:rPr>
          <w:i/>
        </w:rPr>
        <w:t>, et al.</w:t>
      </w:r>
      <w:r w:rsidRPr="0027195B">
        <w:t xml:space="preserve"> (2019). A Zoonotic Adenoviral Human Pathogen Emerged through Genomic Recombination among Human and Nonhuman Simian Hosts. </w:t>
      </w:r>
      <w:r w:rsidRPr="0027195B">
        <w:rPr>
          <w:i/>
        </w:rPr>
        <w:t xml:space="preserve"> 93</w:t>
      </w:r>
      <w:r w:rsidRPr="0027195B">
        <w:t>, e00564-00519.</w:t>
      </w:r>
      <w:bookmarkEnd w:id="426"/>
    </w:p>
    <w:p w14:paraId="722A63CF" w14:textId="77777777" w:rsidR="0027195B" w:rsidRPr="0027195B" w:rsidRDefault="0027195B" w:rsidP="0027195B">
      <w:pPr>
        <w:pStyle w:val="EndNoteBibliography"/>
        <w:spacing w:after="240"/>
      </w:pPr>
      <w:bookmarkStart w:id="427" w:name="_ENREF_22"/>
      <w:r w:rsidRPr="0027195B">
        <w:t>Desfarges, S., and Ciuffi, A. (2012). Viral Integration and Consequences on Host Gene Expression. In Viruses: Essential Agents of Life, G. Witzany, ed. (Dordrecht: Springer Netherlands), pp. 147-175.</w:t>
      </w:r>
      <w:bookmarkEnd w:id="427"/>
    </w:p>
    <w:p w14:paraId="6C2ADEC6" w14:textId="77777777" w:rsidR="0027195B" w:rsidRPr="0027195B" w:rsidRDefault="0027195B" w:rsidP="0027195B">
      <w:pPr>
        <w:pStyle w:val="EndNoteBibliography"/>
        <w:spacing w:after="240"/>
      </w:pPr>
      <w:bookmarkStart w:id="428" w:name="_ENREF_23"/>
      <w:r w:rsidRPr="00822E54">
        <w:rPr>
          <w:lang w:val="sv-SE"/>
        </w:rPr>
        <w:t>Dhingra, A., Hage, E., Ganzenmueller, T., Bottcher, S., Hofmann, J., Hamprecht, K., Obermeier, P.</w:t>
      </w:r>
      <w:r w:rsidRPr="00822E54">
        <w:rPr>
          <w:i/>
          <w:lang w:val="sv-SE"/>
        </w:rPr>
        <w:t>, et al.</w:t>
      </w:r>
      <w:r w:rsidRPr="00822E54">
        <w:rPr>
          <w:lang w:val="sv-SE"/>
        </w:rPr>
        <w:t xml:space="preserve"> </w:t>
      </w:r>
      <w:r w:rsidRPr="0027195B">
        <w:t>(2019). Molecular Evolution of Human Adenovirus (HAdV) Species C. Sci Rep</w:t>
      </w:r>
      <w:r w:rsidRPr="0027195B">
        <w:rPr>
          <w:i/>
        </w:rPr>
        <w:t xml:space="preserve"> 9</w:t>
      </w:r>
      <w:r w:rsidRPr="0027195B">
        <w:t>, 1039.</w:t>
      </w:r>
      <w:bookmarkEnd w:id="428"/>
    </w:p>
    <w:p w14:paraId="2C41812E" w14:textId="77777777" w:rsidR="0027195B" w:rsidRPr="0027195B" w:rsidRDefault="0027195B" w:rsidP="0027195B">
      <w:pPr>
        <w:pStyle w:val="EndNoteBibliography"/>
        <w:spacing w:after="240"/>
      </w:pPr>
      <w:bookmarkStart w:id="429" w:name="_ENREF_24"/>
      <w:r w:rsidRPr="0027195B">
        <w:t>Dinney, C.P., Fisher, M.B., Navai, N., O'Donnell, M.A., Cutler, D., Abraham, A., Young, S.</w:t>
      </w:r>
      <w:r w:rsidRPr="0027195B">
        <w:rPr>
          <w:i/>
        </w:rPr>
        <w:t>, et al.</w:t>
      </w:r>
      <w:r w:rsidRPr="0027195B">
        <w:t xml:space="preserve"> (2013). Phase I trial of intravesical recombinant adenovirus mediated interferon-α2b formulated in Syn3 for Bacillus Calmette-Guérin failures in nonmuscle invasive bladder cancer. J Urol</w:t>
      </w:r>
      <w:r w:rsidRPr="0027195B">
        <w:rPr>
          <w:i/>
        </w:rPr>
        <w:t xml:space="preserve"> 190</w:t>
      </w:r>
      <w:r w:rsidRPr="0027195B">
        <w:t>, 850-856.</w:t>
      </w:r>
      <w:bookmarkEnd w:id="429"/>
    </w:p>
    <w:p w14:paraId="51A4F369" w14:textId="01BF198E" w:rsidR="0027195B" w:rsidRPr="0027195B" w:rsidRDefault="0027195B" w:rsidP="0027195B">
      <w:pPr>
        <w:pStyle w:val="EndNoteBibliography"/>
        <w:spacing w:after="240"/>
      </w:pPr>
      <w:bookmarkStart w:id="430" w:name="_ENREF_25"/>
      <w:r w:rsidRPr="0027195B">
        <w:t xml:space="preserve">EMEA (2007). Non-clinical testing for inadvertent germline transmission of gene transfer vectors Accessed: December 2020. </w:t>
      </w:r>
      <w:hyperlink r:id="rId54" w:history="1">
        <w:r w:rsidRPr="0027195B">
          <w:rPr>
            <w:rStyle w:val="Hyperlink"/>
          </w:rPr>
          <w:t>https://www.ema.europa.eu/en/non-clinical-testing-inadvertent-germline-transmission-gene-transfer-vectors</w:t>
        </w:r>
      </w:hyperlink>
      <w:r w:rsidRPr="0027195B">
        <w:t>.</w:t>
      </w:r>
      <w:bookmarkEnd w:id="430"/>
    </w:p>
    <w:p w14:paraId="60604F71" w14:textId="77777777" w:rsidR="0027195B" w:rsidRPr="0027195B" w:rsidRDefault="0027195B" w:rsidP="0027195B">
      <w:pPr>
        <w:pStyle w:val="EndNoteBibliography"/>
        <w:spacing w:after="240"/>
      </w:pPr>
      <w:bookmarkStart w:id="431" w:name="_ENREF_26"/>
      <w:r w:rsidRPr="00822E54">
        <w:rPr>
          <w:lang w:val="sv-SE"/>
        </w:rPr>
        <w:t>Fang, B., Lai, J., Liu, Y., Liu, L.-l., Yu, X., Li, X., Ke, H.</w:t>
      </w:r>
      <w:r w:rsidRPr="00822E54">
        <w:rPr>
          <w:i/>
          <w:lang w:val="sv-SE"/>
        </w:rPr>
        <w:t>, et al.</w:t>
      </w:r>
      <w:r w:rsidRPr="00822E54">
        <w:rPr>
          <w:lang w:val="sv-SE"/>
        </w:rPr>
        <w:t xml:space="preserve"> </w:t>
      </w:r>
      <w:r w:rsidRPr="0027195B">
        <w:t>(2024). Hybrid sequencing for detailed genetic characterization of human adenoviruses. Scientific Reports</w:t>
      </w:r>
      <w:r w:rsidRPr="0027195B">
        <w:rPr>
          <w:i/>
        </w:rPr>
        <w:t xml:space="preserve"> 14</w:t>
      </w:r>
      <w:r w:rsidRPr="0027195B">
        <w:t>, 29490.</w:t>
      </w:r>
      <w:bookmarkEnd w:id="431"/>
    </w:p>
    <w:p w14:paraId="298F91D8" w14:textId="40D81C6A" w:rsidR="0027195B" w:rsidRPr="0027195B" w:rsidRDefault="0027195B" w:rsidP="0027195B">
      <w:pPr>
        <w:pStyle w:val="EndNoteBibliography"/>
        <w:spacing w:after="240"/>
      </w:pPr>
      <w:bookmarkStart w:id="432" w:name="_ENREF_27"/>
      <w:r w:rsidRPr="0027195B">
        <w:t xml:space="preserve">FDA (2020). Long Term Follow-Up After Administration of Human Gene Therapy Products - Guidance for Industry. Accessed: December 2020. </w:t>
      </w:r>
      <w:hyperlink r:id="rId55" w:history="1">
        <w:r w:rsidRPr="0027195B">
          <w:rPr>
            <w:rStyle w:val="Hyperlink"/>
          </w:rPr>
          <w:t>https://www.fda.gov/media/113768/download</w:t>
        </w:r>
      </w:hyperlink>
      <w:r w:rsidRPr="0027195B">
        <w:t>.</w:t>
      </w:r>
      <w:bookmarkEnd w:id="432"/>
    </w:p>
    <w:p w14:paraId="7F99C488" w14:textId="77777777" w:rsidR="0027195B" w:rsidRPr="0027195B" w:rsidRDefault="0027195B" w:rsidP="0027195B">
      <w:pPr>
        <w:pStyle w:val="EndNoteBibliography"/>
        <w:spacing w:after="240"/>
      </w:pPr>
      <w:bookmarkStart w:id="433" w:name="_ENREF_28"/>
      <w:r w:rsidRPr="0027195B">
        <w:t>Fong, T.-T., Phanikumar, M.S., Xagoraraki, I., and Rose, J.B. (2010). Quantitative Detection of Human Adenoviruses in Wastewater and Combined Sewer Overflows Influencing a Michigan River. Applied and Environmental Microbiology</w:t>
      </w:r>
      <w:r w:rsidRPr="0027195B">
        <w:rPr>
          <w:i/>
        </w:rPr>
        <w:t xml:space="preserve"> 76</w:t>
      </w:r>
      <w:r w:rsidRPr="0027195B">
        <w:t>, 715-723.</w:t>
      </w:r>
      <w:bookmarkEnd w:id="433"/>
    </w:p>
    <w:p w14:paraId="058A972D" w14:textId="77777777" w:rsidR="0027195B" w:rsidRPr="0027195B" w:rsidRDefault="0027195B" w:rsidP="0027195B">
      <w:pPr>
        <w:pStyle w:val="EndNoteBibliography"/>
        <w:spacing w:after="240"/>
      </w:pPr>
      <w:bookmarkStart w:id="434" w:name="_ENREF_29"/>
      <w:r w:rsidRPr="0027195B">
        <w:t>Gibbert, K., Schlaak, J.F., Yang, D., and Dittmer, U. (2013). IFN-α subtypes: distinct biological activities in anti-viral therapy. British journal of pharmacology</w:t>
      </w:r>
      <w:r w:rsidRPr="0027195B">
        <w:rPr>
          <w:i/>
        </w:rPr>
        <w:t xml:space="preserve"> 168</w:t>
      </w:r>
      <w:r w:rsidRPr="0027195B">
        <w:t>, 1048-1058.</w:t>
      </w:r>
      <w:bookmarkEnd w:id="434"/>
    </w:p>
    <w:p w14:paraId="28F4C4D3" w14:textId="77777777" w:rsidR="0027195B" w:rsidRPr="0027195B" w:rsidRDefault="0027195B" w:rsidP="0027195B">
      <w:pPr>
        <w:pStyle w:val="EndNoteBibliography"/>
        <w:spacing w:after="240"/>
      </w:pPr>
      <w:bookmarkStart w:id="435" w:name="_ENREF_30"/>
      <w:r w:rsidRPr="0027195B">
        <w:t>Gokumakulapalle, M., and Mei, Y.-F. (2016). Replication-competent human adenovirus 11p vectors can propagate in Vero cells. Virology</w:t>
      </w:r>
      <w:r w:rsidRPr="0027195B">
        <w:rPr>
          <w:i/>
        </w:rPr>
        <w:t xml:space="preserve"> 495</w:t>
      </w:r>
      <w:r w:rsidRPr="0027195B">
        <w:t>, 42-51.</w:t>
      </w:r>
      <w:bookmarkEnd w:id="435"/>
    </w:p>
    <w:p w14:paraId="0482B75E" w14:textId="77777777" w:rsidR="0027195B" w:rsidRPr="0027195B" w:rsidRDefault="0027195B" w:rsidP="0027195B">
      <w:pPr>
        <w:pStyle w:val="EndNoteBibliography"/>
        <w:spacing w:after="240"/>
      </w:pPr>
      <w:bookmarkStart w:id="436" w:name="_ENREF_31"/>
      <w:r w:rsidRPr="0027195B">
        <w:lastRenderedPageBreak/>
        <w:t>Gokumakulapalle, M., Wang, L., and Mei, Y.F. (2021). Susceptibility of Dog, Hamster, and Mouse Cells to the Replication-Competent Adenovirus 11p E1/E3 Green Fluorescence Protein Vector Has Implications for the Selection of Animal Vaccine Models. Front Microbiol</w:t>
      </w:r>
      <w:r w:rsidRPr="0027195B">
        <w:rPr>
          <w:i/>
        </w:rPr>
        <w:t xml:space="preserve"> 12</w:t>
      </w:r>
      <w:r w:rsidRPr="0027195B">
        <w:t>, 698999.</w:t>
      </w:r>
      <w:bookmarkEnd w:id="436"/>
    </w:p>
    <w:p w14:paraId="3346C541" w14:textId="77777777" w:rsidR="0027195B" w:rsidRPr="0027195B" w:rsidRDefault="0027195B" w:rsidP="0027195B">
      <w:pPr>
        <w:pStyle w:val="EndNoteBibliography"/>
        <w:spacing w:after="240"/>
      </w:pPr>
      <w:bookmarkStart w:id="437" w:name="_ENREF_32"/>
      <w:r w:rsidRPr="0027195B">
        <w:t>Gray, G.C., and Erdman, D.D. (2018). Adenovirus Vaccines. Plotkin's Vaccines, 121-133.e128.</w:t>
      </w:r>
      <w:bookmarkEnd w:id="437"/>
    </w:p>
    <w:p w14:paraId="4A823305" w14:textId="77777777" w:rsidR="0027195B" w:rsidRPr="0027195B" w:rsidRDefault="0027195B" w:rsidP="0027195B">
      <w:pPr>
        <w:pStyle w:val="EndNoteBibliography"/>
        <w:spacing w:after="240"/>
      </w:pPr>
      <w:bookmarkStart w:id="438" w:name="_ENREF_33"/>
      <w:r w:rsidRPr="0027195B">
        <w:t>Gruber, W.C., Russell, D.J., and Tibbetts, C. (1993). Fiber Gene and Genomic Origin of Human Adenovirus Type 4. Virology</w:t>
      </w:r>
      <w:r w:rsidRPr="0027195B">
        <w:rPr>
          <w:i/>
        </w:rPr>
        <w:t xml:space="preserve"> 196</w:t>
      </w:r>
      <w:r w:rsidRPr="0027195B">
        <w:t>, 603-611.</w:t>
      </w:r>
      <w:bookmarkEnd w:id="438"/>
    </w:p>
    <w:p w14:paraId="771F367D" w14:textId="77777777" w:rsidR="0027195B" w:rsidRPr="0027195B" w:rsidRDefault="0027195B" w:rsidP="0027195B">
      <w:pPr>
        <w:pStyle w:val="EndNoteBibliography"/>
        <w:spacing w:after="240"/>
      </w:pPr>
      <w:bookmarkStart w:id="439" w:name="_ENREF_34"/>
      <w:r w:rsidRPr="0027195B">
        <w:t>Harui, A., Suzuki, S., Kochanek, S., and Mitani, K. (1999). Frequency and stability of chromosomal integration of adenovirus vectors. Journal of virology</w:t>
      </w:r>
      <w:r w:rsidRPr="0027195B">
        <w:rPr>
          <w:i/>
        </w:rPr>
        <w:t xml:space="preserve"> 73</w:t>
      </w:r>
      <w:r w:rsidRPr="0027195B">
        <w:t>, 6141-6146.</w:t>
      </w:r>
      <w:bookmarkEnd w:id="439"/>
    </w:p>
    <w:p w14:paraId="3C70F96F" w14:textId="77777777" w:rsidR="0027195B" w:rsidRPr="0027195B" w:rsidRDefault="0027195B" w:rsidP="0027195B">
      <w:pPr>
        <w:pStyle w:val="EndNoteBibliography"/>
        <w:spacing w:after="240"/>
      </w:pPr>
      <w:bookmarkStart w:id="440" w:name="_ENREF_35"/>
      <w:r w:rsidRPr="0027195B">
        <w:t>Hillgenberg, M., Tonnies, H., and Strauss, M. (2001). Chromosomal integration pattern of a helper-dependent minimal adenovirus vector with a selectable marker inserted into a 27.4-kilobase genomic stuffer. J Virol</w:t>
      </w:r>
      <w:r w:rsidRPr="0027195B">
        <w:rPr>
          <w:i/>
        </w:rPr>
        <w:t xml:space="preserve"> 75</w:t>
      </w:r>
      <w:r w:rsidRPr="0027195B">
        <w:t>, 9896-9908.</w:t>
      </w:r>
      <w:bookmarkEnd w:id="440"/>
    </w:p>
    <w:p w14:paraId="71F95191" w14:textId="77777777" w:rsidR="0027195B" w:rsidRPr="0027195B" w:rsidRDefault="0027195B" w:rsidP="0027195B">
      <w:pPr>
        <w:pStyle w:val="EndNoteBibliography"/>
        <w:spacing w:after="240"/>
      </w:pPr>
      <w:bookmarkStart w:id="441" w:name="_ENREF_36"/>
      <w:r w:rsidRPr="0027195B">
        <w:t>Hong, L., Li, J., Zeng, W., Li, Y., Yu, C., Zhao, S., Chen, L.</w:t>
      </w:r>
      <w:r w:rsidRPr="0027195B">
        <w:rPr>
          <w:i/>
        </w:rPr>
        <w:t>, et al.</w:t>
      </w:r>
      <w:r w:rsidRPr="0027195B">
        <w:t xml:space="preserve"> (2025). The seroprevalence of adenoviruses since 2000(1). Emerg Microbes Infect</w:t>
      </w:r>
      <w:r w:rsidRPr="0027195B">
        <w:rPr>
          <w:i/>
        </w:rPr>
        <w:t xml:space="preserve"> 14</w:t>
      </w:r>
      <w:r w:rsidRPr="0027195B">
        <w:t>, 2475831.</w:t>
      </w:r>
      <w:bookmarkEnd w:id="441"/>
    </w:p>
    <w:p w14:paraId="260031D8" w14:textId="77777777" w:rsidR="0027195B" w:rsidRPr="0027195B" w:rsidRDefault="0027195B" w:rsidP="0027195B">
      <w:pPr>
        <w:pStyle w:val="EndNoteBibliography"/>
        <w:spacing w:after="240"/>
      </w:pPr>
      <w:bookmarkStart w:id="442" w:name="_ENREF_37"/>
      <w:r w:rsidRPr="0027195B">
        <w:t>Hoppe, E., Pauly, M., Gillespie, T.R., Akoua-Koffi, C., Hohmann, G., Fruth, B., Karhemere, S.</w:t>
      </w:r>
      <w:r w:rsidRPr="0027195B">
        <w:rPr>
          <w:i/>
        </w:rPr>
        <w:t>, et al.</w:t>
      </w:r>
      <w:r w:rsidRPr="0027195B">
        <w:t xml:space="preserve"> (2015a). Multiple Cross-Species Transmission Events of Human Adenoviruses (HAdV) during Hominine Evolution. Molecular Biology and Evolution</w:t>
      </w:r>
      <w:r w:rsidRPr="0027195B">
        <w:rPr>
          <w:i/>
        </w:rPr>
        <w:t xml:space="preserve"> 32</w:t>
      </w:r>
      <w:r w:rsidRPr="0027195B">
        <w:t>, 2072-2084.</w:t>
      </w:r>
      <w:bookmarkEnd w:id="442"/>
    </w:p>
    <w:p w14:paraId="3794571E" w14:textId="77777777" w:rsidR="0027195B" w:rsidRPr="0027195B" w:rsidRDefault="0027195B" w:rsidP="0027195B">
      <w:pPr>
        <w:pStyle w:val="EndNoteBibliography"/>
        <w:spacing w:after="240"/>
      </w:pPr>
      <w:bookmarkStart w:id="443" w:name="_ENREF_38"/>
      <w:r w:rsidRPr="0027195B">
        <w:t>Hoppe, E., Pauly, M., Gillespie, T.R., Akoua-Koffi, C., Hohmann, G., Fruth, B., Karhemere, S.</w:t>
      </w:r>
      <w:r w:rsidRPr="0027195B">
        <w:rPr>
          <w:i/>
        </w:rPr>
        <w:t>, et al.</w:t>
      </w:r>
      <w:r w:rsidRPr="0027195B">
        <w:t xml:space="preserve"> (2015b). Multiple Cross-Species Transmission Events of Human Adenoviruses (HAdV) during Hominine Evolution. Mol Biol Evol</w:t>
      </w:r>
      <w:r w:rsidRPr="0027195B">
        <w:rPr>
          <w:i/>
        </w:rPr>
        <w:t xml:space="preserve"> 32</w:t>
      </w:r>
      <w:r w:rsidRPr="0027195B">
        <w:t>, 2072-2084.</w:t>
      </w:r>
      <w:bookmarkEnd w:id="443"/>
    </w:p>
    <w:p w14:paraId="5739C6A9" w14:textId="77777777" w:rsidR="0027195B" w:rsidRPr="0027195B" w:rsidRDefault="0027195B" w:rsidP="0027195B">
      <w:pPr>
        <w:pStyle w:val="EndNoteBibliography"/>
        <w:spacing w:after="240"/>
      </w:pPr>
      <w:bookmarkStart w:id="444" w:name="_ENREF_39"/>
      <w:r w:rsidRPr="0027195B">
        <w:t>Huh, K., Kim, I., Jung, J., Lee, J.E., Jhun, B.W., Gu, S.H., Song, D.H.</w:t>
      </w:r>
      <w:r w:rsidRPr="0027195B">
        <w:rPr>
          <w:i/>
        </w:rPr>
        <w:t>, et al.</w:t>
      </w:r>
      <w:r w:rsidRPr="0027195B">
        <w:t xml:space="preserve"> (2019). Prolonged shedding of type 55 human adenovirus in immunocompetent adults with adenoviral respiratory infections. European Journal of Clinical Microbiology &amp; Infectious Diseases</w:t>
      </w:r>
      <w:r w:rsidRPr="0027195B">
        <w:rPr>
          <w:i/>
        </w:rPr>
        <w:t xml:space="preserve"> 38</w:t>
      </w:r>
      <w:r w:rsidRPr="0027195B">
        <w:t>, 793-800.</w:t>
      </w:r>
      <w:bookmarkEnd w:id="444"/>
    </w:p>
    <w:p w14:paraId="742E4D9B" w14:textId="77777777" w:rsidR="0027195B" w:rsidRPr="0027195B" w:rsidRDefault="0027195B" w:rsidP="0027195B">
      <w:pPr>
        <w:pStyle w:val="EndNoteBibliography"/>
        <w:spacing w:after="240"/>
      </w:pPr>
      <w:bookmarkStart w:id="445" w:name="_ENREF_40"/>
      <w:r w:rsidRPr="0027195B">
        <w:t>Iqbal Ahmed, C.M., Johnson, D.E., Demers, G.W., Engler, H., Howe, J.A., Wills, K.N., Wen, S.F.</w:t>
      </w:r>
      <w:r w:rsidRPr="0027195B">
        <w:rPr>
          <w:i/>
        </w:rPr>
        <w:t>, et al.</w:t>
      </w:r>
      <w:r w:rsidRPr="0027195B">
        <w:t xml:space="preserve"> (2001). Interferon alpha 2b gene delivery using adenoviral vector causes inhibition of tumor growth in xenograft models from a variety of cancers. Cancer Gene Ther</w:t>
      </w:r>
      <w:r w:rsidRPr="0027195B">
        <w:rPr>
          <w:i/>
        </w:rPr>
        <w:t xml:space="preserve"> 8</w:t>
      </w:r>
      <w:r w:rsidRPr="0027195B">
        <w:t>, 788-795.</w:t>
      </w:r>
      <w:bookmarkEnd w:id="445"/>
    </w:p>
    <w:p w14:paraId="7BEB3F8E" w14:textId="77777777" w:rsidR="0027195B" w:rsidRPr="0027195B" w:rsidRDefault="0027195B" w:rsidP="0027195B">
      <w:pPr>
        <w:pStyle w:val="EndNoteBibliography"/>
        <w:spacing w:after="240"/>
      </w:pPr>
      <w:bookmarkStart w:id="446" w:name="_ENREF_41"/>
      <w:r w:rsidRPr="0027195B">
        <w:t>Ismail, A.M., Cui, T., Dommaraju, K., Singh, G., Dehghan, S., Seto, J., Shrivastava, S.</w:t>
      </w:r>
      <w:r w:rsidRPr="0027195B">
        <w:rPr>
          <w:i/>
        </w:rPr>
        <w:t>, et al.</w:t>
      </w:r>
      <w:r w:rsidRPr="0027195B">
        <w:t xml:space="preserve"> (2018a). Genomic analysis of a large set of currently—and historically—important human adenovirus pathogens. Emerging Microbes &amp; Infections</w:t>
      </w:r>
      <w:r w:rsidRPr="0027195B">
        <w:rPr>
          <w:i/>
        </w:rPr>
        <w:t xml:space="preserve"> 7</w:t>
      </w:r>
      <w:r w:rsidRPr="0027195B">
        <w:t>, 1-22.</w:t>
      </w:r>
      <w:bookmarkEnd w:id="446"/>
    </w:p>
    <w:p w14:paraId="06E1DED3" w14:textId="77777777" w:rsidR="0027195B" w:rsidRPr="0027195B" w:rsidRDefault="0027195B" w:rsidP="0027195B">
      <w:pPr>
        <w:pStyle w:val="EndNoteBibliography"/>
        <w:spacing w:after="240"/>
      </w:pPr>
      <w:bookmarkStart w:id="447" w:name="_ENREF_42"/>
      <w:r w:rsidRPr="0027195B">
        <w:t>Ismail, A.M., Lee, J.S., Lee, J.Y., Singh, G., Dyer, D.W., Seto, D., Chodosh, J.</w:t>
      </w:r>
      <w:r w:rsidRPr="0027195B">
        <w:rPr>
          <w:i/>
        </w:rPr>
        <w:t>, et al.</w:t>
      </w:r>
      <w:r w:rsidRPr="0027195B">
        <w:t xml:space="preserve"> (2018b). Adenoviromics: Mining the Human Adenovirus Species D Genome. Frontiers in Immunology</w:t>
      </w:r>
      <w:r w:rsidRPr="0027195B">
        <w:rPr>
          <w:i/>
        </w:rPr>
        <w:t xml:space="preserve"> 9</w:t>
      </w:r>
      <w:r w:rsidRPr="0027195B">
        <w:t>, 2178.</w:t>
      </w:r>
      <w:bookmarkEnd w:id="447"/>
    </w:p>
    <w:p w14:paraId="0D27CF95" w14:textId="77777777" w:rsidR="0027195B" w:rsidRPr="0027195B" w:rsidRDefault="0027195B" w:rsidP="0027195B">
      <w:pPr>
        <w:pStyle w:val="EndNoteBibliography"/>
        <w:spacing w:after="240"/>
      </w:pPr>
      <w:bookmarkStart w:id="448" w:name="_ENREF_43"/>
      <w:r w:rsidRPr="0027195B">
        <w:t>Ismail, A.M., Zhou, X., Dyer, D.W., Seto, D., Rajaiya, J., and Chodosh, J. (2019). Genomic foundations of evolution and ocular pathogenesis in human adenovirus species D. FEBS Lett</w:t>
      </w:r>
      <w:r w:rsidRPr="0027195B">
        <w:rPr>
          <w:i/>
        </w:rPr>
        <w:t xml:space="preserve"> 593</w:t>
      </w:r>
      <w:r w:rsidRPr="0027195B">
        <w:t>, 3583-3608.</w:t>
      </w:r>
      <w:bookmarkEnd w:id="448"/>
    </w:p>
    <w:p w14:paraId="4E650D83" w14:textId="77777777" w:rsidR="0027195B" w:rsidRPr="0027195B" w:rsidRDefault="0027195B" w:rsidP="0027195B">
      <w:pPr>
        <w:pStyle w:val="EndNoteBibliography"/>
        <w:spacing w:after="240"/>
      </w:pPr>
      <w:bookmarkStart w:id="449" w:name="_ENREF_44"/>
      <w:r w:rsidRPr="0027195B">
        <w:t>Jogler, C., Hoffmann, D., Theegarten, D., Grunwald, T., Überla, K., and Wildner, O. (2006). Replication Properties of Human Adenovirus In Vivo and in Cultures of Primary Cells from Different Animal Species. Journal of Virology</w:t>
      </w:r>
      <w:r w:rsidRPr="0027195B">
        <w:rPr>
          <w:i/>
        </w:rPr>
        <w:t xml:space="preserve"> 80</w:t>
      </w:r>
      <w:r w:rsidRPr="0027195B">
        <w:t>, 3549-3558.</w:t>
      </w:r>
      <w:bookmarkEnd w:id="449"/>
    </w:p>
    <w:p w14:paraId="6D8D15E4" w14:textId="77777777" w:rsidR="0027195B" w:rsidRPr="0027195B" w:rsidRDefault="0027195B" w:rsidP="0027195B">
      <w:pPr>
        <w:pStyle w:val="EndNoteBibliography"/>
        <w:spacing w:after="240"/>
      </w:pPr>
      <w:bookmarkStart w:id="450" w:name="_ENREF_45"/>
      <w:r w:rsidRPr="0027195B">
        <w:t>Khanal, S., Ghimire, P., and Dhamoon, A.S. (2018). The Repertoire of Adenovirus in Human Disease: The Innocuous to the Deadly. Biomedicines</w:t>
      </w:r>
      <w:r w:rsidRPr="0027195B">
        <w:rPr>
          <w:i/>
        </w:rPr>
        <w:t xml:space="preserve"> 6</w:t>
      </w:r>
      <w:r w:rsidRPr="0027195B">
        <w:t>, 30.</w:t>
      </w:r>
      <w:bookmarkEnd w:id="450"/>
    </w:p>
    <w:p w14:paraId="50FBF61F" w14:textId="77777777" w:rsidR="0027195B" w:rsidRPr="0027195B" w:rsidRDefault="0027195B" w:rsidP="0027195B">
      <w:pPr>
        <w:pStyle w:val="EndNoteBibliography"/>
        <w:spacing w:after="240"/>
      </w:pPr>
      <w:bookmarkStart w:id="451" w:name="_ENREF_46"/>
      <w:r w:rsidRPr="0027195B">
        <w:lastRenderedPageBreak/>
        <w:t>Konety, B.R., Shore, N.D., and Sant, G.R. (2024). Clinical use of nadofaragene firadenovec-vncg. Therapeutic Advances in Urology</w:t>
      </w:r>
      <w:r w:rsidRPr="0027195B">
        <w:rPr>
          <w:i/>
        </w:rPr>
        <w:t xml:space="preserve"> 16</w:t>
      </w:r>
      <w:r w:rsidRPr="0027195B">
        <w:t>, 17562872241280005.</w:t>
      </w:r>
      <w:bookmarkEnd w:id="451"/>
    </w:p>
    <w:p w14:paraId="752FC240" w14:textId="77777777" w:rsidR="0027195B" w:rsidRPr="0027195B" w:rsidRDefault="0027195B" w:rsidP="0027195B">
      <w:pPr>
        <w:pStyle w:val="EndNoteBibliography"/>
        <w:spacing w:after="240"/>
      </w:pPr>
      <w:bookmarkStart w:id="452" w:name="_ENREF_47"/>
      <w:r w:rsidRPr="0027195B">
        <w:t>Lange, C.E., Niama, F.R., Cameron, K., Olson, S.H., Aime Nina, R., Ondzie, A., Bounga, G.</w:t>
      </w:r>
      <w:r w:rsidRPr="0027195B">
        <w:rPr>
          <w:i/>
        </w:rPr>
        <w:t>, et al.</w:t>
      </w:r>
      <w:r w:rsidRPr="0027195B">
        <w:t xml:space="preserve"> (2019). First evidence of a new simian adenovirus clustering with Human mastadenovirus F viruses. Virology Journal</w:t>
      </w:r>
      <w:r w:rsidRPr="0027195B">
        <w:rPr>
          <w:i/>
        </w:rPr>
        <w:t xml:space="preserve"> 16</w:t>
      </w:r>
      <w:r w:rsidRPr="0027195B">
        <w:t>, 147.</w:t>
      </w:r>
      <w:bookmarkEnd w:id="452"/>
    </w:p>
    <w:p w14:paraId="7DC510EC" w14:textId="77777777" w:rsidR="0027195B" w:rsidRPr="0027195B" w:rsidRDefault="0027195B" w:rsidP="0027195B">
      <w:pPr>
        <w:pStyle w:val="EndNoteBibliography"/>
        <w:spacing w:after="240"/>
      </w:pPr>
      <w:bookmarkStart w:id="453" w:name="_ENREF_48"/>
      <w:r w:rsidRPr="0027195B">
        <w:t>Lasaro, M.O., and Ertl, H.C.J. (2009). New insights on adenovirus as vaccine vectors. Molecular therapy : the journal of the American Society of Gene Therapy</w:t>
      </w:r>
      <w:r w:rsidRPr="0027195B">
        <w:rPr>
          <w:i/>
        </w:rPr>
        <w:t xml:space="preserve"> 17</w:t>
      </w:r>
      <w:r w:rsidRPr="0027195B">
        <w:t>, 1333-1339.</w:t>
      </w:r>
      <w:bookmarkEnd w:id="453"/>
    </w:p>
    <w:p w14:paraId="55ACE6D9" w14:textId="77777777" w:rsidR="0027195B" w:rsidRPr="0027195B" w:rsidRDefault="0027195B" w:rsidP="0027195B">
      <w:pPr>
        <w:pStyle w:val="EndNoteBibliography"/>
        <w:spacing w:after="240"/>
      </w:pPr>
      <w:bookmarkStart w:id="454" w:name="_ENREF_49"/>
      <w:r w:rsidRPr="0027195B">
        <w:t>Lee, A. (2023). Nadofaragene Firadenovec: First Approval. Drugs</w:t>
      </w:r>
      <w:r w:rsidRPr="0027195B">
        <w:rPr>
          <w:i/>
        </w:rPr>
        <w:t xml:space="preserve"> 83</w:t>
      </w:r>
      <w:r w:rsidRPr="0027195B">
        <w:t>, 353-357.</w:t>
      </w:r>
      <w:bookmarkEnd w:id="454"/>
    </w:p>
    <w:p w14:paraId="0D38B7D2" w14:textId="77777777" w:rsidR="0027195B" w:rsidRPr="0027195B" w:rsidRDefault="0027195B" w:rsidP="0027195B">
      <w:pPr>
        <w:pStyle w:val="EndNoteBibliography"/>
        <w:spacing w:after="240"/>
      </w:pPr>
      <w:bookmarkStart w:id="455" w:name="_ENREF_50"/>
      <w:r w:rsidRPr="0027195B">
        <w:t>Leikas, A.J., Ylä-Herttuala, S., and Hartikainen, J.E. (2023a). Adenoviral Gene Therapy Vectors in Clinical Use—Basic Aspects with a Special Reference to Replication-Competent Adenovirus Formation and Its Impact on Clinical Safety. International Journal of Molecular Sciences</w:t>
      </w:r>
      <w:r w:rsidRPr="0027195B">
        <w:rPr>
          <w:i/>
        </w:rPr>
        <w:t xml:space="preserve"> 24</w:t>
      </w:r>
      <w:r w:rsidRPr="0027195B">
        <w:t>, 16519.</w:t>
      </w:r>
      <w:bookmarkEnd w:id="455"/>
    </w:p>
    <w:p w14:paraId="2F15172C" w14:textId="77777777" w:rsidR="0027195B" w:rsidRPr="0027195B" w:rsidRDefault="0027195B" w:rsidP="0027195B">
      <w:pPr>
        <w:pStyle w:val="EndNoteBibliography"/>
        <w:spacing w:after="240"/>
      </w:pPr>
      <w:bookmarkStart w:id="456" w:name="_ENREF_51"/>
      <w:r w:rsidRPr="0027195B">
        <w:t>Leikas, A.J., Ylä-Herttuala, S., and Hartikainen, J.E.K. (2023b). Adenoviral Gene Therapy Vectors in Clinical Use—Basic Aspects with a Special Reference to Replication-Competent Adenovirus Formation and Its Impact on Clinical Safety. International Journal of Molecular Sciences</w:t>
      </w:r>
      <w:r w:rsidRPr="0027195B">
        <w:rPr>
          <w:i/>
        </w:rPr>
        <w:t xml:space="preserve"> 24</w:t>
      </w:r>
      <w:r w:rsidRPr="0027195B">
        <w:t>, 16519.</w:t>
      </w:r>
      <w:bookmarkEnd w:id="456"/>
    </w:p>
    <w:p w14:paraId="320C8884" w14:textId="77777777" w:rsidR="0027195B" w:rsidRPr="0027195B" w:rsidRDefault="0027195B" w:rsidP="0027195B">
      <w:pPr>
        <w:pStyle w:val="EndNoteBibliography"/>
        <w:spacing w:after="240"/>
      </w:pPr>
      <w:bookmarkStart w:id="457" w:name="_ENREF_52"/>
      <w:r w:rsidRPr="0027195B">
        <w:t>Liaci, A.M., Chandra, N., Vodnala, S.M., Strebl, M., Kumar, P., Pfenning, V., Bachmann, P.</w:t>
      </w:r>
      <w:r w:rsidRPr="0027195B">
        <w:rPr>
          <w:i/>
        </w:rPr>
        <w:t>, et al.</w:t>
      </w:r>
      <w:r w:rsidRPr="0027195B">
        <w:t xml:space="preserve"> (2025). Extended receptor repertoire of an adenovirus associated with human obesity. PLOS Pathogens</w:t>
      </w:r>
      <w:r w:rsidRPr="0027195B">
        <w:rPr>
          <w:i/>
        </w:rPr>
        <w:t xml:space="preserve"> 21</w:t>
      </w:r>
      <w:r w:rsidRPr="0027195B">
        <w:t>, e1012892.</w:t>
      </w:r>
      <w:bookmarkEnd w:id="457"/>
    </w:p>
    <w:p w14:paraId="63414623" w14:textId="77777777" w:rsidR="0027195B" w:rsidRPr="0027195B" w:rsidRDefault="0027195B" w:rsidP="0027195B">
      <w:pPr>
        <w:pStyle w:val="EndNoteBibliography"/>
        <w:spacing w:after="240"/>
      </w:pPr>
      <w:bookmarkStart w:id="458" w:name="_ENREF_53"/>
      <w:r w:rsidRPr="0027195B">
        <w:t>Lichtenstein, D.L., and Wold, W.S. (2004). Experimental infections of humans with wild-type adenoviruses and with replication-competent adenovirus vectors: replication, safety, and transmission. Cancer Gene Ther</w:t>
      </w:r>
      <w:r w:rsidRPr="0027195B">
        <w:rPr>
          <w:i/>
        </w:rPr>
        <w:t xml:space="preserve"> 11</w:t>
      </w:r>
      <w:r w:rsidRPr="0027195B">
        <w:t>, 819-829.</w:t>
      </w:r>
      <w:bookmarkEnd w:id="458"/>
    </w:p>
    <w:p w14:paraId="7A9A1717" w14:textId="77777777" w:rsidR="0027195B" w:rsidRPr="0027195B" w:rsidRDefault="0027195B" w:rsidP="0027195B">
      <w:pPr>
        <w:pStyle w:val="EndNoteBibliography"/>
        <w:spacing w:after="240"/>
      </w:pPr>
      <w:bookmarkStart w:id="459" w:name="_ENREF_54"/>
      <w:r w:rsidRPr="0027195B">
        <w:t xml:space="preserve">Lion, T. (2019). Adenovirus persistence, reactivation, and clinical management. </w:t>
      </w:r>
      <w:r w:rsidRPr="0027195B">
        <w:rPr>
          <w:i/>
        </w:rPr>
        <w:t xml:space="preserve"> 593</w:t>
      </w:r>
      <w:r w:rsidRPr="0027195B">
        <w:t>, 3571-3582.</w:t>
      </w:r>
      <w:bookmarkEnd w:id="459"/>
    </w:p>
    <w:p w14:paraId="4E20337E" w14:textId="77777777" w:rsidR="0027195B" w:rsidRPr="0027195B" w:rsidRDefault="0027195B" w:rsidP="0027195B">
      <w:pPr>
        <w:pStyle w:val="EndNoteBibliography"/>
        <w:spacing w:after="240"/>
      </w:pPr>
      <w:bookmarkStart w:id="460" w:name="_ENREF_55"/>
      <w:r w:rsidRPr="0027195B">
        <w:t>Liu, H., Jin, L., Koh, S.B., Atanasov, I., Schein, S., Wu, L., and Zhou, Z.H. (2010). Atomic structure of human adenovirus by cryo-EM reveals interactions among protein networks. Science</w:t>
      </w:r>
      <w:r w:rsidRPr="0027195B">
        <w:rPr>
          <w:i/>
        </w:rPr>
        <w:t xml:space="preserve"> 329</w:t>
      </w:r>
      <w:r w:rsidRPr="0027195B">
        <w:t>, 1038-1043.</w:t>
      </w:r>
      <w:bookmarkEnd w:id="460"/>
    </w:p>
    <w:p w14:paraId="3606272E" w14:textId="77777777" w:rsidR="0027195B" w:rsidRPr="0027195B" w:rsidRDefault="0027195B" w:rsidP="0027195B">
      <w:pPr>
        <w:pStyle w:val="EndNoteBibliography"/>
        <w:spacing w:after="240"/>
      </w:pPr>
      <w:bookmarkStart w:id="461" w:name="_ENREF_56"/>
      <w:r w:rsidRPr="0027195B">
        <w:t>Lukashev, A.N., Ivanova, O.E., Eremeeva, T.P., and Iggo, R.D. (2008). Evidence of frequent recombination among human adenoviruses. J Gen Virol</w:t>
      </w:r>
      <w:r w:rsidRPr="0027195B">
        <w:rPr>
          <w:i/>
        </w:rPr>
        <w:t xml:space="preserve"> 89</w:t>
      </w:r>
      <w:r w:rsidRPr="0027195B">
        <w:t>, 380-388.</w:t>
      </w:r>
      <w:bookmarkEnd w:id="461"/>
    </w:p>
    <w:p w14:paraId="6ED6AFBF" w14:textId="77777777" w:rsidR="0027195B" w:rsidRPr="0027195B" w:rsidRDefault="0027195B" w:rsidP="0027195B">
      <w:pPr>
        <w:pStyle w:val="EndNoteBibliography"/>
        <w:spacing w:after="240"/>
      </w:pPr>
      <w:bookmarkStart w:id="462" w:name="_ENREF_57"/>
      <w:r w:rsidRPr="0027195B">
        <w:t>Ma, H.C., and Hearing, P. (2011). Adenovirus structural protein IIIa is involved in the serotype specificity of viral DNA packaging. J Virol</w:t>
      </w:r>
      <w:r w:rsidRPr="0027195B">
        <w:rPr>
          <w:i/>
        </w:rPr>
        <w:t xml:space="preserve"> 85</w:t>
      </w:r>
      <w:r w:rsidRPr="0027195B">
        <w:t>, 7849-7855.</w:t>
      </w:r>
      <w:bookmarkEnd w:id="462"/>
    </w:p>
    <w:p w14:paraId="2928B60F" w14:textId="77777777" w:rsidR="0027195B" w:rsidRPr="0027195B" w:rsidRDefault="0027195B" w:rsidP="0027195B">
      <w:pPr>
        <w:pStyle w:val="EndNoteBibliography"/>
        <w:spacing w:after="240"/>
      </w:pPr>
      <w:bookmarkStart w:id="463" w:name="_ENREF_58"/>
      <w:r w:rsidRPr="0027195B">
        <w:t>Mangel, W.F., and San Martin, C. (2014). Structure, function and dynamics in adenovirus maturation. Viruses</w:t>
      </w:r>
      <w:r w:rsidRPr="0027195B">
        <w:rPr>
          <w:i/>
        </w:rPr>
        <w:t xml:space="preserve"> 6</w:t>
      </w:r>
      <w:r w:rsidRPr="0027195B">
        <w:t>, 4536-4570.</w:t>
      </w:r>
      <w:bookmarkEnd w:id="463"/>
    </w:p>
    <w:p w14:paraId="5579B0BF" w14:textId="77777777" w:rsidR="0027195B" w:rsidRPr="0027195B" w:rsidRDefault="0027195B" w:rsidP="0027195B">
      <w:pPr>
        <w:pStyle w:val="EndNoteBibliography"/>
        <w:spacing w:after="240"/>
      </w:pPr>
      <w:bookmarkStart w:id="464" w:name="_ENREF_59"/>
      <w:r w:rsidRPr="0027195B">
        <w:t>McCormick, L., and Maheshwari, G. (2004). Inactivation of adenovirus types 5 and 6 by Virkon® S. Antiviral Research</w:t>
      </w:r>
      <w:r w:rsidRPr="0027195B">
        <w:rPr>
          <w:i/>
        </w:rPr>
        <w:t xml:space="preserve"> 64</w:t>
      </w:r>
      <w:r w:rsidRPr="0027195B">
        <w:t>, 27-33.</w:t>
      </w:r>
      <w:bookmarkEnd w:id="464"/>
    </w:p>
    <w:p w14:paraId="1957687A" w14:textId="77777777" w:rsidR="0027195B" w:rsidRPr="0027195B" w:rsidRDefault="0027195B" w:rsidP="0027195B">
      <w:pPr>
        <w:pStyle w:val="EndNoteBibliography"/>
        <w:spacing w:after="240"/>
      </w:pPr>
      <w:bookmarkStart w:id="465" w:name="_ENREF_60"/>
      <w:r w:rsidRPr="0027195B">
        <w:t>Mennechet, F.J.D., Paris, O., Ouoba, A.R., Salazar Arenas, S., Sirima, S.B., Takoudjou Dzomo, G.R., Diarra, A.</w:t>
      </w:r>
      <w:r w:rsidRPr="0027195B">
        <w:rPr>
          <w:i/>
        </w:rPr>
        <w:t>, et al.</w:t>
      </w:r>
      <w:r w:rsidRPr="0027195B">
        <w:t xml:space="preserve"> (2019a). A review of 65 years of human adenovirus seroprevalence. Expert Rev Vaccines</w:t>
      </w:r>
      <w:r w:rsidRPr="0027195B">
        <w:rPr>
          <w:i/>
        </w:rPr>
        <w:t xml:space="preserve"> 18</w:t>
      </w:r>
      <w:r w:rsidRPr="0027195B">
        <w:t>, 597-613.</w:t>
      </w:r>
      <w:bookmarkEnd w:id="465"/>
    </w:p>
    <w:p w14:paraId="53E6A652" w14:textId="77777777" w:rsidR="0027195B" w:rsidRPr="0027195B" w:rsidRDefault="0027195B" w:rsidP="0027195B">
      <w:pPr>
        <w:pStyle w:val="EndNoteBibliography"/>
        <w:spacing w:after="240"/>
      </w:pPr>
      <w:bookmarkStart w:id="466" w:name="_ENREF_61"/>
      <w:r w:rsidRPr="0027195B">
        <w:t>Mennechet, F.J.D., Paris, O., Ouoba, A.R., Salazar Arenas, S., Sirima, S.B., Takoudjou Dzomo, G.R., Diarra, A.</w:t>
      </w:r>
      <w:r w:rsidRPr="0027195B">
        <w:rPr>
          <w:i/>
        </w:rPr>
        <w:t>, et al.</w:t>
      </w:r>
      <w:r w:rsidRPr="0027195B">
        <w:t xml:space="preserve"> (2019b). A review of 65 years of human adenovirus seroprevalence. Expert Review of Vaccines</w:t>
      </w:r>
      <w:r w:rsidRPr="0027195B">
        <w:rPr>
          <w:i/>
        </w:rPr>
        <w:t xml:space="preserve"> 18</w:t>
      </w:r>
      <w:r w:rsidRPr="0027195B">
        <w:t>, 597-613.</w:t>
      </w:r>
      <w:bookmarkEnd w:id="466"/>
    </w:p>
    <w:p w14:paraId="0F54BF91" w14:textId="77777777" w:rsidR="0027195B" w:rsidRPr="0027195B" w:rsidRDefault="0027195B" w:rsidP="0027195B">
      <w:pPr>
        <w:pStyle w:val="EndNoteBibliography"/>
        <w:spacing w:after="240"/>
      </w:pPr>
      <w:bookmarkStart w:id="467" w:name="_ENREF_62"/>
      <w:r w:rsidRPr="0027195B">
        <w:lastRenderedPageBreak/>
        <w:t>Musher, D.M. (2003). How contagious are common respiratory tract infections? N Engl J Med</w:t>
      </w:r>
      <w:r w:rsidRPr="0027195B">
        <w:rPr>
          <w:i/>
        </w:rPr>
        <w:t xml:space="preserve"> 348</w:t>
      </w:r>
      <w:r w:rsidRPr="0027195B">
        <w:t>, 1256-1266.</w:t>
      </w:r>
      <w:bookmarkEnd w:id="467"/>
    </w:p>
    <w:p w14:paraId="4313D1DA" w14:textId="7A6DACB1" w:rsidR="0027195B" w:rsidRPr="0027195B" w:rsidRDefault="0027195B" w:rsidP="0027195B">
      <w:pPr>
        <w:pStyle w:val="EndNoteBibliography"/>
        <w:spacing w:after="240"/>
      </w:pPr>
      <w:bookmarkStart w:id="468" w:name="_ENREF_63"/>
      <w:r w:rsidRPr="0027195B">
        <w:t xml:space="preserve">National Health and Medical Research Council (2019). Australian Guidelines for the Prevention and Control of Infection in Healthcare. (Canberra: Commonwealth of Australia, available online </w:t>
      </w:r>
      <w:hyperlink r:id="rId56" w:anchor="block-views-block-file-attachments-content-block-1" w:history="1">
        <w:r w:rsidRPr="0027195B">
          <w:rPr>
            <w:rStyle w:val="Hyperlink"/>
          </w:rPr>
          <w:t>https://www.nhmrc.gov.au/about-us/publications/australian-guidelines-prevention-and-control-infection-healthcare-2019#block-views-block-file-attachments-content-block-1</w:t>
        </w:r>
      </w:hyperlink>
      <w:r w:rsidRPr="0027195B">
        <w:t>).</w:t>
      </w:r>
      <w:bookmarkEnd w:id="468"/>
    </w:p>
    <w:p w14:paraId="2AF5B1AF" w14:textId="29BA9435" w:rsidR="0027195B" w:rsidRPr="0027195B" w:rsidRDefault="0027195B" w:rsidP="0027195B">
      <w:pPr>
        <w:pStyle w:val="EndNoteBibliography"/>
        <w:spacing w:after="240"/>
      </w:pPr>
      <w:bookmarkStart w:id="469" w:name="_ENREF_64"/>
      <w:r w:rsidRPr="0027195B">
        <w:t xml:space="preserve">National Health and Medical Research Council, Australian Research Council, and Universities Australia (2018). National Statement on Ethical Conduct in Human Research 2007 (Updated 2018). (Canberra: Commonwealth of Australia, available online </w:t>
      </w:r>
      <w:hyperlink r:id="rId57" w:history="1">
        <w:r w:rsidRPr="0027195B">
          <w:rPr>
            <w:rStyle w:val="Hyperlink"/>
          </w:rPr>
          <w:t>https://www.nhmrc.gov.au/about-us/publications/national-statement-ethical-conduct-human-research-2007-updated-2018</w:t>
        </w:r>
      </w:hyperlink>
      <w:r w:rsidRPr="0027195B">
        <w:t>).</w:t>
      </w:r>
      <w:bookmarkEnd w:id="469"/>
    </w:p>
    <w:p w14:paraId="3998AB47" w14:textId="77777777" w:rsidR="0027195B" w:rsidRPr="0027195B" w:rsidRDefault="0027195B" w:rsidP="0027195B">
      <w:pPr>
        <w:pStyle w:val="EndNoteBibliography"/>
        <w:spacing w:after="240"/>
      </w:pPr>
      <w:bookmarkStart w:id="470" w:name="_ENREF_65"/>
      <w:r w:rsidRPr="0027195B">
        <w:t>Navai, N., Benedict, W.F., Zhang, G., Abraham, A., Ainslie, N., Shah, J.B., Grossman, H.B.</w:t>
      </w:r>
      <w:r w:rsidRPr="0027195B">
        <w:rPr>
          <w:i/>
        </w:rPr>
        <w:t>, et al.</w:t>
      </w:r>
      <w:r w:rsidRPr="0027195B">
        <w:t xml:space="preserve"> (2016). Phase 1b trial to evaluate tissue response to a second dose of intravesical recombinant adenoviral interferon α2b formulated in Syn3 for failures of bacillus calmette-guerin (BCG) therapy in nonmuscle invasive bladder cancer. Ann Surg Oncol</w:t>
      </w:r>
      <w:r w:rsidRPr="0027195B">
        <w:rPr>
          <w:i/>
        </w:rPr>
        <w:t xml:space="preserve"> 23</w:t>
      </w:r>
      <w:r w:rsidRPr="0027195B">
        <w:t>, 4110-4114.</w:t>
      </w:r>
      <w:bookmarkEnd w:id="470"/>
    </w:p>
    <w:p w14:paraId="70031951" w14:textId="67DA48B7" w:rsidR="0027195B" w:rsidRPr="0027195B" w:rsidRDefault="0027195B" w:rsidP="0027195B">
      <w:pPr>
        <w:pStyle w:val="EndNoteBibliography"/>
        <w:spacing w:after="240"/>
      </w:pPr>
      <w:bookmarkStart w:id="471" w:name="_ENREF_66"/>
      <w:r w:rsidRPr="0027195B">
        <w:t xml:space="preserve">NSW (2018). Clinical Waste Management. Accessed: December 2020. </w:t>
      </w:r>
      <w:hyperlink r:id="rId58" w:history="1">
        <w:r w:rsidRPr="0027195B">
          <w:rPr>
            <w:rStyle w:val="Hyperlink"/>
          </w:rPr>
          <w:t>https://www.health.nsw.gov.au/environment/clinicalwaste/Pages/default.aspx</w:t>
        </w:r>
      </w:hyperlink>
      <w:r w:rsidRPr="0027195B">
        <w:t>.</w:t>
      </w:r>
      <w:bookmarkEnd w:id="471"/>
    </w:p>
    <w:p w14:paraId="59DAA74B" w14:textId="4808AB67" w:rsidR="0027195B" w:rsidRPr="0027195B" w:rsidRDefault="0027195B" w:rsidP="0027195B">
      <w:pPr>
        <w:pStyle w:val="EndNoteBibliography"/>
        <w:spacing w:after="240"/>
      </w:pPr>
      <w:bookmarkStart w:id="472" w:name="_ENREF_67"/>
      <w:r w:rsidRPr="0027195B">
        <w:t xml:space="preserve">NT (2014). Waste Management and pollution Control Regultions 1998. Accessed: December 2020. </w:t>
      </w:r>
      <w:hyperlink r:id="rId59" w:history="1">
        <w:r w:rsidRPr="0027195B">
          <w:rPr>
            <w:rStyle w:val="Hyperlink"/>
          </w:rPr>
          <w:t>https://legislation.nt.gov.au/Legislation/WASTE-MANAGEMENT-AND-POLLUTION-CONTROL-ADMINISTRATION-REGULATIONS-1998</w:t>
        </w:r>
      </w:hyperlink>
      <w:r w:rsidRPr="0027195B">
        <w:t>.</w:t>
      </w:r>
      <w:bookmarkEnd w:id="472"/>
    </w:p>
    <w:p w14:paraId="4C4E8430" w14:textId="1C10EECA" w:rsidR="0027195B" w:rsidRPr="0027195B" w:rsidRDefault="0027195B" w:rsidP="0027195B">
      <w:pPr>
        <w:pStyle w:val="EndNoteBibliography"/>
        <w:spacing w:after="240"/>
      </w:pPr>
      <w:bookmarkStart w:id="473" w:name="_ENREF_68"/>
      <w:r w:rsidRPr="0027195B">
        <w:t>OGTR (2013). Risk Analysis Framework 2013. (Office of the Gene Technology Regulator)</w:t>
      </w:r>
      <w:bookmarkEnd w:id="473"/>
      <w:r w:rsidR="003513B2">
        <w:t>.</w:t>
      </w:r>
    </w:p>
    <w:p w14:paraId="4A401FC3" w14:textId="77777777" w:rsidR="0027195B" w:rsidRPr="0027195B" w:rsidRDefault="0027195B" w:rsidP="0027195B">
      <w:pPr>
        <w:pStyle w:val="EndNoteBibliography"/>
        <w:spacing w:after="240"/>
      </w:pPr>
      <w:bookmarkStart w:id="474" w:name="_ENREF_69"/>
      <w:r w:rsidRPr="0027195B">
        <w:t>Pihos, A.M. (2013). Epidemic keratoconjunctivitis: A review of current concepts in management. Journal of Optometry</w:t>
      </w:r>
      <w:r w:rsidRPr="0027195B">
        <w:rPr>
          <w:i/>
        </w:rPr>
        <w:t xml:space="preserve"> 6</w:t>
      </w:r>
      <w:r w:rsidRPr="0027195B">
        <w:t>, 69-74.</w:t>
      </w:r>
      <w:bookmarkEnd w:id="474"/>
    </w:p>
    <w:p w14:paraId="32F7A925" w14:textId="285276CC" w:rsidR="0027195B" w:rsidRPr="0027195B" w:rsidRDefault="0027195B" w:rsidP="0027195B">
      <w:pPr>
        <w:pStyle w:val="EndNoteBibliography"/>
        <w:spacing w:after="240"/>
      </w:pPr>
      <w:bookmarkStart w:id="475" w:name="_ENREF_70"/>
      <w:r w:rsidRPr="0027195B">
        <w:t xml:space="preserve">Public Health Agency of Canada (2014). Pathogen Safety Data Sheets: Infectious Substances – Adenovirus types 1, 2, 3, 4, 5 and 7. (Government of Canada) Accessed: 10 December 2020. </w:t>
      </w:r>
      <w:hyperlink r:id="rId60" w:history="1">
        <w:r w:rsidRPr="0027195B">
          <w:rPr>
            <w:rStyle w:val="Hyperlink"/>
          </w:rPr>
          <w:t>https://www.canada.ca/en/public-health/services/laboratory-biosafety-biosecurity/pathogen-safety-data-sheets-risk-assessment/adenovirus-types-1-2-3-4-5-7-pathogen-safety-data-sheet.html</w:t>
        </w:r>
      </w:hyperlink>
      <w:r w:rsidRPr="0027195B">
        <w:t>.</w:t>
      </w:r>
      <w:bookmarkEnd w:id="475"/>
    </w:p>
    <w:p w14:paraId="1C3FBBD2" w14:textId="66F5DF90" w:rsidR="0027195B" w:rsidRPr="0027195B" w:rsidRDefault="0027195B" w:rsidP="0027195B">
      <w:pPr>
        <w:pStyle w:val="EndNoteBibliography"/>
        <w:spacing w:after="240"/>
      </w:pPr>
      <w:bookmarkStart w:id="476" w:name="_ENREF_71"/>
      <w:r w:rsidRPr="0027195B">
        <w:t xml:space="preserve">QLD (2019). Clinical and related waste. Accessed: December 2020. </w:t>
      </w:r>
      <w:hyperlink r:id="rId61" w:history="1">
        <w:r w:rsidRPr="0027195B">
          <w:rPr>
            <w:rStyle w:val="Hyperlink"/>
          </w:rPr>
          <w:t>https://environment.des.qld.gov.au/__data/assets/pdf_file/0029/89147/pr-gl-clinical-and-related-waste.pdf</w:t>
        </w:r>
      </w:hyperlink>
      <w:r w:rsidRPr="0027195B">
        <w:t>.</w:t>
      </w:r>
      <w:bookmarkEnd w:id="476"/>
    </w:p>
    <w:p w14:paraId="4CAFF4D6" w14:textId="77777777" w:rsidR="0027195B" w:rsidRPr="0027195B" w:rsidRDefault="0027195B" w:rsidP="0027195B">
      <w:pPr>
        <w:pStyle w:val="EndNoteBibliography"/>
        <w:spacing w:after="240"/>
      </w:pPr>
      <w:bookmarkStart w:id="477" w:name="_ENREF_72"/>
      <w:r w:rsidRPr="0027195B">
        <w:t>Reddy, V.S., Natchiar, S.K., Stewart, P.L., and Nemerow, G.R. (2010). Crystal structure of human adenovirus at 3.5 A resolution. Science</w:t>
      </w:r>
      <w:r w:rsidRPr="0027195B">
        <w:rPr>
          <w:i/>
        </w:rPr>
        <w:t xml:space="preserve"> 329</w:t>
      </w:r>
      <w:r w:rsidRPr="0027195B">
        <w:t>, 1071-1075.</w:t>
      </w:r>
      <w:bookmarkEnd w:id="477"/>
    </w:p>
    <w:p w14:paraId="157F8414" w14:textId="77777777" w:rsidR="0027195B" w:rsidRPr="0027195B" w:rsidRDefault="0027195B" w:rsidP="0027195B">
      <w:pPr>
        <w:pStyle w:val="EndNoteBibliography"/>
        <w:spacing w:after="240"/>
      </w:pPr>
      <w:bookmarkStart w:id="478" w:name="_ENREF_73"/>
      <w:r w:rsidRPr="0027195B">
        <w:t>Reddy, V.S., and Nemerow, G.R. (2014). Structures and organization of adenovirus cement proteins provide insights into the role of capsid maturation in virus entry and infection. Proc Natl Acad Sci U S A</w:t>
      </w:r>
      <w:r w:rsidRPr="0027195B">
        <w:rPr>
          <w:i/>
        </w:rPr>
        <w:t xml:space="preserve"> 111</w:t>
      </w:r>
      <w:r w:rsidRPr="0027195B">
        <w:t>, 11715-11720.</w:t>
      </w:r>
      <w:bookmarkEnd w:id="478"/>
    </w:p>
    <w:p w14:paraId="6ABA541B" w14:textId="77777777" w:rsidR="0027195B" w:rsidRPr="0027195B" w:rsidRDefault="0027195B" w:rsidP="0027195B">
      <w:pPr>
        <w:pStyle w:val="EndNoteBibliography"/>
        <w:spacing w:after="240"/>
      </w:pPr>
      <w:bookmarkStart w:id="479" w:name="_ENREF_74"/>
      <w:r w:rsidRPr="0027195B">
        <w:t>Rexroad, J., Evans, R.K., and Middaugh, C.R. (2006). Effect of pH and ionic strength on the physical stability of adenovirus type 5. Journal of Pharmaceutical Sciences</w:t>
      </w:r>
      <w:r w:rsidRPr="0027195B">
        <w:rPr>
          <w:i/>
        </w:rPr>
        <w:t xml:space="preserve"> 95</w:t>
      </w:r>
      <w:r w:rsidRPr="0027195B">
        <w:t>, 237-247.</w:t>
      </w:r>
      <w:bookmarkEnd w:id="479"/>
    </w:p>
    <w:p w14:paraId="7F651F9F" w14:textId="77777777" w:rsidR="0027195B" w:rsidRPr="0027195B" w:rsidRDefault="0027195B" w:rsidP="0027195B">
      <w:pPr>
        <w:pStyle w:val="EndNoteBibliography"/>
        <w:spacing w:after="240"/>
      </w:pPr>
      <w:bookmarkStart w:id="480" w:name="_ENREF_75"/>
      <w:r w:rsidRPr="0027195B">
        <w:t>Robinson, C.M., Seto, D., Jones, M.S., Dyer, D.W., and Chodosh, J. (2011). Molecular evolution of human species D adenoviruses. Infect Genet Evol</w:t>
      </w:r>
      <w:r w:rsidRPr="0027195B">
        <w:rPr>
          <w:i/>
        </w:rPr>
        <w:t xml:space="preserve"> 11</w:t>
      </w:r>
      <w:r w:rsidRPr="0027195B">
        <w:t>, 1208-1217.</w:t>
      </w:r>
      <w:bookmarkEnd w:id="480"/>
    </w:p>
    <w:p w14:paraId="6E604B05" w14:textId="77777777" w:rsidR="0027195B" w:rsidRPr="0027195B" w:rsidRDefault="0027195B" w:rsidP="0027195B">
      <w:pPr>
        <w:pStyle w:val="EndNoteBibliography"/>
        <w:spacing w:after="240"/>
      </w:pPr>
      <w:bookmarkStart w:id="481" w:name="_ENREF_76"/>
      <w:r w:rsidRPr="0027195B">
        <w:lastRenderedPageBreak/>
        <w:t>Roy, S., Gao, G., Clawson, D.S., Vandenberghe, L.H., Farina, S.F., and Wilson, J.M. (2004). Complete nucleotide sequences and genome organization of four chimpanzee adenoviruses. Virology</w:t>
      </w:r>
      <w:r w:rsidRPr="0027195B">
        <w:rPr>
          <w:i/>
        </w:rPr>
        <w:t xml:space="preserve"> 324</w:t>
      </w:r>
      <w:r w:rsidRPr="0027195B">
        <w:t>, 361-372.</w:t>
      </w:r>
      <w:bookmarkEnd w:id="481"/>
    </w:p>
    <w:p w14:paraId="4118E46D" w14:textId="77777777" w:rsidR="0027195B" w:rsidRPr="0027195B" w:rsidRDefault="0027195B" w:rsidP="0027195B">
      <w:pPr>
        <w:pStyle w:val="EndNoteBibliography"/>
        <w:spacing w:after="240"/>
      </w:pPr>
      <w:bookmarkStart w:id="482" w:name="_ENREF_77"/>
      <w:r w:rsidRPr="0027195B">
        <w:t>Rutala, W.A., Peacock, J.E., Gergen, M.F., Sobsey, M.D., and Weber, D.J. (2006). Efficacy of hospital germicides against adenovirus 8, a common cause of epidemic keratoconjunctivitis in health care facilities. Antimicrobial agents and chemotherapy</w:t>
      </w:r>
      <w:r w:rsidRPr="0027195B">
        <w:rPr>
          <w:i/>
        </w:rPr>
        <w:t xml:space="preserve"> 50</w:t>
      </w:r>
      <w:r w:rsidRPr="0027195B">
        <w:t>, 1419-1424.</w:t>
      </w:r>
      <w:bookmarkEnd w:id="482"/>
    </w:p>
    <w:p w14:paraId="67DDD51E" w14:textId="519639AF" w:rsidR="0027195B" w:rsidRPr="0027195B" w:rsidRDefault="0027195B" w:rsidP="0027195B">
      <w:pPr>
        <w:pStyle w:val="EndNoteBibliography"/>
        <w:spacing w:after="240"/>
      </w:pPr>
      <w:bookmarkStart w:id="483" w:name="_ENREF_78"/>
      <w:r w:rsidRPr="0027195B">
        <w:t xml:space="preserve">SA (2020). Disposing waste - Medical waste. Accessed: 11 December. </w:t>
      </w:r>
      <w:hyperlink r:id="rId62" w:history="1">
        <w:r w:rsidRPr="0027195B">
          <w:rPr>
            <w:rStyle w:val="Hyperlink"/>
          </w:rPr>
          <w:t>https://www.epa.sa.gov.au/environmental_info/waste_recycling/disposing-waste</w:t>
        </w:r>
      </w:hyperlink>
      <w:r w:rsidRPr="0027195B">
        <w:t>.</w:t>
      </w:r>
      <w:bookmarkEnd w:id="483"/>
    </w:p>
    <w:p w14:paraId="1B1D883E" w14:textId="77777777" w:rsidR="0027195B" w:rsidRPr="0027195B" w:rsidRDefault="0027195B" w:rsidP="0027195B">
      <w:pPr>
        <w:pStyle w:val="EndNoteBibliography"/>
        <w:spacing w:after="240"/>
      </w:pPr>
      <w:bookmarkStart w:id="484" w:name="_ENREF_79"/>
      <w:r w:rsidRPr="0027195B">
        <w:t>Saha, B., and Parks, R.J. (2017). Human adenovirus type 5 vectors deleted of early region 1 (E1) undergo limited expression of early replicative E2 proteins and DNA replication in non-permissive cells. PloS one</w:t>
      </w:r>
      <w:r w:rsidRPr="0027195B">
        <w:rPr>
          <w:i/>
        </w:rPr>
        <w:t xml:space="preserve"> 12</w:t>
      </w:r>
      <w:r w:rsidRPr="0027195B">
        <w:t>, e0181012-e0181012.</w:t>
      </w:r>
      <w:bookmarkEnd w:id="484"/>
    </w:p>
    <w:p w14:paraId="47D402F6" w14:textId="77777777" w:rsidR="0027195B" w:rsidRPr="0027195B" w:rsidRDefault="0027195B" w:rsidP="0027195B">
      <w:pPr>
        <w:pStyle w:val="EndNoteBibliography"/>
        <w:spacing w:after="240"/>
      </w:pPr>
      <w:bookmarkStart w:id="485" w:name="_ENREF_80"/>
      <w:r w:rsidRPr="0027195B">
        <w:t>San Martin, C. (2012). Latest insights on adenovirus structure and assembly. Viruses</w:t>
      </w:r>
      <w:r w:rsidRPr="0027195B">
        <w:rPr>
          <w:i/>
        </w:rPr>
        <w:t xml:space="preserve"> 4</w:t>
      </w:r>
      <w:r w:rsidRPr="0027195B">
        <w:t>, 847-877.</w:t>
      </w:r>
      <w:bookmarkEnd w:id="485"/>
    </w:p>
    <w:p w14:paraId="470CC69D" w14:textId="77777777" w:rsidR="0027195B" w:rsidRPr="0027195B" w:rsidRDefault="0027195B" w:rsidP="0027195B">
      <w:pPr>
        <w:pStyle w:val="EndNoteBibliography"/>
        <w:spacing w:after="240"/>
      </w:pPr>
      <w:bookmarkStart w:id="486" w:name="_ENREF_81"/>
      <w:r w:rsidRPr="0027195B">
        <w:t>Sato-Dahlman, M., Roach, B.L., and Yamamoto, M. (2020). The Role of Adenovirus in Cancer Therapy. Cancers (Basel)</w:t>
      </w:r>
      <w:r w:rsidRPr="0027195B">
        <w:rPr>
          <w:i/>
        </w:rPr>
        <w:t xml:space="preserve"> 12</w:t>
      </w:r>
      <w:r w:rsidRPr="0027195B">
        <w:t>.</w:t>
      </w:r>
      <w:bookmarkEnd w:id="486"/>
    </w:p>
    <w:p w14:paraId="37BBA089" w14:textId="77777777" w:rsidR="0027195B" w:rsidRPr="0027195B" w:rsidRDefault="0027195B" w:rsidP="0027195B">
      <w:pPr>
        <w:pStyle w:val="EndNoteBibliography"/>
        <w:spacing w:after="240"/>
      </w:pPr>
      <w:bookmarkStart w:id="487" w:name="_ENREF_82"/>
      <w:r w:rsidRPr="0027195B">
        <w:t>Scarsella, L., Ehrke-Schulz, E., Paulussen, M., Thal, S.C., Ehrhardt, A., and Aydin, M. (2024). Advances of Recombinant Adenoviral Vectors in Preclinical and Clinical Applications. Viruses</w:t>
      </w:r>
      <w:r w:rsidRPr="0027195B">
        <w:rPr>
          <w:i/>
        </w:rPr>
        <w:t xml:space="preserve"> 16</w:t>
      </w:r>
      <w:r w:rsidRPr="0027195B">
        <w:t>, 377.</w:t>
      </w:r>
      <w:bookmarkEnd w:id="487"/>
    </w:p>
    <w:p w14:paraId="607B7437" w14:textId="77777777" w:rsidR="0027195B" w:rsidRPr="0027195B" w:rsidRDefault="0027195B" w:rsidP="0027195B">
      <w:pPr>
        <w:pStyle w:val="EndNoteBibliography"/>
        <w:spacing w:after="240"/>
      </w:pPr>
      <w:bookmarkStart w:id="488" w:name="_ENREF_83"/>
      <w:r w:rsidRPr="0027195B">
        <w:t>Shaw, A.R., and Suzuki, M. (2019). Immunology of Adenoviral Vectors in Cancer Therapy. Mol Ther Methods Clin Dev</w:t>
      </w:r>
      <w:r w:rsidRPr="0027195B">
        <w:rPr>
          <w:i/>
        </w:rPr>
        <w:t xml:space="preserve"> 15</w:t>
      </w:r>
      <w:r w:rsidRPr="0027195B">
        <w:t>, 418-429.</w:t>
      </w:r>
      <w:bookmarkEnd w:id="488"/>
    </w:p>
    <w:p w14:paraId="07DF95CA" w14:textId="77777777" w:rsidR="0027195B" w:rsidRPr="0027195B" w:rsidRDefault="0027195B" w:rsidP="0027195B">
      <w:pPr>
        <w:pStyle w:val="EndNoteBibliography"/>
        <w:spacing w:after="240"/>
      </w:pPr>
      <w:bookmarkStart w:id="489" w:name="_ENREF_84"/>
      <w:r w:rsidRPr="0027195B">
        <w:t>Shi, W., Yao, X., Fu, Y., and Wang, Y. (2022). Interferon-α and its effects on cancer cell apoptosis. Oncol Lett</w:t>
      </w:r>
      <w:r w:rsidRPr="0027195B">
        <w:rPr>
          <w:i/>
        </w:rPr>
        <w:t xml:space="preserve"> 24</w:t>
      </w:r>
      <w:r w:rsidRPr="0027195B">
        <w:t>, 235.</w:t>
      </w:r>
      <w:bookmarkEnd w:id="489"/>
    </w:p>
    <w:p w14:paraId="074E4B4C" w14:textId="77777777" w:rsidR="0027195B" w:rsidRPr="0027195B" w:rsidRDefault="0027195B" w:rsidP="0027195B">
      <w:pPr>
        <w:pStyle w:val="EndNoteBibliography"/>
        <w:spacing w:after="240"/>
      </w:pPr>
      <w:bookmarkStart w:id="490" w:name="_ENREF_85"/>
      <w:r w:rsidRPr="0027195B">
        <w:t>Shore, N.D., Boorjian, S.A., Canter, D.J., Ogan, K., Karsh, L.I., Downs, T.M., Gomella, L.G.</w:t>
      </w:r>
      <w:r w:rsidRPr="0027195B">
        <w:rPr>
          <w:i/>
        </w:rPr>
        <w:t>, et al.</w:t>
      </w:r>
      <w:r w:rsidRPr="0027195B">
        <w:t xml:space="preserve"> (2017). Intravesical rAd-IFNα/Syn3 for patients with high-grade, bacillus calmette-guerin-refractory or relapsed non-muscle-invasive bladder cancer: a phase II randomized study. J Clin Oncol</w:t>
      </w:r>
      <w:r w:rsidRPr="0027195B">
        <w:rPr>
          <w:i/>
        </w:rPr>
        <w:t xml:space="preserve"> 35</w:t>
      </w:r>
      <w:r w:rsidRPr="0027195B">
        <w:t>, 3410-3416.</w:t>
      </w:r>
      <w:bookmarkEnd w:id="490"/>
    </w:p>
    <w:p w14:paraId="1CFD2488" w14:textId="77777777" w:rsidR="0027195B" w:rsidRPr="0027195B" w:rsidRDefault="0027195B" w:rsidP="0027195B">
      <w:pPr>
        <w:pStyle w:val="EndNoteBibliography"/>
        <w:spacing w:after="240"/>
      </w:pPr>
      <w:bookmarkStart w:id="491" w:name="_ENREF_86"/>
      <w:r w:rsidRPr="0027195B">
        <w:t>Spencer, J.R., P.; Lin, M., Milton, A., Blumer, C.; Miller, M.; Hawker, L.; Hurtado, P. (2002). Communicable Disease Intelligence (Quarterly Report). Department of Health Australia</w:t>
      </w:r>
      <w:r w:rsidRPr="0027195B">
        <w:rPr>
          <w:i/>
        </w:rPr>
        <w:t xml:space="preserve"> 26</w:t>
      </w:r>
      <w:r w:rsidRPr="0027195B">
        <w:t>, 344.</w:t>
      </w:r>
      <w:bookmarkEnd w:id="491"/>
    </w:p>
    <w:p w14:paraId="2784FF89" w14:textId="77777777" w:rsidR="0027195B" w:rsidRPr="0027195B" w:rsidRDefault="0027195B" w:rsidP="0027195B">
      <w:pPr>
        <w:pStyle w:val="EndNoteBibliography"/>
        <w:spacing w:after="240"/>
      </w:pPr>
      <w:bookmarkStart w:id="492" w:name="_ENREF_87"/>
      <w:r w:rsidRPr="0027195B">
        <w:t>Standards Australia/New Zealand (2022). AS/NZS 2243.3:2022 Safety in laboratories, Part 3: Microbiological safety and containment.</w:t>
      </w:r>
      <w:bookmarkEnd w:id="492"/>
    </w:p>
    <w:p w14:paraId="5F6B939B" w14:textId="77777777" w:rsidR="0027195B" w:rsidRPr="0027195B" w:rsidRDefault="0027195B" w:rsidP="0027195B">
      <w:pPr>
        <w:pStyle w:val="EndNoteBibliography"/>
        <w:spacing w:after="240"/>
      </w:pPr>
      <w:bookmarkStart w:id="493" w:name="_ENREF_88"/>
      <w:r w:rsidRPr="0027195B">
        <w:t>Steinmetz, A.R., Mokkapati, S., McConkey, D., and Dinney, C.P. (2024). The Evolution of Nadofaragene Firadenovec: A Review and the Path Forward. Bladder Cancer</w:t>
      </w:r>
      <w:r w:rsidRPr="0027195B">
        <w:rPr>
          <w:i/>
        </w:rPr>
        <w:t xml:space="preserve"> 10</w:t>
      </w:r>
      <w:r w:rsidRPr="0027195B">
        <w:t>, 105-112.</w:t>
      </w:r>
      <w:bookmarkEnd w:id="493"/>
    </w:p>
    <w:p w14:paraId="59D862E8" w14:textId="77777777" w:rsidR="0027195B" w:rsidRPr="0027195B" w:rsidRDefault="0027195B" w:rsidP="0027195B">
      <w:pPr>
        <w:pStyle w:val="EndNoteBibliography"/>
        <w:spacing w:after="240"/>
      </w:pPr>
      <w:bookmarkStart w:id="494" w:name="_ENREF_89"/>
      <w:r w:rsidRPr="0027195B">
        <w:t>Stephen, S.L., Montini, E., Sivanandam, V.G., Al-Dhalimy, M., Kestler, H.A., Finegold, M., Grompe, M.</w:t>
      </w:r>
      <w:r w:rsidRPr="0027195B">
        <w:rPr>
          <w:i/>
        </w:rPr>
        <w:t>, et al.</w:t>
      </w:r>
      <w:r w:rsidRPr="0027195B">
        <w:t xml:space="preserve"> (2010). Chromosomal integration of adenoviral vector DNA in vivo. J Virol</w:t>
      </w:r>
      <w:r w:rsidRPr="0027195B">
        <w:rPr>
          <w:i/>
        </w:rPr>
        <w:t xml:space="preserve"> 84</w:t>
      </w:r>
      <w:r w:rsidRPr="0027195B">
        <w:t>, 9987-9994.</w:t>
      </w:r>
      <w:bookmarkEnd w:id="494"/>
    </w:p>
    <w:p w14:paraId="442A471E" w14:textId="6C2A5C5F" w:rsidR="0027195B" w:rsidRPr="0027195B" w:rsidRDefault="0027195B" w:rsidP="0027195B">
      <w:pPr>
        <w:pStyle w:val="EndNoteBibliography"/>
        <w:spacing w:after="240"/>
      </w:pPr>
      <w:bookmarkStart w:id="495" w:name="_ENREF_90"/>
      <w:r w:rsidRPr="0027195B">
        <w:t xml:space="preserve">TAS (2007). Approved Management Method for Clinical and Related Waste. Accessed: 11 December </w:t>
      </w:r>
      <w:hyperlink r:id="rId63" w:history="1">
        <w:r w:rsidRPr="0027195B">
          <w:rPr>
            <w:rStyle w:val="Hyperlink"/>
          </w:rPr>
          <w:t>https://epa.tas.gov.au/Documents/AMM_Clinical_and_Related_Waste_Companion.pdf</w:t>
        </w:r>
      </w:hyperlink>
      <w:r w:rsidRPr="0027195B">
        <w:t>.</w:t>
      </w:r>
      <w:bookmarkEnd w:id="495"/>
    </w:p>
    <w:p w14:paraId="7D2A6673" w14:textId="77777777" w:rsidR="0027195B" w:rsidRPr="0027195B" w:rsidRDefault="0027195B" w:rsidP="0027195B">
      <w:pPr>
        <w:pStyle w:val="EndNoteBibliography"/>
        <w:spacing w:after="240"/>
      </w:pPr>
      <w:bookmarkStart w:id="496" w:name="_ENREF_91"/>
      <w:r w:rsidRPr="0027195B">
        <w:t>Thompson, S.S., Jackson, J.L., Suva-Castillo, M., Yanko, W.A., Jack, Z.E., Kuo, J., Chen, C.-L.</w:t>
      </w:r>
      <w:r w:rsidRPr="0027195B">
        <w:rPr>
          <w:i/>
        </w:rPr>
        <w:t>, et al.</w:t>
      </w:r>
      <w:r w:rsidRPr="0027195B">
        <w:t xml:space="preserve"> (2003). Detection of Infectious Human Adenoviruses in Tertiary-Treated and Ultraviolet-Disinfected Wastewater. Water Environment Research</w:t>
      </w:r>
      <w:r w:rsidRPr="0027195B">
        <w:rPr>
          <w:i/>
        </w:rPr>
        <w:t xml:space="preserve"> 75</w:t>
      </w:r>
      <w:r w:rsidRPr="0027195B">
        <w:t>, 163-170.</w:t>
      </w:r>
      <w:bookmarkEnd w:id="496"/>
    </w:p>
    <w:p w14:paraId="1A4EE2D7" w14:textId="77777777" w:rsidR="0027195B" w:rsidRPr="0027195B" w:rsidRDefault="0027195B" w:rsidP="0027195B">
      <w:pPr>
        <w:pStyle w:val="EndNoteBibliography"/>
        <w:spacing w:after="240"/>
      </w:pPr>
      <w:bookmarkStart w:id="497" w:name="_ENREF_92"/>
      <w:r w:rsidRPr="0027195B">
        <w:lastRenderedPageBreak/>
        <w:t xml:space="preserve">Thurston-Enriquez, J.A., Haas, C.N., Jacangelo, J., Riley, K., and Gerba, C.P. (2003). Inactivation of Feline Calicivirus and Adenovirus Type 40 by UV Radiation. </w:t>
      </w:r>
      <w:r w:rsidRPr="0027195B">
        <w:rPr>
          <w:i/>
        </w:rPr>
        <w:t xml:space="preserve"> 69</w:t>
      </w:r>
      <w:r w:rsidRPr="0027195B">
        <w:t>, 577-582.</w:t>
      </w:r>
      <w:bookmarkEnd w:id="497"/>
    </w:p>
    <w:p w14:paraId="04D94F46" w14:textId="77777777" w:rsidR="0027195B" w:rsidRPr="0027195B" w:rsidRDefault="0027195B" w:rsidP="0027195B">
      <w:pPr>
        <w:pStyle w:val="EndNoteBibliography"/>
        <w:spacing w:after="240"/>
      </w:pPr>
      <w:bookmarkStart w:id="498" w:name="_ENREF_93"/>
      <w:r w:rsidRPr="0027195B">
        <w:t>Tollefson, A.E., Ying, B., Spencer, J.F., Sagartz, J.E., Wold, W.S.M., and Toth, K. (2017). Pathology in Permissive Syrian Hamsters after Infection with Species C Human Adenovirus (HAdV-C) Is the Result of Virus Replication: HAdV-C6 Replicates More and Causes More Pathology than HAdV-C5. J Virol</w:t>
      </w:r>
      <w:r w:rsidRPr="0027195B">
        <w:rPr>
          <w:i/>
        </w:rPr>
        <w:t xml:space="preserve"> 91</w:t>
      </w:r>
      <w:r w:rsidRPr="0027195B">
        <w:t>.</w:t>
      </w:r>
      <w:bookmarkEnd w:id="498"/>
    </w:p>
    <w:p w14:paraId="6B548604" w14:textId="77777777" w:rsidR="0027195B" w:rsidRPr="0027195B" w:rsidRDefault="0027195B" w:rsidP="0027195B">
      <w:pPr>
        <w:pStyle w:val="EndNoteBibliography"/>
        <w:spacing w:after="240"/>
      </w:pPr>
      <w:bookmarkStart w:id="499" w:name="_ENREF_94"/>
      <w:r w:rsidRPr="0027195B">
        <w:t>Tong, S., Singh, J., Ruone, S., Humphrey, C., Yip, C.C.Y., Lau, S.K.P., Anderson, L.J.</w:t>
      </w:r>
      <w:r w:rsidRPr="0027195B">
        <w:rPr>
          <w:i/>
        </w:rPr>
        <w:t>, et al.</w:t>
      </w:r>
      <w:r w:rsidRPr="0027195B">
        <w:t xml:space="preserve"> (2010). Identification of adenoviruses in fecal specimens from wild chimpanzees (Pan trogylodytes schweinfurthii) in western Tanzania. The American journal of tropical medicine and hygiene</w:t>
      </w:r>
      <w:r w:rsidRPr="0027195B">
        <w:rPr>
          <w:i/>
        </w:rPr>
        <w:t xml:space="preserve"> 82</w:t>
      </w:r>
      <w:r w:rsidRPr="0027195B">
        <w:t>, 967-970.</w:t>
      </w:r>
      <w:bookmarkEnd w:id="499"/>
    </w:p>
    <w:p w14:paraId="15B0FC7A" w14:textId="77777777" w:rsidR="0027195B" w:rsidRPr="0027195B" w:rsidRDefault="0027195B" w:rsidP="0027195B">
      <w:pPr>
        <w:pStyle w:val="EndNoteBibliography"/>
        <w:spacing w:after="240"/>
      </w:pPr>
      <w:bookmarkStart w:id="500" w:name="_ENREF_95"/>
      <w:r w:rsidRPr="0027195B">
        <w:t>Usman, N., and Suarez, M.J.S. (2020). Adenoviruses (StatPearls).</w:t>
      </w:r>
      <w:bookmarkEnd w:id="500"/>
    </w:p>
    <w:p w14:paraId="58EBEE69" w14:textId="77777777" w:rsidR="0027195B" w:rsidRPr="0027195B" w:rsidRDefault="0027195B" w:rsidP="0027195B">
      <w:pPr>
        <w:pStyle w:val="EndNoteBibliography"/>
        <w:spacing w:after="240"/>
      </w:pPr>
      <w:bookmarkStart w:id="501" w:name="_ENREF_96"/>
      <w:r w:rsidRPr="0027195B">
        <w:t>Vaz, F.F., Raso, T.F., Agius, J.E., Hunt, T., Leishman, A., Eden, J.-S., and Phalen, D.N. (2020). Opportunistic sampling of wild native and invasive birds reveals a rich diversity of adenoviruses in Australia. Virus Evolution</w:t>
      </w:r>
      <w:r w:rsidRPr="0027195B">
        <w:rPr>
          <w:i/>
        </w:rPr>
        <w:t xml:space="preserve"> 6</w:t>
      </w:r>
      <w:r w:rsidRPr="0027195B">
        <w:t>.</w:t>
      </w:r>
      <w:bookmarkEnd w:id="501"/>
    </w:p>
    <w:p w14:paraId="72C4DCA2" w14:textId="77777777" w:rsidR="0027195B" w:rsidRPr="0027195B" w:rsidRDefault="0027195B" w:rsidP="0027195B">
      <w:pPr>
        <w:pStyle w:val="EndNoteBibliography"/>
        <w:spacing w:after="240"/>
      </w:pPr>
      <w:bookmarkStart w:id="502" w:name="_ENREF_97"/>
      <w:r w:rsidRPr="0027195B">
        <w:t>Veneziale, R.W., Kishnani, N.S., Nelson, J., Resendez, J.C., Frank, D.W., Cai, X.Y., Xie, L.</w:t>
      </w:r>
      <w:r w:rsidRPr="0027195B">
        <w:rPr>
          <w:i/>
        </w:rPr>
        <w:t>, et al.</w:t>
      </w:r>
      <w:r w:rsidRPr="0027195B">
        <w:t xml:space="preserve"> (2011). Toxicity and exposure of an adenovirus containing human interferon alpha-2b following intracystic administration in cynomolgus monkeys. Gene Therapy</w:t>
      </w:r>
      <w:r w:rsidRPr="0027195B">
        <w:rPr>
          <w:i/>
        </w:rPr>
        <w:t xml:space="preserve"> 19</w:t>
      </w:r>
      <w:r w:rsidRPr="0027195B">
        <w:t>, 742.</w:t>
      </w:r>
      <w:bookmarkEnd w:id="502"/>
    </w:p>
    <w:p w14:paraId="027508F6" w14:textId="6742FF58" w:rsidR="0027195B" w:rsidRPr="0027195B" w:rsidRDefault="0027195B" w:rsidP="0027195B">
      <w:pPr>
        <w:pStyle w:val="EndNoteBibliography"/>
        <w:spacing w:after="240"/>
      </w:pPr>
      <w:bookmarkStart w:id="503" w:name="_ENREF_98"/>
      <w:r w:rsidRPr="0027195B">
        <w:t xml:space="preserve">VIC (2020). How to manage industrial waste. Accessed: December 2020. </w:t>
      </w:r>
      <w:hyperlink r:id="rId64" w:history="1">
        <w:r w:rsidRPr="0027195B">
          <w:rPr>
            <w:rStyle w:val="Hyperlink"/>
          </w:rPr>
          <w:t>https://www.epa.vic.gov.au/for-business/find-a-topic/manage-industrial-waste</w:t>
        </w:r>
      </w:hyperlink>
      <w:r w:rsidRPr="0027195B">
        <w:t>.</w:t>
      </w:r>
      <w:bookmarkEnd w:id="503"/>
    </w:p>
    <w:p w14:paraId="11874A42" w14:textId="009A3B39" w:rsidR="0027195B" w:rsidRPr="0027195B" w:rsidRDefault="0027195B" w:rsidP="0027195B">
      <w:pPr>
        <w:pStyle w:val="EndNoteBibliography"/>
        <w:spacing w:after="240"/>
      </w:pPr>
      <w:bookmarkStart w:id="504" w:name="_ENREF_99"/>
      <w:r w:rsidRPr="0027195B">
        <w:t xml:space="preserve">WA (2016). Clinical and Related Waste Management Policy. Accessed: 11 December </w:t>
      </w:r>
      <w:hyperlink r:id="rId65" w:history="1">
        <w:r w:rsidRPr="0027195B">
          <w:rPr>
            <w:rStyle w:val="Hyperlink"/>
          </w:rPr>
          <w:t>https://ww2.health.wa.gov.au/About-us/Policy-frameworks/Public-Health/Mandatory-requirements/Environmental-Health-Management/Clinical-and-Related-Waste-Management-Policy</w:t>
        </w:r>
      </w:hyperlink>
      <w:r w:rsidRPr="0027195B">
        <w:t>.</w:t>
      </w:r>
      <w:bookmarkEnd w:id="504"/>
    </w:p>
    <w:p w14:paraId="283361D5" w14:textId="77777777" w:rsidR="0027195B" w:rsidRPr="0027195B" w:rsidRDefault="0027195B" w:rsidP="0027195B">
      <w:pPr>
        <w:pStyle w:val="EndNoteBibliography"/>
        <w:spacing w:after="240"/>
      </w:pPr>
      <w:bookmarkStart w:id="505" w:name="_ENREF_100"/>
      <w:r w:rsidRPr="0027195B">
        <w:t>Waye, M.M.Y., and Sing, C.W. (2010). Anti-Viral Drugs for Human Adenoviruses. Pharmaceuticals</w:t>
      </w:r>
      <w:r w:rsidRPr="0027195B">
        <w:rPr>
          <w:i/>
        </w:rPr>
        <w:t xml:space="preserve"> 3</w:t>
      </w:r>
      <w:r w:rsidRPr="0027195B">
        <w:t>, 3343-3354.</w:t>
      </w:r>
      <w:bookmarkEnd w:id="505"/>
    </w:p>
    <w:p w14:paraId="23BA9054" w14:textId="77777777" w:rsidR="0027195B" w:rsidRPr="0027195B" w:rsidRDefault="0027195B" w:rsidP="0027195B">
      <w:pPr>
        <w:pStyle w:val="EndNoteBibliography"/>
        <w:spacing w:after="240"/>
      </w:pPr>
      <w:bookmarkStart w:id="506" w:name="_ENREF_101"/>
      <w:r w:rsidRPr="0027195B">
        <w:t>Weaver, E.A., Hillestad, M.L., Khare, R., Palmer, D., Ng, P., and Barry, M.A. (2011). Characterization of species C human adenovirus serotype 6 (Ad6). Virology</w:t>
      </w:r>
      <w:r w:rsidRPr="0027195B">
        <w:rPr>
          <w:i/>
        </w:rPr>
        <w:t xml:space="preserve"> 412</w:t>
      </w:r>
      <w:r w:rsidRPr="0027195B">
        <w:t>, 19-27.</w:t>
      </w:r>
      <w:bookmarkEnd w:id="506"/>
    </w:p>
    <w:p w14:paraId="03A1D3AA" w14:textId="77777777" w:rsidR="0027195B" w:rsidRPr="0027195B" w:rsidRDefault="0027195B" w:rsidP="0027195B">
      <w:pPr>
        <w:pStyle w:val="EndNoteBibliography"/>
        <w:spacing w:after="240"/>
      </w:pPr>
      <w:bookmarkStart w:id="507" w:name="_ENREF_102"/>
      <w:r w:rsidRPr="0027195B">
        <w:t>Wurzel, D.F., Mackay, I.M., Marchant, J.M., Wang, C.Y., Yerkovich, S.T., Upham, J.W., Smith-Vaughan, H.C.</w:t>
      </w:r>
      <w:r w:rsidRPr="0027195B">
        <w:rPr>
          <w:i/>
        </w:rPr>
        <w:t>, et al.</w:t>
      </w:r>
      <w:r w:rsidRPr="0027195B">
        <w:t xml:space="preserve"> (2014). Adenovirus species C is associated with chronic suppurative lung diseases in children. Clin Infect Dis</w:t>
      </w:r>
      <w:r w:rsidRPr="0027195B">
        <w:rPr>
          <w:i/>
        </w:rPr>
        <w:t xml:space="preserve"> 59</w:t>
      </w:r>
      <w:r w:rsidRPr="0027195B">
        <w:t>, 34-40.</w:t>
      </w:r>
      <w:bookmarkEnd w:id="507"/>
    </w:p>
    <w:p w14:paraId="61CB5B3A" w14:textId="77777777" w:rsidR="0027195B" w:rsidRPr="0027195B" w:rsidRDefault="0027195B" w:rsidP="0027195B">
      <w:pPr>
        <w:pStyle w:val="EndNoteBibliography"/>
        <w:spacing w:after="240"/>
      </w:pPr>
      <w:bookmarkStart w:id="508" w:name="_ENREF_103"/>
      <w:r w:rsidRPr="0027195B">
        <w:t>Xiong, F., Wang, Q., Wu, G.-h., Liu, W.-z., Wang, B., and Chen, Y.-j. (2022). Direct and indirect effects of IFN-α2b in malignancy treatment: not only an archer but also an arrow. Biomarker Research</w:t>
      </w:r>
      <w:r w:rsidRPr="0027195B">
        <w:rPr>
          <w:i/>
        </w:rPr>
        <w:t xml:space="preserve"> 10</w:t>
      </w:r>
      <w:r w:rsidRPr="0027195B">
        <w:t>, 69.</w:t>
      </w:r>
      <w:bookmarkEnd w:id="508"/>
    </w:p>
    <w:p w14:paraId="78D11152" w14:textId="77777777" w:rsidR="0027195B" w:rsidRPr="0027195B" w:rsidRDefault="0027195B" w:rsidP="0027195B">
      <w:pPr>
        <w:pStyle w:val="EndNoteBibliography"/>
        <w:spacing w:after="240"/>
      </w:pPr>
      <w:bookmarkStart w:id="509" w:name="_ENREF_104"/>
      <w:r w:rsidRPr="0027195B">
        <w:t>Yu, X., Veesler, D., Campbell, M.G., Barry, M.E., Asturias, F.J., Barry, M.A., and Reddy, V.S. (2017). Cryo-EM structure of human adenovirus D26 reveals the conservation of structural organization among human adenoviruses. Sci Adv</w:t>
      </w:r>
      <w:r w:rsidRPr="0027195B">
        <w:rPr>
          <w:i/>
        </w:rPr>
        <w:t xml:space="preserve"> 3</w:t>
      </w:r>
      <w:r w:rsidRPr="0027195B">
        <w:t>, e1602670.</w:t>
      </w:r>
      <w:bookmarkEnd w:id="509"/>
    </w:p>
    <w:p w14:paraId="2B3E6284" w14:textId="77777777" w:rsidR="0027195B" w:rsidRPr="0027195B" w:rsidRDefault="0027195B" w:rsidP="0027195B">
      <w:pPr>
        <w:pStyle w:val="EndNoteBibliography"/>
      </w:pPr>
      <w:bookmarkStart w:id="510" w:name="_ENREF_105"/>
      <w:r w:rsidRPr="0027195B">
        <w:t>Zhang, Y., and Bergelson, J.M. (2005). Adenovirus receptors. Journal of virology</w:t>
      </w:r>
      <w:r w:rsidRPr="0027195B">
        <w:rPr>
          <w:i/>
        </w:rPr>
        <w:t xml:space="preserve"> 79</w:t>
      </w:r>
      <w:r w:rsidRPr="0027195B">
        <w:t>, 12125-12131.</w:t>
      </w:r>
      <w:bookmarkEnd w:id="510"/>
    </w:p>
    <w:p w14:paraId="5ED4E030" w14:textId="18450786" w:rsidR="000D50A2" w:rsidRDefault="00D13F31" w:rsidP="00211120">
      <w:pPr>
        <w:tabs>
          <w:tab w:val="left" w:pos="0"/>
        </w:tabs>
        <w:spacing w:after="240"/>
      </w:pPr>
      <w:r w:rsidRPr="0000143A">
        <w:fldChar w:fldCharType="end"/>
      </w:r>
    </w:p>
    <w:p w14:paraId="17AFE47B" w14:textId="77777777" w:rsidR="003B5B1E" w:rsidRDefault="003B5B1E" w:rsidP="00783CF2">
      <w:pPr>
        <w:pStyle w:val="1RARMP"/>
        <w:numPr>
          <w:ilvl w:val="0"/>
          <w:numId w:val="0"/>
        </w:numPr>
        <w:rPr>
          <w:rFonts w:cs="Calibri"/>
          <w:sz w:val="20"/>
          <w:szCs w:val="20"/>
        </w:rPr>
        <w:sectPr w:rsidR="003B5B1E" w:rsidSect="008F70A1">
          <w:footerReference w:type="default" r:id="rId66"/>
          <w:pgSz w:w="11909" w:h="16834" w:code="9"/>
          <w:pgMar w:top="1418" w:right="1418" w:bottom="1418" w:left="1418" w:header="720" w:footer="720" w:gutter="0"/>
          <w:paperSrc w:first="2" w:other="2"/>
          <w:cols w:space="720"/>
        </w:sectPr>
      </w:pPr>
    </w:p>
    <w:p w14:paraId="2B40975F" w14:textId="77777777" w:rsidR="004E20FF" w:rsidRPr="00E253DE" w:rsidRDefault="004E20FF" w:rsidP="004E20FF">
      <w:pPr>
        <w:tabs>
          <w:tab w:val="left" w:pos="1843"/>
          <w:tab w:val="num" w:pos="3545"/>
        </w:tabs>
        <w:outlineLvl w:val="0"/>
        <w:rPr>
          <w:rFonts w:asciiTheme="minorHAnsi" w:hAnsiTheme="minorHAnsi" w:cs="Arial"/>
          <w:b/>
          <w:bCs/>
          <w:color w:val="000000"/>
          <w:sz w:val="36"/>
          <w:szCs w:val="36"/>
        </w:rPr>
      </w:pPr>
      <w:bookmarkStart w:id="511" w:name="_Toc200095508"/>
      <w:bookmarkStart w:id="512" w:name="_Toc226975034"/>
      <w:r w:rsidRPr="00E253DE">
        <w:rPr>
          <w:rFonts w:asciiTheme="minorHAnsi" w:hAnsiTheme="minorHAnsi" w:cs="Arial"/>
          <w:b/>
          <w:bCs/>
          <w:color w:val="000000"/>
          <w:sz w:val="36"/>
          <w:szCs w:val="36"/>
        </w:rPr>
        <w:lastRenderedPageBreak/>
        <w:t>Appendix A: Summary of submissions from prescribed experts, agencies and authorities on the consultation RARMP</w:t>
      </w:r>
      <w:bookmarkEnd w:id="511"/>
      <w:bookmarkEnd w:id="512"/>
    </w:p>
    <w:p w14:paraId="67FBECA1" w14:textId="629E03EF" w:rsidR="004E20FF" w:rsidRDefault="004E20FF" w:rsidP="004E20FF">
      <w:r w:rsidRPr="004E20FF">
        <w:t>The Regulator received submissions from prescribed experts, agencies and authorities</w:t>
      </w:r>
      <w:r w:rsidR="009371DB">
        <w:rPr>
          <w:rStyle w:val="FootnoteReference"/>
        </w:rPr>
        <w:footnoteReference w:id="4"/>
      </w:r>
      <w:r w:rsidRPr="004E20FF">
        <w:t xml:space="preserve">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2"/>
        <w:gridCol w:w="3736"/>
        <w:gridCol w:w="3335"/>
      </w:tblGrid>
      <w:tr w:rsidR="004E20FF" w:rsidRPr="005A3316" w14:paraId="09CA8EEE" w14:textId="77777777" w:rsidTr="00C70CFE">
        <w:trPr>
          <w:trHeight w:val="451"/>
          <w:tblHeader/>
        </w:trPr>
        <w:tc>
          <w:tcPr>
            <w:tcW w:w="1103" w:type="pct"/>
            <w:tcBorders>
              <w:top w:val="single" w:sz="4" w:space="0" w:color="auto"/>
              <w:left w:val="nil"/>
              <w:bottom w:val="single" w:sz="4" w:space="0" w:color="auto"/>
              <w:right w:val="nil"/>
            </w:tcBorders>
            <w:shd w:val="clear" w:color="auto" w:fill="D9D9D9" w:themeFill="background1" w:themeFillShade="D9"/>
            <w:vAlign w:val="center"/>
          </w:tcPr>
          <w:p w14:paraId="46B1C384" w14:textId="77777777" w:rsidR="004E20FF" w:rsidRPr="005A3316" w:rsidRDefault="004E20FF" w:rsidP="00C70CFE">
            <w:pPr>
              <w:jc w:val="center"/>
              <w:rPr>
                <w:rFonts w:asciiTheme="minorHAnsi" w:hAnsiTheme="minorHAnsi" w:cstheme="minorHAnsi"/>
                <w:b/>
                <w:sz w:val="20"/>
                <w:szCs w:val="20"/>
                <w:vertAlign w:val="superscript"/>
              </w:rPr>
            </w:pPr>
            <w:r w:rsidRPr="005A3316">
              <w:rPr>
                <w:rFonts w:asciiTheme="minorHAnsi" w:hAnsiTheme="minorHAnsi" w:cstheme="minorHAnsi"/>
                <w:b/>
                <w:sz w:val="20"/>
                <w:szCs w:val="20"/>
              </w:rPr>
              <w:t>Submis</w:t>
            </w:r>
            <w:r>
              <w:rPr>
                <w:rFonts w:asciiTheme="minorHAnsi" w:hAnsiTheme="minorHAnsi" w:cstheme="minorHAnsi"/>
                <w:b/>
                <w:sz w:val="20"/>
                <w:szCs w:val="20"/>
              </w:rPr>
              <w:t>sion</w:t>
            </w:r>
          </w:p>
        </w:tc>
        <w:tc>
          <w:tcPr>
            <w:tcW w:w="2059" w:type="pct"/>
            <w:tcBorders>
              <w:top w:val="single" w:sz="4" w:space="0" w:color="auto"/>
              <w:left w:val="nil"/>
              <w:bottom w:val="single" w:sz="4" w:space="0" w:color="auto"/>
              <w:right w:val="nil"/>
            </w:tcBorders>
            <w:shd w:val="clear" w:color="auto" w:fill="D9D9D9" w:themeFill="background1" w:themeFillShade="D9"/>
            <w:vAlign w:val="center"/>
          </w:tcPr>
          <w:p w14:paraId="2CA66F6D" w14:textId="77777777" w:rsidR="004E20FF" w:rsidRPr="005A3316" w:rsidRDefault="004E20FF" w:rsidP="00C70CFE">
            <w:pPr>
              <w:jc w:val="center"/>
              <w:rPr>
                <w:rFonts w:asciiTheme="minorHAnsi" w:hAnsiTheme="minorHAnsi" w:cstheme="minorHAnsi"/>
                <w:b/>
                <w:sz w:val="20"/>
                <w:szCs w:val="20"/>
              </w:rPr>
            </w:pPr>
            <w:r w:rsidRPr="005A3316">
              <w:rPr>
                <w:rFonts w:asciiTheme="minorHAnsi" w:hAnsiTheme="minorHAnsi" w:cstheme="minorHAnsi"/>
                <w:b/>
                <w:sz w:val="20"/>
                <w:szCs w:val="20"/>
              </w:rPr>
              <w:t>Summary of issues raised</w:t>
            </w:r>
          </w:p>
        </w:tc>
        <w:tc>
          <w:tcPr>
            <w:tcW w:w="1838" w:type="pct"/>
            <w:tcBorders>
              <w:top w:val="single" w:sz="4" w:space="0" w:color="auto"/>
              <w:left w:val="nil"/>
              <w:bottom w:val="single" w:sz="4" w:space="0" w:color="auto"/>
              <w:right w:val="nil"/>
            </w:tcBorders>
            <w:shd w:val="clear" w:color="auto" w:fill="D9D9D9" w:themeFill="background1" w:themeFillShade="D9"/>
            <w:vAlign w:val="center"/>
          </w:tcPr>
          <w:p w14:paraId="080D8596" w14:textId="77777777" w:rsidR="004E20FF" w:rsidRPr="005A3316" w:rsidRDefault="004E20FF" w:rsidP="00C70CFE">
            <w:pPr>
              <w:jc w:val="center"/>
              <w:rPr>
                <w:rFonts w:asciiTheme="minorHAnsi" w:hAnsiTheme="minorHAnsi" w:cstheme="minorHAnsi"/>
                <w:b/>
                <w:sz w:val="20"/>
                <w:szCs w:val="20"/>
              </w:rPr>
            </w:pPr>
            <w:r w:rsidRPr="005A3316">
              <w:rPr>
                <w:rFonts w:asciiTheme="minorHAnsi" w:hAnsiTheme="minorHAnsi" w:cstheme="minorHAnsi"/>
                <w:b/>
                <w:sz w:val="20"/>
                <w:szCs w:val="20"/>
              </w:rPr>
              <w:t>Comment</w:t>
            </w:r>
          </w:p>
        </w:tc>
      </w:tr>
      <w:tr w:rsidR="004E20FF" w:rsidRPr="005A3316" w14:paraId="43D25EF3" w14:textId="77777777" w:rsidTr="00D244FE">
        <w:trPr>
          <w:trHeight w:val="20"/>
        </w:trPr>
        <w:tc>
          <w:tcPr>
            <w:tcW w:w="1103" w:type="pct"/>
            <w:tcBorders>
              <w:top w:val="single" w:sz="4" w:space="0" w:color="auto"/>
              <w:left w:val="nil"/>
              <w:bottom w:val="nil"/>
              <w:right w:val="nil"/>
            </w:tcBorders>
          </w:tcPr>
          <w:p w14:paraId="555F5FDB" w14:textId="29C06A5A" w:rsidR="004E20FF" w:rsidRPr="001F64BE" w:rsidRDefault="004E20FF" w:rsidP="00D244FE">
            <w:pPr>
              <w:spacing w:before="60" w:after="60"/>
              <w:ind w:left="113" w:right="113"/>
              <w:jc w:val="center"/>
            </w:pPr>
            <w:r>
              <w:t>1</w:t>
            </w:r>
          </w:p>
        </w:tc>
        <w:tc>
          <w:tcPr>
            <w:tcW w:w="2059" w:type="pct"/>
            <w:tcBorders>
              <w:top w:val="single" w:sz="4" w:space="0" w:color="auto"/>
              <w:left w:val="nil"/>
              <w:bottom w:val="nil"/>
              <w:right w:val="nil"/>
            </w:tcBorders>
          </w:tcPr>
          <w:p w14:paraId="3F761B52" w14:textId="77777777" w:rsidR="00AC6CE4" w:rsidRPr="00AC6CE4" w:rsidRDefault="00AC6CE4" w:rsidP="00AC6CE4">
            <w:pPr>
              <w:spacing w:before="60" w:after="60"/>
              <w:ind w:left="113" w:right="113"/>
              <w:rPr>
                <w:rFonts w:asciiTheme="minorHAnsi" w:hAnsiTheme="minorHAnsi" w:cstheme="minorHAnsi"/>
                <w:bCs/>
                <w:sz w:val="20"/>
                <w:szCs w:val="20"/>
              </w:rPr>
            </w:pPr>
            <w:r w:rsidRPr="00AC6CE4">
              <w:rPr>
                <w:rFonts w:asciiTheme="minorHAnsi" w:hAnsiTheme="minorHAnsi" w:cstheme="minorHAnsi"/>
                <w:bCs/>
                <w:sz w:val="20"/>
                <w:szCs w:val="20"/>
              </w:rPr>
              <w:t>Has no objection in principle to the proposed clinical trial proceeding within their LGA, subject to the trial being undertaken at an appropriate clinical facility and in full accordance with any conditions imposed under the OGTR licence.</w:t>
            </w:r>
          </w:p>
          <w:p w14:paraId="46ED3298" w14:textId="3102E657" w:rsidR="004E20FF" w:rsidRPr="006D709D" w:rsidRDefault="00AC6CE4" w:rsidP="00AC6CE4">
            <w:pPr>
              <w:spacing w:before="60" w:after="60"/>
              <w:ind w:left="113" w:right="113"/>
              <w:rPr>
                <w:rFonts w:asciiTheme="minorHAnsi" w:hAnsiTheme="minorHAnsi" w:cstheme="minorHAnsi"/>
                <w:bCs/>
                <w:sz w:val="20"/>
                <w:szCs w:val="20"/>
              </w:rPr>
            </w:pPr>
            <w:r w:rsidRPr="00AC6CE4">
              <w:rPr>
                <w:rFonts w:asciiTheme="minorHAnsi" w:hAnsiTheme="minorHAnsi" w:cstheme="minorHAnsi"/>
                <w:bCs/>
                <w:sz w:val="20"/>
                <w:szCs w:val="20"/>
              </w:rPr>
              <w:t>Expects that clinical waste and sharps will be managed and disposed of in accordance with applicable clinical waste requirements and that any wastewater and sewer considerations are addressed as outlined in the RARMP and that appropriate spill response and incident reporting arrangements are in place to manage any loss, spill or unintended release.</w:t>
            </w:r>
          </w:p>
        </w:tc>
        <w:tc>
          <w:tcPr>
            <w:tcW w:w="1838" w:type="pct"/>
            <w:tcBorders>
              <w:top w:val="single" w:sz="4" w:space="0" w:color="auto"/>
              <w:left w:val="nil"/>
              <w:bottom w:val="nil"/>
              <w:right w:val="nil"/>
            </w:tcBorders>
          </w:tcPr>
          <w:p w14:paraId="5CD072D6" w14:textId="6543AFAD" w:rsidR="004E20FF" w:rsidRPr="005A3316" w:rsidRDefault="00AC6CE4" w:rsidP="00AC6CE4">
            <w:pPr>
              <w:spacing w:before="60" w:after="60"/>
              <w:ind w:left="113" w:right="113"/>
              <w:rPr>
                <w:rFonts w:asciiTheme="minorHAnsi" w:eastAsiaTheme="minorHAnsi" w:hAnsiTheme="minorHAnsi" w:cstheme="minorHAnsi"/>
                <w:bCs/>
                <w:sz w:val="20"/>
                <w:szCs w:val="20"/>
              </w:rPr>
            </w:pPr>
            <w:r w:rsidRPr="00AC6CE4">
              <w:rPr>
                <w:rFonts w:asciiTheme="minorHAnsi" w:hAnsiTheme="minorHAnsi" w:cstheme="minorHAnsi"/>
                <w:bCs/>
                <w:sz w:val="20"/>
                <w:szCs w:val="20"/>
              </w:rPr>
              <w:t>Noted</w:t>
            </w:r>
          </w:p>
        </w:tc>
      </w:tr>
      <w:tr w:rsidR="004E20FF" w:rsidRPr="00E9714B" w14:paraId="25141D60" w14:textId="77777777" w:rsidTr="00D244FE">
        <w:trPr>
          <w:trHeight w:val="20"/>
        </w:trPr>
        <w:tc>
          <w:tcPr>
            <w:tcW w:w="1103" w:type="pct"/>
            <w:tcBorders>
              <w:top w:val="single" w:sz="4" w:space="0" w:color="auto"/>
              <w:left w:val="nil"/>
              <w:bottom w:val="single" w:sz="4" w:space="0" w:color="auto"/>
              <w:right w:val="nil"/>
            </w:tcBorders>
          </w:tcPr>
          <w:p w14:paraId="441EDCCF" w14:textId="137CF916" w:rsidR="004E20FF" w:rsidRPr="0023096F" w:rsidRDefault="004E20FF"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2</w:t>
            </w:r>
          </w:p>
        </w:tc>
        <w:tc>
          <w:tcPr>
            <w:tcW w:w="2059" w:type="pct"/>
            <w:tcBorders>
              <w:top w:val="single" w:sz="4" w:space="0" w:color="auto"/>
              <w:left w:val="nil"/>
              <w:bottom w:val="single" w:sz="4" w:space="0" w:color="auto"/>
              <w:right w:val="nil"/>
            </w:tcBorders>
          </w:tcPr>
          <w:p w14:paraId="6F09C8A3" w14:textId="75F9229F" w:rsidR="004E20FF" w:rsidRPr="006D709D" w:rsidRDefault="00AC6CE4"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 comment.</w:t>
            </w:r>
          </w:p>
        </w:tc>
        <w:tc>
          <w:tcPr>
            <w:tcW w:w="1838" w:type="pct"/>
            <w:tcBorders>
              <w:top w:val="single" w:sz="4" w:space="0" w:color="auto"/>
              <w:left w:val="nil"/>
              <w:bottom w:val="single" w:sz="4" w:space="0" w:color="auto"/>
              <w:right w:val="nil"/>
            </w:tcBorders>
          </w:tcPr>
          <w:p w14:paraId="65631471" w14:textId="3E1011CC" w:rsidR="004E20FF" w:rsidRPr="006D709D" w:rsidRDefault="00AC6CE4" w:rsidP="00AC6CE4">
            <w:pPr>
              <w:spacing w:before="60" w:after="60"/>
              <w:ind w:left="113" w:right="113"/>
              <w:contextualSpacing/>
              <w:rPr>
                <w:rFonts w:asciiTheme="minorHAnsi" w:hAnsiTheme="minorHAnsi" w:cstheme="minorHAnsi"/>
                <w:bCs/>
                <w:sz w:val="20"/>
                <w:szCs w:val="20"/>
              </w:rPr>
            </w:pPr>
            <w:r>
              <w:rPr>
                <w:rFonts w:asciiTheme="minorHAnsi" w:hAnsiTheme="minorHAnsi" w:cstheme="minorHAnsi"/>
                <w:bCs/>
                <w:sz w:val="20"/>
                <w:szCs w:val="20"/>
              </w:rPr>
              <w:t>Noted.</w:t>
            </w:r>
          </w:p>
        </w:tc>
      </w:tr>
      <w:tr w:rsidR="004E20FF" w:rsidRPr="005A3316" w14:paraId="179BA605" w14:textId="77777777" w:rsidTr="00D244FE">
        <w:trPr>
          <w:trHeight w:val="20"/>
        </w:trPr>
        <w:tc>
          <w:tcPr>
            <w:tcW w:w="1103" w:type="pct"/>
            <w:tcBorders>
              <w:top w:val="single" w:sz="4" w:space="0" w:color="auto"/>
              <w:left w:val="nil"/>
              <w:bottom w:val="single" w:sz="4" w:space="0" w:color="auto"/>
              <w:right w:val="nil"/>
            </w:tcBorders>
          </w:tcPr>
          <w:p w14:paraId="0FB7BC0D" w14:textId="6D2BD6DF" w:rsidR="004E20FF" w:rsidRDefault="004E20FF"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3</w:t>
            </w:r>
          </w:p>
        </w:tc>
        <w:tc>
          <w:tcPr>
            <w:tcW w:w="2059" w:type="pct"/>
            <w:tcBorders>
              <w:top w:val="single" w:sz="4" w:space="0" w:color="auto"/>
              <w:left w:val="nil"/>
              <w:bottom w:val="single" w:sz="4" w:space="0" w:color="auto"/>
              <w:right w:val="nil"/>
            </w:tcBorders>
          </w:tcPr>
          <w:p w14:paraId="16B5FFD7" w14:textId="3B59B5DE" w:rsidR="004E20FF" w:rsidRPr="006D709D" w:rsidRDefault="00AC6CE4" w:rsidP="00AC6CE4">
            <w:pPr>
              <w:spacing w:before="60" w:after="60"/>
              <w:ind w:left="113" w:right="113"/>
              <w:rPr>
                <w:rFonts w:asciiTheme="minorHAnsi" w:hAnsiTheme="minorHAnsi" w:cstheme="minorHAnsi"/>
                <w:bCs/>
                <w:sz w:val="20"/>
                <w:szCs w:val="20"/>
              </w:rPr>
            </w:pPr>
            <w:r w:rsidRPr="00AC6CE4">
              <w:rPr>
                <w:rFonts w:asciiTheme="minorHAnsi" w:hAnsiTheme="minorHAnsi" w:cstheme="minorHAnsi"/>
                <w:bCs/>
                <w:sz w:val="20"/>
                <w:szCs w:val="20"/>
              </w:rPr>
              <w:t>No comment.</w:t>
            </w:r>
          </w:p>
        </w:tc>
        <w:tc>
          <w:tcPr>
            <w:tcW w:w="1838" w:type="pct"/>
            <w:tcBorders>
              <w:top w:val="single" w:sz="4" w:space="0" w:color="auto"/>
              <w:left w:val="nil"/>
              <w:bottom w:val="single" w:sz="4" w:space="0" w:color="auto"/>
              <w:right w:val="nil"/>
            </w:tcBorders>
          </w:tcPr>
          <w:p w14:paraId="5F2488A9" w14:textId="3E88A81B" w:rsidR="004E20FF" w:rsidRPr="00AC6CE4" w:rsidRDefault="00AC6CE4"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r w:rsidR="00AC6CE4" w:rsidRPr="005A3316" w14:paraId="2C91BF83" w14:textId="77777777" w:rsidTr="00D244FE">
        <w:trPr>
          <w:trHeight w:val="20"/>
        </w:trPr>
        <w:tc>
          <w:tcPr>
            <w:tcW w:w="1103" w:type="pct"/>
            <w:tcBorders>
              <w:top w:val="single" w:sz="4" w:space="0" w:color="auto"/>
              <w:left w:val="nil"/>
              <w:bottom w:val="single" w:sz="4" w:space="0" w:color="auto"/>
              <w:right w:val="nil"/>
            </w:tcBorders>
          </w:tcPr>
          <w:p w14:paraId="6DDFF556" w14:textId="1BA5DCF1" w:rsidR="00AC6CE4" w:rsidRDefault="00AC6CE4"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4</w:t>
            </w:r>
          </w:p>
        </w:tc>
        <w:tc>
          <w:tcPr>
            <w:tcW w:w="2059" w:type="pct"/>
            <w:tcBorders>
              <w:top w:val="single" w:sz="4" w:space="0" w:color="auto"/>
              <w:left w:val="nil"/>
              <w:bottom w:val="single" w:sz="4" w:space="0" w:color="auto"/>
              <w:right w:val="nil"/>
            </w:tcBorders>
          </w:tcPr>
          <w:p w14:paraId="0FF00F85" w14:textId="77777777" w:rsidR="00AC6CE4" w:rsidRDefault="00AC6CE4" w:rsidP="00AC6CE4">
            <w:pPr>
              <w:spacing w:before="60" w:after="60"/>
              <w:ind w:left="113" w:right="113"/>
              <w:rPr>
                <w:rFonts w:asciiTheme="minorHAnsi" w:hAnsiTheme="minorHAnsi" w:cstheme="minorHAnsi"/>
                <w:bCs/>
                <w:sz w:val="20"/>
                <w:szCs w:val="20"/>
              </w:rPr>
            </w:pPr>
            <w:r w:rsidRPr="00AC6CE4">
              <w:rPr>
                <w:rFonts w:asciiTheme="minorHAnsi" w:hAnsiTheme="minorHAnsi" w:cstheme="minorHAnsi"/>
                <w:bCs/>
                <w:sz w:val="20"/>
                <w:szCs w:val="20"/>
              </w:rPr>
              <w:t>As the GM adenovirus is administered directly into the bladder, the GMO is expected to shed, particularly in the days immediately following treatment. Swimming pools are used frequently for children, older adults, and immunocompromised patrons. Key concerns raised include the contamination of surface and pool water, exposure to the GMO of swimming pool user and cleaning staff, the uncertainty the persistence of the GMO into the environment and any potential resistance to standard disinfection.</w:t>
            </w:r>
          </w:p>
          <w:p w14:paraId="43D3CDBE" w14:textId="054BFDA6" w:rsidR="00AE2333" w:rsidRPr="006D709D" w:rsidRDefault="00AE2333" w:rsidP="00AE2333">
            <w:pPr>
              <w:spacing w:before="60" w:after="60"/>
              <w:ind w:right="113"/>
              <w:rPr>
                <w:rFonts w:asciiTheme="minorHAnsi" w:hAnsiTheme="minorHAnsi" w:cstheme="minorHAnsi"/>
                <w:bCs/>
                <w:sz w:val="20"/>
                <w:szCs w:val="20"/>
              </w:rPr>
            </w:pPr>
          </w:p>
        </w:tc>
        <w:tc>
          <w:tcPr>
            <w:tcW w:w="1838" w:type="pct"/>
            <w:tcBorders>
              <w:top w:val="single" w:sz="4" w:space="0" w:color="auto"/>
              <w:left w:val="nil"/>
              <w:bottom w:val="single" w:sz="4" w:space="0" w:color="auto"/>
              <w:right w:val="nil"/>
            </w:tcBorders>
          </w:tcPr>
          <w:p w14:paraId="2F88C246" w14:textId="77777777" w:rsidR="00AC6CE4" w:rsidRPr="00AC6CE4" w:rsidRDefault="00AC6CE4" w:rsidP="00AC6CE4">
            <w:pPr>
              <w:spacing w:before="60" w:after="60"/>
              <w:ind w:left="113" w:right="113"/>
              <w:rPr>
                <w:rFonts w:asciiTheme="minorHAnsi" w:hAnsiTheme="minorHAnsi" w:cstheme="minorHAnsi"/>
                <w:bCs/>
                <w:sz w:val="20"/>
                <w:szCs w:val="20"/>
              </w:rPr>
            </w:pPr>
          </w:p>
        </w:tc>
      </w:tr>
      <w:tr w:rsidR="00AC6CE4" w:rsidRPr="005A3316" w14:paraId="4607B332" w14:textId="77777777" w:rsidTr="00D244FE">
        <w:trPr>
          <w:trHeight w:val="20"/>
        </w:trPr>
        <w:tc>
          <w:tcPr>
            <w:tcW w:w="1103" w:type="pct"/>
            <w:tcBorders>
              <w:top w:val="single" w:sz="4" w:space="0" w:color="auto"/>
              <w:left w:val="nil"/>
              <w:bottom w:val="nil"/>
              <w:right w:val="nil"/>
            </w:tcBorders>
          </w:tcPr>
          <w:p w14:paraId="2CDC5922" w14:textId="77777777" w:rsidR="00AC6CE4" w:rsidRDefault="00AC6CE4" w:rsidP="00D244FE">
            <w:pPr>
              <w:spacing w:before="60" w:after="60"/>
              <w:ind w:left="113" w:right="113"/>
              <w:jc w:val="center"/>
              <w:rPr>
                <w:rFonts w:asciiTheme="minorHAnsi" w:hAnsiTheme="minorHAnsi" w:cstheme="minorHAnsi"/>
                <w:bCs/>
                <w:sz w:val="20"/>
                <w:szCs w:val="20"/>
              </w:rPr>
            </w:pPr>
          </w:p>
        </w:tc>
        <w:tc>
          <w:tcPr>
            <w:tcW w:w="2059" w:type="pct"/>
            <w:tcBorders>
              <w:top w:val="single" w:sz="4" w:space="0" w:color="auto"/>
              <w:left w:val="nil"/>
              <w:bottom w:val="nil"/>
              <w:right w:val="nil"/>
            </w:tcBorders>
          </w:tcPr>
          <w:p w14:paraId="4F4E7DC1" w14:textId="77777777" w:rsidR="00AE2333" w:rsidRPr="00AE2333" w:rsidRDefault="00AE2333" w:rsidP="00AE2333">
            <w:pPr>
              <w:spacing w:before="60" w:after="60"/>
              <w:ind w:left="113" w:right="113"/>
              <w:rPr>
                <w:rFonts w:asciiTheme="minorHAnsi" w:hAnsiTheme="minorHAnsi" w:cstheme="minorHAnsi"/>
                <w:bCs/>
                <w:sz w:val="20"/>
                <w:szCs w:val="20"/>
              </w:rPr>
            </w:pPr>
            <w:r w:rsidRPr="00AE2333">
              <w:rPr>
                <w:rFonts w:asciiTheme="minorHAnsi" w:hAnsiTheme="minorHAnsi" w:cstheme="minorHAnsi"/>
                <w:bCs/>
                <w:sz w:val="20"/>
                <w:szCs w:val="20"/>
              </w:rPr>
              <w:t xml:space="preserve">Requests clarification on:                                    </w:t>
            </w:r>
          </w:p>
          <w:p w14:paraId="113B34A6" w14:textId="77777777" w:rsidR="00AE2333" w:rsidRPr="00AE2333"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Whether participants are advised to avoid public toilets or aquatic facilities during peak shedding periods.</w:t>
            </w:r>
          </w:p>
          <w:p w14:paraId="275F8E7C" w14:textId="77777777" w:rsidR="00AE2333" w:rsidRPr="00AE2333"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Whether OTGR can confirm that standard public-facility disinfectants are sufficient for this specific GM adenovirus.</w:t>
            </w:r>
          </w:p>
          <w:p w14:paraId="4FADE9D0" w14:textId="77777777" w:rsidR="00AE2333"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Whether OTGR has assessed the adequacy of swimming pool disinfection for this GM adenovirus.</w:t>
            </w:r>
          </w:p>
          <w:p w14:paraId="1C5432BD" w14:textId="23D579C9" w:rsidR="00AC6CE4" w:rsidRPr="006D709D"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Whether Council cleaners and public swimming pool patrons were considered as an exposed occupational group in the risk assessment.</w:t>
            </w:r>
          </w:p>
        </w:tc>
        <w:tc>
          <w:tcPr>
            <w:tcW w:w="1838" w:type="pct"/>
            <w:tcBorders>
              <w:top w:val="single" w:sz="4" w:space="0" w:color="auto"/>
              <w:left w:val="nil"/>
              <w:bottom w:val="nil"/>
              <w:right w:val="nil"/>
            </w:tcBorders>
          </w:tcPr>
          <w:p w14:paraId="652B37C7" w14:textId="676FFD98" w:rsidR="00AC6CE4" w:rsidRPr="00AC6CE4" w:rsidRDefault="00AE2333" w:rsidP="00AC6CE4">
            <w:pPr>
              <w:spacing w:before="60" w:after="60"/>
              <w:ind w:left="113" w:right="113"/>
              <w:rPr>
                <w:rFonts w:asciiTheme="minorHAnsi" w:hAnsiTheme="minorHAnsi" w:cstheme="minorHAnsi"/>
                <w:bCs/>
                <w:sz w:val="20"/>
                <w:szCs w:val="20"/>
              </w:rPr>
            </w:pPr>
            <w:r w:rsidRPr="00AE2333">
              <w:rPr>
                <w:rFonts w:asciiTheme="minorHAnsi" w:hAnsiTheme="minorHAnsi" w:cstheme="minorHAnsi"/>
                <w:bCs/>
                <w:sz w:val="20"/>
                <w:szCs w:val="20"/>
              </w:rPr>
              <w:t>The consultation RARMP considered the risks from accidental release of the GMO into the environment, including via shedding from participants, and concluded that the proposed clinical trials pose negligible risks to the health and safety of people or the environment (Chapter 2, Risk Scenario 2). The GMO is replication incompetent, unable to maintain a stable presence in the environment for a long period and would be unlikely to be present in high enough amounts to result in an infection. It is highly unlikely that infection of humans could occur following exposure to an environmental source</w:t>
            </w:r>
            <w:r>
              <w:rPr>
                <w:rFonts w:asciiTheme="minorHAnsi" w:hAnsiTheme="minorHAnsi" w:cstheme="minorHAnsi"/>
                <w:bCs/>
                <w:sz w:val="20"/>
                <w:szCs w:val="20"/>
              </w:rPr>
              <w:t>.</w:t>
            </w:r>
          </w:p>
        </w:tc>
      </w:tr>
      <w:tr w:rsidR="00AC6CE4" w:rsidRPr="005A3316" w14:paraId="33778C4B" w14:textId="77777777" w:rsidTr="00D244FE">
        <w:trPr>
          <w:trHeight w:val="20"/>
        </w:trPr>
        <w:tc>
          <w:tcPr>
            <w:tcW w:w="1103" w:type="pct"/>
            <w:tcBorders>
              <w:top w:val="nil"/>
              <w:left w:val="nil"/>
              <w:bottom w:val="nil"/>
              <w:right w:val="nil"/>
            </w:tcBorders>
          </w:tcPr>
          <w:p w14:paraId="4ECB8894" w14:textId="77777777" w:rsidR="00AC6CE4" w:rsidRDefault="00AC6CE4" w:rsidP="00D244FE">
            <w:pPr>
              <w:spacing w:before="60" w:after="60"/>
              <w:ind w:left="113" w:right="113"/>
              <w:jc w:val="center"/>
              <w:rPr>
                <w:rFonts w:asciiTheme="minorHAnsi" w:hAnsiTheme="minorHAnsi" w:cstheme="minorHAnsi"/>
                <w:bCs/>
                <w:sz w:val="20"/>
                <w:szCs w:val="20"/>
              </w:rPr>
            </w:pPr>
          </w:p>
        </w:tc>
        <w:tc>
          <w:tcPr>
            <w:tcW w:w="2059" w:type="pct"/>
            <w:tcBorders>
              <w:top w:val="nil"/>
              <w:left w:val="nil"/>
              <w:bottom w:val="nil"/>
              <w:right w:val="nil"/>
            </w:tcBorders>
          </w:tcPr>
          <w:p w14:paraId="71436D0E" w14:textId="4FF48348" w:rsidR="00AC6CE4" w:rsidRPr="006D709D"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Whether OTGR has public-facing material suitable for distribution to community members, Council staff, and facility operators, and whether OGTR is seeking public feedback beyond this consultation with Council.</w:t>
            </w:r>
          </w:p>
        </w:tc>
        <w:tc>
          <w:tcPr>
            <w:tcW w:w="1838" w:type="pct"/>
            <w:tcBorders>
              <w:top w:val="nil"/>
              <w:left w:val="nil"/>
              <w:bottom w:val="nil"/>
              <w:right w:val="nil"/>
            </w:tcBorders>
          </w:tcPr>
          <w:p w14:paraId="42BBA361" w14:textId="04A009FE" w:rsidR="00AC6CE4" w:rsidRPr="00AC6CE4" w:rsidRDefault="00AE2333" w:rsidP="00AC6CE4">
            <w:pPr>
              <w:spacing w:before="60" w:after="60"/>
              <w:ind w:left="113" w:right="113"/>
              <w:rPr>
                <w:rFonts w:asciiTheme="minorHAnsi" w:hAnsiTheme="minorHAnsi" w:cstheme="minorHAnsi"/>
                <w:bCs/>
                <w:sz w:val="20"/>
                <w:szCs w:val="20"/>
              </w:rPr>
            </w:pPr>
            <w:r w:rsidRPr="00AE2333">
              <w:rPr>
                <w:rFonts w:asciiTheme="minorHAnsi" w:hAnsiTheme="minorHAnsi" w:cstheme="minorHAnsi"/>
                <w:bCs/>
                <w:sz w:val="20"/>
                <w:szCs w:val="20"/>
                <w:lang w:val="en-US"/>
              </w:rPr>
              <w:t xml:space="preserve">The RARMP is </w:t>
            </w:r>
            <w:proofErr w:type="spellStart"/>
            <w:r w:rsidRPr="00AE2333">
              <w:rPr>
                <w:rFonts w:asciiTheme="minorHAnsi" w:hAnsiTheme="minorHAnsi" w:cstheme="minorHAnsi"/>
                <w:bCs/>
                <w:sz w:val="20"/>
                <w:szCs w:val="20"/>
                <w:lang w:val="en-US"/>
              </w:rPr>
              <w:t>finalised</w:t>
            </w:r>
            <w:proofErr w:type="spellEnd"/>
            <w:r w:rsidRPr="00AE2333">
              <w:rPr>
                <w:rFonts w:asciiTheme="minorHAnsi" w:hAnsiTheme="minorHAnsi" w:cstheme="minorHAnsi"/>
                <w:bCs/>
                <w:sz w:val="20"/>
                <w:szCs w:val="20"/>
                <w:lang w:val="en-US"/>
              </w:rPr>
              <w:t xml:space="preserve"> following an extensive consultation process involving expert scientists, Australian Government authorities and regulatory agencies, State and Territory Governments, relevant local councils, the Minister for the Environment and the public. </w:t>
            </w:r>
            <w:r w:rsidRPr="00AE2333">
              <w:rPr>
                <w:rFonts w:asciiTheme="minorHAnsi" w:hAnsiTheme="minorHAnsi" w:cstheme="minorHAnsi"/>
                <w:bCs/>
                <w:sz w:val="20"/>
                <w:szCs w:val="20"/>
              </w:rPr>
              <w:t xml:space="preserve">Further information about the DIR-223 application, including Questions and Answers, is available on the </w:t>
            </w:r>
            <w:hyperlink r:id="rId67" w:history="1">
              <w:r w:rsidRPr="00AE2333">
                <w:rPr>
                  <w:rStyle w:val="Hyperlink"/>
                  <w:rFonts w:asciiTheme="minorHAnsi" w:hAnsiTheme="minorHAnsi" w:cstheme="minorHAnsi"/>
                  <w:bCs/>
                  <w:sz w:val="20"/>
                  <w:szCs w:val="20"/>
                </w:rPr>
                <w:t>OGTR website</w:t>
              </w:r>
            </w:hyperlink>
            <w:r w:rsidRPr="00AE2333">
              <w:rPr>
                <w:rFonts w:asciiTheme="minorHAnsi" w:hAnsiTheme="minorHAnsi" w:cstheme="minorHAnsi"/>
                <w:bCs/>
                <w:sz w:val="20"/>
                <w:szCs w:val="20"/>
              </w:rPr>
              <w:t>. No further feedback is sought following the issue of this licence</w:t>
            </w:r>
            <w:r>
              <w:rPr>
                <w:rFonts w:asciiTheme="minorHAnsi" w:hAnsiTheme="minorHAnsi" w:cstheme="minorHAnsi"/>
                <w:bCs/>
                <w:sz w:val="20"/>
                <w:szCs w:val="20"/>
              </w:rPr>
              <w:t>.</w:t>
            </w:r>
          </w:p>
        </w:tc>
      </w:tr>
      <w:tr w:rsidR="00AC6CE4" w:rsidRPr="005A3316" w14:paraId="1C2505AE" w14:textId="77777777" w:rsidTr="00D244FE">
        <w:trPr>
          <w:trHeight w:val="20"/>
        </w:trPr>
        <w:tc>
          <w:tcPr>
            <w:tcW w:w="1103" w:type="pct"/>
            <w:tcBorders>
              <w:top w:val="nil"/>
              <w:left w:val="nil"/>
              <w:bottom w:val="single" w:sz="4" w:space="0" w:color="auto"/>
              <w:right w:val="nil"/>
            </w:tcBorders>
          </w:tcPr>
          <w:p w14:paraId="502D0339" w14:textId="77777777" w:rsidR="00AC6CE4" w:rsidRDefault="00AC6CE4" w:rsidP="00D244FE">
            <w:pPr>
              <w:spacing w:before="60" w:after="60"/>
              <w:ind w:left="113" w:right="113"/>
              <w:jc w:val="center"/>
              <w:rPr>
                <w:rFonts w:asciiTheme="minorHAnsi" w:hAnsiTheme="minorHAnsi" w:cstheme="minorHAnsi"/>
                <w:bCs/>
                <w:sz w:val="20"/>
                <w:szCs w:val="20"/>
              </w:rPr>
            </w:pPr>
          </w:p>
        </w:tc>
        <w:tc>
          <w:tcPr>
            <w:tcW w:w="2059" w:type="pct"/>
            <w:tcBorders>
              <w:top w:val="nil"/>
              <w:left w:val="nil"/>
              <w:bottom w:val="single" w:sz="4" w:space="0" w:color="auto"/>
              <w:right w:val="nil"/>
            </w:tcBorders>
          </w:tcPr>
          <w:p w14:paraId="69E18955" w14:textId="33C631AC" w:rsidR="00AC6CE4" w:rsidRPr="006D709D" w:rsidRDefault="00AE2333" w:rsidP="00AE2333">
            <w:pPr>
              <w:numPr>
                <w:ilvl w:val="0"/>
                <w:numId w:val="114"/>
              </w:numPr>
              <w:spacing w:before="60" w:after="60"/>
              <w:ind w:left="514" w:right="113" w:hanging="284"/>
              <w:rPr>
                <w:rFonts w:asciiTheme="minorHAnsi" w:hAnsiTheme="minorHAnsi" w:cstheme="minorHAnsi"/>
                <w:bCs/>
                <w:sz w:val="20"/>
                <w:szCs w:val="20"/>
              </w:rPr>
            </w:pPr>
            <w:r w:rsidRPr="00AE2333">
              <w:rPr>
                <w:rFonts w:asciiTheme="minorHAnsi" w:hAnsiTheme="minorHAnsi" w:cstheme="minorHAnsi"/>
                <w:bCs/>
                <w:sz w:val="20"/>
                <w:szCs w:val="20"/>
              </w:rPr>
              <w:t>We acknowledge consultation will occur via electronic and print media. Will public consultation be extended to media local to their Council?</w:t>
            </w:r>
          </w:p>
        </w:tc>
        <w:tc>
          <w:tcPr>
            <w:tcW w:w="1838" w:type="pct"/>
            <w:tcBorders>
              <w:top w:val="nil"/>
              <w:left w:val="nil"/>
              <w:bottom w:val="single" w:sz="4" w:space="0" w:color="auto"/>
              <w:right w:val="nil"/>
            </w:tcBorders>
          </w:tcPr>
          <w:p w14:paraId="0C5E63BD" w14:textId="0BEEB1C7" w:rsidR="00AC6CE4" w:rsidRPr="00AC6CE4" w:rsidRDefault="00AE2333" w:rsidP="00AC6CE4">
            <w:pPr>
              <w:spacing w:before="60" w:after="60"/>
              <w:ind w:left="113" w:right="113"/>
              <w:rPr>
                <w:rFonts w:asciiTheme="minorHAnsi" w:hAnsiTheme="minorHAnsi" w:cstheme="minorHAnsi"/>
                <w:bCs/>
                <w:sz w:val="20"/>
                <w:szCs w:val="20"/>
              </w:rPr>
            </w:pPr>
            <w:r w:rsidRPr="00AE2333">
              <w:rPr>
                <w:rFonts w:asciiTheme="minorHAnsi" w:hAnsiTheme="minorHAnsi" w:cstheme="minorHAnsi"/>
                <w:bCs/>
                <w:sz w:val="20"/>
                <w:szCs w:val="20"/>
              </w:rPr>
              <w:t xml:space="preserve">As the location of trial sites is not restricted in the draft licence, this RARMP consultation included publication of a notice in </w:t>
            </w:r>
            <w:r w:rsidRPr="00AE2333">
              <w:rPr>
                <w:rFonts w:asciiTheme="minorHAnsi" w:hAnsiTheme="minorHAnsi" w:cstheme="minorHAnsi"/>
                <w:bCs/>
                <w:i/>
                <w:iCs/>
                <w:sz w:val="20"/>
                <w:szCs w:val="20"/>
              </w:rPr>
              <w:t>The Australian</w:t>
            </w:r>
            <w:r w:rsidRPr="00AE2333">
              <w:rPr>
                <w:rFonts w:asciiTheme="minorHAnsi" w:hAnsiTheme="minorHAnsi" w:cstheme="minorHAnsi"/>
                <w:bCs/>
                <w:sz w:val="20"/>
                <w:szCs w:val="20"/>
              </w:rPr>
              <w:t>, which is circulated nationwide. Consultation also included all Australian LGAs. No further consultation is planned.</w:t>
            </w:r>
          </w:p>
        </w:tc>
      </w:tr>
      <w:tr w:rsidR="00AC6CE4" w:rsidRPr="005A3316" w14:paraId="2453B49B" w14:textId="77777777" w:rsidTr="00077AB1">
        <w:trPr>
          <w:trHeight w:val="20"/>
        </w:trPr>
        <w:tc>
          <w:tcPr>
            <w:tcW w:w="1103" w:type="pct"/>
            <w:tcBorders>
              <w:top w:val="single" w:sz="4" w:space="0" w:color="auto"/>
              <w:left w:val="nil"/>
              <w:bottom w:val="single" w:sz="4" w:space="0" w:color="auto"/>
              <w:right w:val="nil"/>
            </w:tcBorders>
          </w:tcPr>
          <w:p w14:paraId="5E8AA537" w14:textId="56FCF5C4" w:rsidR="00AC6CE4" w:rsidRDefault="00C555B1"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5</w:t>
            </w:r>
          </w:p>
        </w:tc>
        <w:tc>
          <w:tcPr>
            <w:tcW w:w="2059" w:type="pct"/>
            <w:tcBorders>
              <w:top w:val="single" w:sz="4" w:space="0" w:color="auto"/>
              <w:left w:val="nil"/>
              <w:bottom w:val="single" w:sz="4" w:space="0" w:color="auto"/>
              <w:right w:val="nil"/>
            </w:tcBorders>
          </w:tcPr>
          <w:p w14:paraId="07F11077" w14:textId="79208326" w:rsidR="00AC6CE4" w:rsidRPr="006D709D" w:rsidRDefault="00C555B1" w:rsidP="00AC6CE4">
            <w:pPr>
              <w:spacing w:before="60" w:after="60"/>
              <w:ind w:left="113" w:right="113"/>
              <w:rPr>
                <w:rFonts w:asciiTheme="minorHAnsi" w:hAnsiTheme="minorHAnsi" w:cstheme="minorHAnsi"/>
                <w:bCs/>
                <w:sz w:val="20"/>
                <w:szCs w:val="20"/>
              </w:rPr>
            </w:pPr>
            <w:r w:rsidRPr="00C555B1">
              <w:rPr>
                <w:rFonts w:asciiTheme="minorHAnsi" w:hAnsiTheme="minorHAnsi" w:cstheme="minorHAnsi"/>
                <w:bCs/>
                <w:sz w:val="20"/>
                <w:szCs w:val="20"/>
              </w:rPr>
              <w:t>No advice or comments.</w:t>
            </w:r>
          </w:p>
        </w:tc>
        <w:tc>
          <w:tcPr>
            <w:tcW w:w="1838" w:type="pct"/>
            <w:tcBorders>
              <w:top w:val="single" w:sz="4" w:space="0" w:color="auto"/>
              <w:left w:val="nil"/>
              <w:bottom w:val="single" w:sz="4" w:space="0" w:color="auto"/>
              <w:right w:val="nil"/>
            </w:tcBorders>
          </w:tcPr>
          <w:p w14:paraId="461164C5" w14:textId="00893E60" w:rsidR="00AC6CE4" w:rsidRPr="00AC6CE4" w:rsidRDefault="00077AB1"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r w:rsidR="00AC6CE4" w:rsidRPr="005A3316" w14:paraId="2D0021D1" w14:textId="77777777" w:rsidTr="00077AB1">
        <w:trPr>
          <w:trHeight w:val="20"/>
        </w:trPr>
        <w:tc>
          <w:tcPr>
            <w:tcW w:w="1103" w:type="pct"/>
            <w:tcBorders>
              <w:top w:val="single" w:sz="4" w:space="0" w:color="auto"/>
              <w:left w:val="nil"/>
              <w:bottom w:val="nil"/>
              <w:right w:val="nil"/>
            </w:tcBorders>
          </w:tcPr>
          <w:p w14:paraId="3139E1DD" w14:textId="2C2A95C2" w:rsidR="00AC6CE4" w:rsidRDefault="00077AB1"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6</w:t>
            </w:r>
          </w:p>
        </w:tc>
        <w:tc>
          <w:tcPr>
            <w:tcW w:w="2059" w:type="pct"/>
            <w:tcBorders>
              <w:top w:val="single" w:sz="4" w:space="0" w:color="auto"/>
              <w:left w:val="nil"/>
              <w:bottom w:val="nil"/>
              <w:right w:val="nil"/>
            </w:tcBorders>
          </w:tcPr>
          <w:p w14:paraId="149ABB6C" w14:textId="356766BA" w:rsidR="00AC6CE4" w:rsidRPr="006D709D"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Recommends a specific local hospital for the clinical trial.</w:t>
            </w:r>
          </w:p>
        </w:tc>
        <w:tc>
          <w:tcPr>
            <w:tcW w:w="1838" w:type="pct"/>
            <w:tcBorders>
              <w:top w:val="single" w:sz="4" w:space="0" w:color="auto"/>
              <w:left w:val="nil"/>
              <w:bottom w:val="nil"/>
              <w:right w:val="nil"/>
            </w:tcBorders>
          </w:tcPr>
          <w:p w14:paraId="0F14D370" w14:textId="29BFBF51" w:rsidR="00AC6CE4" w:rsidRPr="00AC6CE4"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The selection of clinical trial sites is outside the responsibility of the Regulator. The clinical trial sites are selected by the licence holder.</w:t>
            </w:r>
          </w:p>
        </w:tc>
      </w:tr>
      <w:tr w:rsidR="00077AB1" w:rsidRPr="005A3316" w14:paraId="4E2070D7" w14:textId="77777777" w:rsidTr="00077AB1">
        <w:trPr>
          <w:trHeight w:val="20"/>
        </w:trPr>
        <w:tc>
          <w:tcPr>
            <w:tcW w:w="1103" w:type="pct"/>
            <w:tcBorders>
              <w:top w:val="nil"/>
              <w:left w:val="nil"/>
              <w:bottom w:val="single" w:sz="4" w:space="0" w:color="auto"/>
              <w:right w:val="nil"/>
            </w:tcBorders>
          </w:tcPr>
          <w:p w14:paraId="5438EFCD" w14:textId="77777777" w:rsidR="00077AB1" w:rsidRDefault="00077AB1" w:rsidP="00D244FE">
            <w:pPr>
              <w:spacing w:before="60" w:after="60"/>
              <w:ind w:left="113" w:right="113"/>
              <w:jc w:val="center"/>
              <w:rPr>
                <w:rFonts w:asciiTheme="minorHAnsi" w:hAnsiTheme="minorHAnsi" w:cstheme="minorHAnsi"/>
                <w:bCs/>
                <w:sz w:val="20"/>
                <w:szCs w:val="20"/>
              </w:rPr>
            </w:pPr>
          </w:p>
        </w:tc>
        <w:tc>
          <w:tcPr>
            <w:tcW w:w="2059" w:type="pct"/>
            <w:tcBorders>
              <w:top w:val="nil"/>
              <w:left w:val="nil"/>
              <w:bottom w:val="single" w:sz="4" w:space="0" w:color="auto"/>
              <w:right w:val="nil"/>
            </w:tcBorders>
          </w:tcPr>
          <w:p w14:paraId="27546277" w14:textId="075A7696" w:rsidR="00077AB1" w:rsidRPr="006D709D"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 xml:space="preserve">States that there is a minor risk related to requesting patients decontaminate voided urine at home by putting bleach in the toilet and waiting 15 minutes prior to flushing. Suggests that these instructions are best given by the staff at the specific local hospital as they regularly manage </w:t>
            </w:r>
            <w:r w:rsidRPr="00077AB1">
              <w:rPr>
                <w:rFonts w:asciiTheme="minorHAnsi" w:hAnsiTheme="minorHAnsi" w:cstheme="minorHAnsi"/>
                <w:bCs/>
                <w:sz w:val="20"/>
                <w:szCs w:val="20"/>
              </w:rPr>
              <w:lastRenderedPageBreak/>
              <w:t>after care of surgeries, ICU and cancer patients.</w:t>
            </w:r>
          </w:p>
        </w:tc>
        <w:tc>
          <w:tcPr>
            <w:tcW w:w="1838" w:type="pct"/>
            <w:tcBorders>
              <w:top w:val="nil"/>
              <w:left w:val="nil"/>
              <w:bottom w:val="single" w:sz="4" w:space="0" w:color="auto"/>
              <w:right w:val="nil"/>
            </w:tcBorders>
          </w:tcPr>
          <w:p w14:paraId="6B5244A5" w14:textId="4B7CA63A" w:rsidR="00077AB1" w:rsidRPr="00AC6CE4"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lastRenderedPageBreak/>
              <w:t>The licence requires that the licence holder must provide those instructions to the trial participants.</w:t>
            </w:r>
          </w:p>
        </w:tc>
      </w:tr>
      <w:tr w:rsidR="00077AB1" w:rsidRPr="005A3316" w14:paraId="0FF98AC2" w14:textId="77777777" w:rsidTr="00077AB1">
        <w:trPr>
          <w:trHeight w:val="20"/>
        </w:trPr>
        <w:tc>
          <w:tcPr>
            <w:tcW w:w="1103" w:type="pct"/>
            <w:tcBorders>
              <w:top w:val="single" w:sz="4" w:space="0" w:color="auto"/>
              <w:left w:val="nil"/>
              <w:bottom w:val="nil"/>
              <w:right w:val="nil"/>
            </w:tcBorders>
          </w:tcPr>
          <w:p w14:paraId="461EB4CF" w14:textId="2A4C76DB" w:rsidR="00077AB1" w:rsidRDefault="00077AB1"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7</w:t>
            </w:r>
          </w:p>
        </w:tc>
        <w:tc>
          <w:tcPr>
            <w:tcW w:w="2059" w:type="pct"/>
            <w:tcBorders>
              <w:top w:val="single" w:sz="4" w:space="0" w:color="auto"/>
              <w:left w:val="nil"/>
              <w:bottom w:val="nil"/>
              <w:right w:val="nil"/>
            </w:tcBorders>
          </w:tcPr>
          <w:p w14:paraId="230B3F98" w14:textId="739590E9" w:rsidR="00077AB1" w:rsidRPr="006D709D"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Agrees that risks to the health and safety of people or the environment from the proposed dealings are negligible.</w:t>
            </w:r>
          </w:p>
        </w:tc>
        <w:tc>
          <w:tcPr>
            <w:tcW w:w="1838" w:type="pct"/>
            <w:tcBorders>
              <w:top w:val="single" w:sz="4" w:space="0" w:color="auto"/>
              <w:left w:val="nil"/>
              <w:bottom w:val="nil"/>
              <w:right w:val="nil"/>
            </w:tcBorders>
          </w:tcPr>
          <w:p w14:paraId="01936E42" w14:textId="708804FE" w:rsidR="00077AB1" w:rsidRPr="00AC6CE4" w:rsidRDefault="00077AB1"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r w:rsidR="00077AB1" w:rsidRPr="005A3316" w14:paraId="4D5FB2FA" w14:textId="77777777" w:rsidTr="00077AB1">
        <w:trPr>
          <w:trHeight w:val="20"/>
        </w:trPr>
        <w:tc>
          <w:tcPr>
            <w:tcW w:w="1103" w:type="pct"/>
            <w:tcBorders>
              <w:top w:val="nil"/>
              <w:left w:val="nil"/>
              <w:bottom w:val="nil"/>
              <w:right w:val="nil"/>
            </w:tcBorders>
          </w:tcPr>
          <w:p w14:paraId="3629B764" w14:textId="5301ABAF" w:rsidR="00077AB1" w:rsidRDefault="00077AB1" w:rsidP="00D244FE">
            <w:pPr>
              <w:spacing w:before="60" w:after="60"/>
              <w:ind w:left="113" w:right="113"/>
              <w:jc w:val="center"/>
              <w:rPr>
                <w:rFonts w:asciiTheme="minorHAnsi" w:hAnsiTheme="minorHAnsi" w:cstheme="minorHAnsi"/>
                <w:bCs/>
                <w:sz w:val="20"/>
                <w:szCs w:val="20"/>
              </w:rPr>
            </w:pPr>
          </w:p>
        </w:tc>
        <w:tc>
          <w:tcPr>
            <w:tcW w:w="2059" w:type="pct"/>
            <w:tcBorders>
              <w:top w:val="nil"/>
              <w:left w:val="nil"/>
              <w:bottom w:val="nil"/>
              <w:right w:val="nil"/>
            </w:tcBorders>
          </w:tcPr>
          <w:p w14:paraId="796D5942" w14:textId="6A4A28B7" w:rsidR="00077AB1" w:rsidRPr="006D709D"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Acknowledged considerations addressed in the RARMP. Noted that this application is associated with DIR 217 for commercial supply of the GMO and the approval of the GMO in the USA, as well as the genetic modifications of the GMO and negligible risks identified in the 3 risk scenarios in the RARMP.</w:t>
            </w:r>
          </w:p>
        </w:tc>
        <w:tc>
          <w:tcPr>
            <w:tcW w:w="1838" w:type="pct"/>
            <w:tcBorders>
              <w:top w:val="nil"/>
              <w:left w:val="nil"/>
              <w:bottom w:val="nil"/>
              <w:right w:val="nil"/>
            </w:tcBorders>
          </w:tcPr>
          <w:p w14:paraId="73062253" w14:textId="1EBDBDC5" w:rsidR="00077AB1" w:rsidRPr="00AC6CE4" w:rsidRDefault="00077AB1"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r w:rsidR="00077AB1" w:rsidRPr="005A3316" w14:paraId="10FEA166" w14:textId="77777777" w:rsidTr="00077AB1">
        <w:trPr>
          <w:trHeight w:val="20"/>
        </w:trPr>
        <w:tc>
          <w:tcPr>
            <w:tcW w:w="1103" w:type="pct"/>
            <w:tcBorders>
              <w:top w:val="nil"/>
              <w:left w:val="nil"/>
              <w:bottom w:val="nil"/>
              <w:right w:val="nil"/>
            </w:tcBorders>
          </w:tcPr>
          <w:p w14:paraId="75B88AD2" w14:textId="13828D04" w:rsidR="00077AB1" w:rsidRDefault="00077AB1"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8</w:t>
            </w:r>
          </w:p>
        </w:tc>
        <w:tc>
          <w:tcPr>
            <w:tcW w:w="2059" w:type="pct"/>
            <w:tcBorders>
              <w:top w:val="nil"/>
              <w:left w:val="nil"/>
              <w:bottom w:val="nil"/>
              <w:right w:val="nil"/>
            </w:tcBorders>
          </w:tcPr>
          <w:p w14:paraId="43B2A189" w14:textId="0B454FFB" w:rsidR="00077AB1" w:rsidRPr="00077AB1" w:rsidRDefault="00077AB1" w:rsidP="00AC6CE4">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No comments or concerns.</w:t>
            </w:r>
          </w:p>
        </w:tc>
        <w:tc>
          <w:tcPr>
            <w:tcW w:w="1838" w:type="pct"/>
            <w:tcBorders>
              <w:top w:val="nil"/>
              <w:left w:val="nil"/>
              <w:bottom w:val="nil"/>
              <w:right w:val="nil"/>
            </w:tcBorders>
          </w:tcPr>
          <w:p w14:paraId="36EBD95D" w14:textId="339755ED" w:rsidR="00077AB1" w:rsidRDefault="00077AB1"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r w:rsidR="00077AB1" w:rsidRPr="005A3316" w14:paraId="37226F36" w14:textId="77777777" w:rsidTr="00077AB1">
        <w:trPr>
          <w:trHeight w:val="20"/>
        </w:trPr>
        <w:tc>
          <w:tcPr>
            <w:tcW w:w="1103" w:type="pct"/>
            <w:tcBorders>
              <w:top w:val="nil"/>
              <w:left w:val="nil"/>
              <w:bottom w:val="single" w:sz="4" w:space="0" w:color="auto"/>
              <w:right w:val="nil"/>
            </w:tcBorders>
          </w:tcPr>
          <w:p w14:paraId="090FF725" w14:textId="4FC8351F" w:rsidR="00077AB1" w:rsidRDefault="00077AB1" w:rsidP="00D244FE">
            <w:pPr>
              <w:spacing w:before="60" w:after="60"/>
              <w:ind w:left="113" w:right="113"/>
              <w:jc w:val="center"/>
              <w:rPr>
                <w:rFonts w:asciiTheme="minorHAnsi" w:hAnsiTheme="minorHAnsi" w:cstheme="minorHAnsi"/>
                <w:bCs/>
                <w:sz w:val="20"/>
                <w:szCs w:val="20"/>
              </w:rPr>
            </w:pPr>
            <w:r>
              <w:rPr>
                <w:rFonts w:asciiTheme="minorHAnsi" w:hAnsiTheme="minorHAnsi" w:cstheme="minorHAnsi"/>
                <w:bCs/>
                <w:sz w:val="20"/>
                <w:szCs w:val="20"/>
              </w:rPr>
              <w:t>9</w:t>
            </w:r>
          </w:p>
        </w:tc>
        <w:tc>
          <w:tcPr>
            <w:tcW w:w="2059" w:type="pct"/>
            <w:tcBorders>
              <w:top w:val="nil"/>
              <w:left w:val="nil"/>
              <w:bottom w:val="single" w:sz="4" w:space="0" w:color="auto"/>
              <w:right w:val="nil"/>
            </w:tcBorders>
          </w:tcPr>
          <w:p w14:paraId="45D40B4C" w14:textId="77777777" w:rsidR="00077AB1" w:rsidRPr="00077AB1" w:rsidRDefault="00077AB1" w:rsidP="00077AB1">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Agrees that the risk assessment identifies all plausible risk scenarios and that the limits and controls are appropriate for the clinical trial.</w:t>
            </w:r>
          </w:p>
          <w:p w14:paraId="44890E99" w14:textId="72C23C72" w:rsidR="00077AB1" w:rsidRPr="00077AB1" w:rsidRDefault="00077AB1" w:rsidP="00077AB1">
            <w:pPr>
              <w:spacing w:before="60" w:after="60"/>
              <w:ind w:left="113" w:right="113"/>
              <w:rPr>
                <w:rFonts w:asciiTheme="minorHAnsi" w:hAnsiTheme="minorHAnsi" w:cstheme="minorHAnsi"/>
                <w:bCs/>
                <w:sz w:val="20"/>
                <w:szCs w:val="20"/>
              </w:rPr>
            </w:pPr>
            <w:r w:rsidRPr="00077AB1">
              <w:rPr>
                <w:rFonts w:asciiTheme="minorHAnsi" w:hAnsiTheme="minorHAnsi" w:cstheme="minorHAnsi"/>
                <w:bCs/>
                <w:sz w:val="20"/>
                <w:szCs w:val="20"/>
              </w:rPr>
              <w:t>Agrees with the overall conclusion of the RARMP.</w:t>
            </w:r>
          </w:p>
        </w:tc>
        <w:tc>
          <w:tcPr>
            <w:tcW w:w="1838" w:type="pct"/>
            <w:tcBorders>
              <w:top w:val="nil"/>
              <w:left w:val="nil"/>
              <w:bottom w:val="single" w:sz="4" w:space="0" w:color="auto"/>
              <w:right w:val="nil"/>
            </w:tcBorders>
          </w:tcPr>
          <w:p w14:paraId="5901DA59" w14:textId="40157135" w:rsidR="00077AB1" w:rsidRDefault="00077AB1" w:rsidP="00AC6CE4">
            <w:pPr>
              <w:spacing w:before="60" w:after="60"/>
              <w:ind w:left="113" w:right="113"/>
              <w:rPr>
                <w:rFonts w:asciiTheme="minorHAnsi" w:hAnsiTheme="minorHAnsi" w:cstheme="minorHAnsi"/>
                <w:bCs/>
                <w:sz w:val="20"/>
                <w:szCs w:val="20"/>
              </w:rPr>
            </w:pPr>
            <w:r>
              <w:rPr>
                <w:rFonts w:asciiTheme="minorHAnsi" w:hAnsiTheme="minorHAnsi" w:cstheme="minorHAnsi"/>
                <w:bCs/>
                <w:sz w:val="20"/>
                <w:szCs w:val="20"/>
              </w:rPr>
              <w:t>Noted.</w:t>
            </w:r>
          </w:p>
        </w:tc>
      </w:tr>
    </w:tbl>
    <w:p w14:paraId="7F164685" w14:textId="563DBAA6" w:rsidR="00DE7B5C" w:rsidRDefault="00DE7B5C" w:rsidP="00783CF2">
      <w:pPr>
        <w:pStyle w:val="1RARMP"/>
        <w:numPr>
          <w:ilvl w:val="0"/>
          <w:numId w:val="0"/>
        </w:numPr>
        <w:rPr>
          <w:rFonts w:cs="Calibri"/>
          <w:sz w:val="20"/>
          <w:szCs w:val="20"/>
        </w:rPr>
      </w:pPr>
    </w:p>
    <w:sectPr w:rsidR="00DE7B5C" w:rsidSect="008F70A1">
      <w:footerReference w:type="default" r:id="rId68"/>
      <w:headerReference w:type="first" r:id="rId69"/>
      <w:footerReference w:type="first" r:id="rId70"/>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612F" w14:textId="77777777" w:rsidR="00F90A99" w:rsidRDefault="00F90A99">
      <w:r>
        <w:separator/>
      </w:r>
    </w:p>
    <w:p w14:paraId="31C21B8C" w14:textId="77777777" w:rsidR="00F90A99" w:rsidRDefault="00F90A99"/>
  </w:endnote>
  <w:endnote w:type="continuationSeparator" w:id="0">
    <w:p w14:paraId="7C7FC6E4" w14:textId="77777777" w:rsidR="00F90A99" w:rsidRDefault="00F90A99">
      <w:r>
        <w:continuationSeparator/>
      </w:r>
    </w:p>
    <w:p w14:paraId="4CFE13EF" w14:textId="77777777" w:rsidR="00F90A99" w:rsidRDefault="00F90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Times-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54DA" w14:textId="1F5EEED1" w:rsidR="00C25677" w:rsidRDefault="00B80BA0">
    <w:pPr>
      <w:pStyle w:val="Footer"/>
    </w:pPr>
    <w:r>
      <w:rPr>
        <w:noProof/>
      </w:rPr>
      <mc:AlternateContent>
        <mc:Choice Requires="wps">
          <w:drawing>
            <wp:anchor distT="0" distB="0" distL="0" distR="0" simplePos="0" relativeHeight="251685888" behindDoc="0" locked="0" layoutInCell="1" allowOverlap="1" wp14:anchorId="17FC7F73" wp14:editId="27B5DFA5">
              <wp:simplePos x="635" y="635"/>
              <wp:positionH relativeFrom="page">
                <wp:align>center</wp:align>
              </wp:positionH>
              <wp:positionV relativeFrom="page">
                <wp:align>bottom</wp:align>
              </wp:positionV>
              <wp:extent cx="622300" cy="452755"/>
              <wp:effectExtent l="0" t="0" r="6350" b="0"/>
              <wp:wrapNone/>
              <wp:docPr id="96475031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9DFD1D7" w14:textId="4A820790"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C7F73" id="_x0000_t202" coordsize="21600,21600" o:spt="202" path="m,l,21600r21600,l21600,xe">
              <v:stroke joinstyle="miter"/>
              <v:path gradientshapeok="t" o:connecttype="rect"/>
            </v:shapetype>
            <v:shape id="Text Box 7" o:spid="_x0000_s1042" type="#_x0000_t202" alt="OFFICIAL" style="position:absolute;margin-left:0;margin-top:0;width:49pt;height:35.6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69DFD1D7" w14:textId="4A820790"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AC7E" w14:textId="42A23A26" w:rsidR="004E20FF" w:rsidRPr="00174841" w:rsidRDefault="004E20FF" w:rsidP="00D357A2">
    <w:pPr>
      <w:pStyle w:val="Footer"/>
      <w:pBdr>
        <w:top w:val="single" w:sz="4" w:space="1" w:color="auto"/>
      </w:pBdr>
      <w:tabs>
        <w:tab w:val="left" w:pos="2053"/>
        <w:tab w:val="right" w:pos="9214"/>
      </w:tabs>
      <w:rPr>
        <w:sz w:val="20"/>
        <w:szCs w:val="14"/>
      </w:rPr>
    </w:pPr>
    <w:r w:rsidRPr="00174841">
      <w:rPr>
        <w:sz w:val="20"/>
        <w:szCs w:val="14"/>
      </w:rPr>
      <w:t>Appendix A</w:t>
    </w:r>
    <w:r w:rsidRPr="00174841">
      <w:rPr>
        <w:sz w:val="20"/>
        <w:szCs w:val="14"/>
      </w:rPr>
      <w:tab/>
    </w:r>
    <w:r w:rsidRPr="00174841">
      <w:rPr>
        <w:sz w:val="20"/>
        <w:szCs w:val="14"/>
      </w:rPr>
      <w:tab/>
    </w:r>
    <w:r w:rsidR="00174841">
      <w:rPr>
        <w:sz w:val="20"/>
        <w:szCs w:val="14"/>
      </w:rPr>
      <w:tab/>
    </w:r>
    <w:r w:rsidRPr="00174841">
      <w:rPr>
        <w:sz w:val="20"/>
        <w:szCs w:val="14"/>
      </w:rPr>
      <w:fldChar w:fldCharType="begin"/>
    </w:r>
    <w:r w:rsidRPr="00174841">
      <w:rPr>
        <w:sz w:val="20"/>
        <w:szCs w:val="14"/>
      </w:rPr>
      <w:instrText xml:space="preserve"> PAGE </w:instrText>
    </w:r>
    <w:r w:rsidRPr="00174841">
      <w:rPr>
        <w:sz w:val="20"/>
        <w:szCs w:val="14"/>
      </w:rPr>
      <w:fldChar w:fldCharType="separate"/>
    </w:r>
    <w:r w:rsidRPr="00174841">
      <w:rPr>
        <w:noProof/>
        <w:sz w:val="20"/>
        <w:szCs w:val="14"/>
      </w:rPr>
      <w:t>9</w:t>
    </w:r>
    <w:r w:rsidRPr="00174841">
      <w:rPr>
        <w:sz w:val="20"/>
        <w:szCs w:val="1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97DB3" w14:textId="2011E1D3" w:rsidR="004E20FF" w:rsidRPr="004A7A2F" w:rsidRDefault="00B80BA0" w:rsidP="004A7A2F">
    <w:pPr>
      <w:pStyle w:val="Footer"/>
      <w:pBdr>
        <w:top w:val="single" w:sz="4" w:space="1" w:color="auto"/>
      </w:pBdr>
      <w:rPr>
        <w:rFonts w:asciiTheme="minorHAnsi" w:hAnsiTheme="minorHAnsi" w:cstheme="minorHAnsi"/>
      </w:rPr>
    </w:pPr>
    <w:r>
      <w:rPr>
        <w:rFonts w:asciiTheme="minorHAnsi" w:hAnsiTheme="minorHAnsi" w:cstheme="minorHAnsi"/>
        <w:noProof/>
      </w:rPr>
      <mc:AlternateContent>
        <mc:Choice Requires="wps">
          <w:drawing>
            <wp:anchor distT="0" distB="0" distL="0" distR="0" simplePos="0" relativeHeight="251695104" behindDoc="0" locked="0" layoutInCell="1" allowOverlap="1" wp14:anchorId="691125E7" wp14:editId="4590843D">
              <wp:simplePos x="635" y="635"/>
              <wp:positionH relativeFrom="page">
                <wp:align>center</wp:align>
              </wp:positionH>
              <wp:positionV relativeFrom="page">
                <wp:align>bottom</wp:align>
              </wp:positionV>
              <wp:extent cx="622300" cy="452755"/>
              <wp:effectExtent l="0" t="0" r="6350" b="0"/>
              <wp:wrapNone/>
              <wp:docPr id="66322402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6268CE3" w14:textId="2FF7AFD1"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1125E7" id="_x0000_t202" coordsize="21600,21600" o:spt="202" path="m,l,21600r21600,l21600,xe">
              <v:stroke joinstyle="miter"/>
              <v:path gradientshapeok="t" o:connecttype="rect"/>
            </v:shapetype>
            <v:shape id="Text Box 16" o:spid="_x0000_s1056" type="#_x0000_t202" alt="OFFICIAL" style="position:absolute;margin-left:0;margin-top:0;width:49pt;height:35.6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Mo3I5DgIAAB0E&#10;AAAOAAAAAAAAAAAAAAAAAC4CAABkcnMvZTJvRG9jLnhtbFBLAQItABQABgAIAAAAIQCmX8R22gAA&#10;AAMBAAAPAAAAAAAAAAAAAAAAAGgEAABkcnMvZG93bnJldi54bWxQSwUGAAAAAAQABADzAAAAbwUA&#10;AAAA&#10;" filled="f" stroked="f">
              <v:fill o:detectmouseclick="t"/>
              <v:textbox style="mso-fit-shape-to-text:t" inset="0,0,0,15pt">
                <w:txbxContent>
                  <w:p w14:paraId="26268CE3" w14:textId="2FF7AFD1"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r w:rsidR="004E20FF">
      <w:rPr>
        <w:rFonts w:asciiTheme="minorHAnsi" w:hAnsiTheme="minorHAnsi" w:cstheme="minorHAnsi"/>
      </w:rPr>
      <w:t>References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5AC5855E" w:rsidR="001C746A" w:rsidRDefault="00B80BA0">
    <w:pPr>
      <w:jc w:val="right"/>
    </w:pPr>
    <w:r>
      <w:rPr>
        <w:noProof/>
      </w:rPr>
      <mc:AlternateContent>
        <mc:Choice Requires="wps">
          <w:drawing>
            <wp:anchor distT="0" distB="0" distL="0" distR="0" simplePos="0" relativeHeight="251686912" behindDoc="0" locked="0" layoutInCell="1" allowOverlap="1" wp14:anchorId="669A5B83" wp14:editId="51960881">
              <wp:simplePos x="635" y="635"/>
              <wp:positionH relativeFrom="page">
                <wp:align>center</wp:align>
              </wp:positionH>
              <wp:positionV relativeFrom="page">
                <wp:align>bottom</wp:align>
              </wp:positionV>
              <wp:extent cx="622300" cy="452755"/>
              <wp:effectExtent l="0" t="0" r="6350" b="0"/>
              <wp:wrapNone/>
              <wp:docPr id="139703282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20DC9D0" w14:textId="56041052"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A5B83" id="_x0000_t202" coordsize="21600,21600" o:spt="202" path="m,l,21600r21600,l21600,xe">
              <v:stroke joinstyle="miter"/>
              <v:path gradientshapeok="t" o:connecttype="rect"/>
            </v:shapetype>
            <v:shape id="Text Box 8" o:spid="_x0000_s1043" type="#_x0000_t202" alt="OFFICIAL" style="position:absolute;left:0;text-align:left;margin-left:0;margin-top:0;width:49pt;height:35.6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320DC9D0" w14:textId="56041052"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p>
  <w:p w14:paraId="111F7997" w14:textId="77777777" w:rsidR="001C746A" w:rsidRPr="0096333B" w:rsidRDefault="001C746A" w:rsidP="006D0C25">
    <w:pPr>
      <w:tabs>
        <w:tab w:val="center" w:pos="8364"/>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2F3DABC5"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00534844" w:rsidRPr="00534844">
      <w:rPr>
        <w:sz w:val="16"/>
        <w:szCs w:val="16"/>
      </w:rPr>
      <w:t>of the Risk Assessment and Risk 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7CF90B3E" w:rsidR="001C746A" w:rsidRPr="006858E9" w:rsidRDefault="001C746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2870084B" w:rsidR="001C746A" w:rsidRPr="006858E9" w:rsidRDefault="001C746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VII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3C06E02A"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26</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576C4F84" w:rsidR="008A7B57" w:rsidRPr="006858E9" w:rsidRDefault="008A7B5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42</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3C61BD85"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47</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2D2E" w14:textId="07D87D98" w:rsidR="001C746A" w:rsidRPr="00953860" w:rsidRDefault="001C746A" w:rsidP="00953860">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66</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D9DB9" w14:textId="77777777" w:rsidR="00F90A99" w:rsidRDefault="00F90A99">
      <w:r>
        <w:separator/>
      </w:r>
    </w:p>
    <w:p w14:paraId="49487FDF" w14:textId="77777777" w:rsidR="00F90A99" w:rsidRDefault="00F90A99"/>
  </w:footnote>
  <w:footnote w:type="continuationSeparator" w:id="0">
    <w:p w14:paraId="2C946768" w14:textId="77777777" w:rsidR="00F90A99" w:rsidRDefault="00F90A99">
      <w:r>
        <w:continuationSeparator/>
      </w:r>
    </w:p>
    <w:p w14:paraId="544FDBAB" w14:textId="77777777" w:rsidR="00F90A99" w:rsidRDefault="00F90A99"/>
  </w:footnote>
  <w:footnote w:id="1">
    <w:p w14:paraId="3A14C4E8" w14:textId="6B14996C" w:rsidR="006F3B0D" w:rsidRPr="008E4C60" w:rsidRDefault="006F3B0D" w:rsidP="006F3B0D">
      <w:pPr>
        <w:pStyle w:val="FootnoteText"/>
      </w:pPr>
      <w:r>
        <w:rPr>
          <w:rStyle w:val="FootnoteReference"/>
        </w:rPr>
        <w:footnoteRef/>
      </w:r>
      <w:r>
        <w:t xml:space="preserve"> </w:t>
      </w:r>
      <w:r w:rsidRPr="008E4C60">
        <w:rPr>
          <w:rFonts w:cs="Calibri"/>
        </w:rPr>
        <w:t>This application was originally submitted in 2 parts.</w:t>
      </w:r>
      <w:r w:rsidRPr="008E4C60">
        <w:t xml:space="preserve"> The original titles supplied by the applicant were: “A phase 3, randomised, multi-centre, open-label trial to evaluate the safety and efficacy of intravesical </w:t>
      </w:r>
      <w:proofErr w:type="spellStart"/>
      <w:r w:rsidRPr="008E4C60">
        <w:t>nadofaragene</w:t>
      </w:r>
      <w:proofErr w:type="spellEnd"/>
      <w:r w:rsidRPr="008E4C60">
        <w:t xml:space="preserve"> </w:t>
      </w:r>
      <w:proofErr w:type="spellStart"/>
      <w:r w:rsidRPr="008E4C60">
        <w:t>firadenovec</w:t>
      </w:r>
      <w:proofErr w:type="spellEnd"/>
      <w:r w:rsidRPr="008E4C60">
        <w:t xml:space="preserve"> alone or in combination with chemotherapy (gemcitabine and docetaxel) or immunotherapy (pembrolizumab) in subjects with high-grade Bacillus Calmette-Guerin (BCG) unresponsive non-muscle invasive bladder cancer (NMIBC)”; and “A Phase 3b, Randomised, Controlled Trial of </w:t>
      </w:r>
      <w:proofErr w:type="spellStart"/>
      <w:r w:rsidRPr="008E4C60">
        <w:t>Nadofaragene</w:t>
      </w:r>
      <w:proofErr w:type="spellEnd"/>
      <w:r w:rsidRPr="008E4C60">
        <w:t xml:space="preserve"> </w:t>
      </w:r>
      <w:proofErr w:type="spellStart"/>
      <w:r w:rsidRPr="008E4C60">
        <w:t>Firadenovec</w:t>
      </w:r>
      <w:proofErr w:type="spellEnd"/>
      <w:r w:rsidRPr="008E4C60">
        <w:t xml:space="preserve"> vs. Observation in Subjects with Intermediate Risk (IR) Non-Muscle Invasive Bladder Cancer (NMIBC)”</w:t>
      </w:r>
      <w:r w:rsidR="008E4C60" w:rsidRPr="008E4C60">
        <w:t>.</w:t>
      </w:r>
    </w:p>
  </w:footnote>
  <w:footnote w:id="2">
    <w:p w14:paraId="49D2C4DC" w14:textId="1AE3E5E7" w:rsidR="006F3B0D" w:rsidRDefault="006F3B0D" w:rsidP="00966861">
      <w:pPr>
        <w:pStyle w:val="FootnoteText"/>
      </w:pPr>
      <w:r>
        <w:rPr>
          <w:rStyle w:val="FootnoteReference"/>
        </w:rPr>
        <w:footnoteRef/>
      </w:r>
      <w:r>
        <w:t xml:space="preserve"> </w:t>
      </w:r>
      <w:r w:rsidRPr="00186F26">
        <w:t xml:space="preserve">Confidential Commercial Information: Some details about the </w:t>
      </w:r>
      <w:r>
        <w:t>deleted DNA sequences</w:t>
      </w:r>
      <w:r w:rsidRPr="00186F26">
        <w:t xml:space="preserve"> </w:t>
      </w:r>
      <w:r w:rsidR="00966861">
        <w:t xml:space="preserve">have been declared </w:t>
      </w:r>
      <w:r w:rsidRPr="00186F26">
        <w:t>as Confidential Commercial Information under section 185 of the Act.</w:t>
      </w:r>
    </w:p>
  </w:footnote>
  <w:footnote w:id="3">
    <w:p w14:paraId="59048111" w14:textId="77777777" w:rsidR="0001639C" w:rsidRDefault="0001639C" w:rsidP="0001639C">
      <w:pPr>
        <w:pStyle w:val="FootnoteText"/>
        <w:rPr>
          <w:rFonts w:cstheme="minorBidi"/>
          <w:lang w:eastAsia="en-US"/>
        </w:rPr>
      </w:pPr>
      <w:r>
        <w:rPr>
          <w:rStyle w:val="FootnoteReference"/>
        </w:rPr>
        <w:footnoteRef/>
      </w:r>
      <w:r>
        <w:t xml:space="preserve"> A unit-dose refers to the amount of drug in a single dose that is to be administered to a patient.</w:t>
      </w:r>
    </w:p>
  </w:footnote>
  <w:footnote w:id="4">
    <w:p w14:paraId="1A29028E" w14:textId="5641F3A3" w:rsidR="009371DB" w:rsidRDefault="009371DB">
      <w:pPr>
        <w:pStyle w:val="FootnoteText"/>
      </w:pPr>
      <w:r>
        <w:rPr>
          <w:rStyle w:val="FootnoteReference"/>
        </w:rPr>
        <w:footnoteRef/>
      </w:r>
      <w:r>
        <w:t xml:space="preserve"> </w:t>
      </w:r>
      <w:r w:rsidRPr="005A16FE">
        <w:t>Prescribed expects, agencies and authorities include GTTAC, State and Territory Governments, Australian Government agencies and the Minister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864C" w14:textId="574907DE" w:rsidR="00C25677" w:rsidRDefault="00B80BA0">
    <w:pPr>
      <w:pStyle w:val="Header"/>
    </w:pPr>
    <w:r>
      <w:rPr>
        <w:noProof/>
      </w:rPr>
      <mc:AlternateContent>
        <mc:Choice Requires="wps">
          <w:drawing>
            <wp:anchor distT="0" distB="0" distL="0" distR="0" simplePos="0" relativeHeight="251680768" behindDoc="0" locked="0" layoutInCell="1" allowOverlap="1" wp14:anchorId="27BFB16F" wp14:editId="009CE51D">
              <wp:simplePos x="635" y="635"/>
              <wp:positionH relativeFrom="page">
                <wp:align>center</wp:align>
              </wp:positionH>
              <wp:positionV relativeFrom="page">
                <wp:align>top</wp:align>
              </wp:positionV>
              <wp:extent cx="622300" cy="452755"/>
              <wp:effectExtent l="0" t="0" r="6350" b="4445"/>
              <wp:wrapNone/>
              <wp:docPr id="5505012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9DCC16E" w14:textId="44F56889"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FB16F" id="_x0000_t202" coordsize="21600,21600" o:spt="202" path="m,l,21600r21600,l21600,xe">
              <v:stroke joinstyle="miter"/>
              <v:path gradientshapeok="t" o:connecttype="rect"/>
            </v:shapetype>
            <v:shape id="Text Box 2" o:spid="_x0000_s1040" type="#_x0000_t202" alt="OFFICIAL" style="position:absolute;margin-left:0;margin-top:0;width:49pt;height:35.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fill o:detectmouseclick="t"/>
              <v:textbox style="mso-fit-shape-to-text:t" inset="0,15pt,0,0">
                <w:txbxContent>
                  <w:p w14:paraId="19DCC16E" w14:textId="44F56889"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25837407" w:rsidR="001C746A" w:rsidRPr="00F22284" w:rsidRDefault="00B80BA0" w:rsidP="006D0C25">
    <w:pPr>
      <w:pBdr>
        <w:bottom w:val="single" w:sz="4" w:space="1" w:color="auto"/>
      </w:pBdr>
      <w:tabs>
        <w:tab w:val="right" w:pos="9072"/>
      </w:tabs>
      <w:ind w:right="-2"/>
      <w:rPr>
        <w:sz w:val="18"/>
        <w:szCs w:val="18"/>
      </w:rPr>
    </w:pPr>
    <w:r>
      <w:rPr>
        <w:noProof/>
        <w:sz w:val="18"/>
        <w:szCs w:val="18"/>
      </w:rPr>
      <mc:AlternateContent>
        <mc:Choice Requires="wps">
          <w:drawing>
            <wp:anchor distT="0" distB="0" distL="0" distR="0" simplePos="0" relativeHeight="251681792" behindDoc="0" locked="0" layoutInCell="1" allowOverlap="1" wp14:anchorId="3F0706F9" wp14:editId="7665955B">
              <wp:simplePos x="635" y="635"/>
              <wp:positionH relativeFrom="page">
                <wp:align>center</wp:align>
              </wp:positionH>
              <wp:positionV relativeFrom="page">
                <wp:align>top</wp:align>
              </wp:positionV>
              <wp:extent cx="622300" cy="452755"/>
              <wp:effectExtent l="0" t="0" r="6350" b="4445"/>
              <wp:wrapNone/>
              <wp:docPr id="209434380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4A03BD6" w14:textId="62242E39"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0706F9" id="_x0000_t202" coordsize="21600,21600" o:spt="202" path="m,l,21600r21600,l21600,xe">
              <v:stroke joinstyle="miter"/>
              <v:path gradientshapeok="t" o:connecttype="rect"/>
            </v:shapetype>
            <v:shape id="Text Box 3" o:spid="_x0000_s1041" type="#_x0000_t202" alt="OFFICIAL" style="position:absolute;margin-left:0;margin-top:0;width:49pt;height:35.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fill o:detectmouseclick="t"/>
              <v:textbox style="mso-fit-shape-to-text:t" inset="0,15pt,0,0">
                <w:txbxContent>
                  <w:p w14:paraId="14A03BD6" w14:textId="62242E39"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BC1A" w14:textId="15E0BE8E" w:rsidR="00C25677" w:rsidRDefault="00A520AD">
    <w:pPr>
      <w:pStyle w:val="Header"/>
    </w:pPr>
    <w:r>
      <w:rPr>
        <w:noProof/>
      </w:rPr>
      <w:drawing>
        <wp:inline distT="0" distB="0" distL="0" distR="0" wp14:anchorId="367BE900" wp14:editId="69FAFE49">
          <wp:extent cx="3271850" cy="671786"/>
          <wp:effectExtent l="0" t="0" r="0" b="1905"/>
          <wp:docPr id="764653295" name="Picture 764653295"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2711296A"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w:t>
    </w:r>
    <w:r w:rsidR="00A520AD">
      <w:rPr>
        <w:sz w:val="16"/>
        <w:szCs w:val="16"/>
      </w:rPr>
      <w:t>23</w:t>
    </w:r>
    <w:r w:rsidRPr="00192C82">
      <w:rPr>
        <w:color w:val="FF0000"/>
        <w:sz w:val="16"/>
        <w:szCs w:val="16"/>
      </w:rPr>
      <w:t xml:space="preserve"> </w:t>
    </w:r>
    <w:r w:rsidRPr="008C4920">
      <w:rPr>
        <w:sz w:val="16"/>
        <w:szCs w:val="16"/>
      </w:rPr>
      <w:t>– Risk Assessment and Risk Management Plan (</w:t>
    </w:r>
    <w:r w:rsidR="00A42202">
      <w:rPr>
        <w:sz w:val="16"/>
        <w:szCs w:val="16"/>
      </w:rPr>
      <w:t xml:space="preserve">April </w:t>
    </w:r>
    <w:r w:rsidR="00A520AD">
      <w:rPr>
        <w:sz w:val="16"/>
        <w:szCs w:val="16"/>
      </w:rPr>
      <w:t>2026</w:t>
    </w:r>
    <w:r w:rsidRPr="008C4920">
      <w:rPr>
        <w:sz w:val="16"/>
        <w:szCs w:val="16"/>
      </w:rPr>
      <w:t>)</w:t>
    </w:r>
    <w:r>
      <w:rPr>
        <w:sz w:val="16"/>
        <w:szCs w:val="16"/>
      </w:rPr>
      <w:tab/>
    </w:r>
    <w:r w:rsidRPr="003B2E3B">
      <w:rPr>
        <w:sz w:val="16"/>
        <w:szCs w:val="16"/>
      </w:rPr>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BB57" w14:textId="40468A1A" w:rsidR="004E20FF" w:rsidRDefault="00B80BA0">
    <w:pPr>
      <w:pStyle w:val="Header"/>
    </w:pPr>
    <w:r>
      <w:rPr>
        <w:noProof/>
      </w:rPr>
      <mc:AlternateContent>
        <mc:Choice Requires="wps">
          <w:drawing>
            <wp:anchor distT="0" distB="0" distL="0" distR="0" simplePos="0" relativeHeight="251683840" behindDoc="0" locked="0" layoutInCell="1" allowOverlap="1" wp14:anchorId="6D2CEC39" wp14:editId="56946C99">
              <wp:simplePos x="635" y="635"/>
              <wp:positionH relativeFrom="page">
                <wp:align>center</wp:align>
              </wp:positionH>
              <wp:positionV relativeFrom="page">
                <wp:align>top</wp:align>
              </wp:positionV>
              <wp:extent cx="622300" cy="452755"/>
              <wp:effectExtent l="0" t="0" r="6350" b="4445"/>
              <wp:wrapNone/>
              <wp:docPr id="102664153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4BF67B5" w14:textId="3DFA4E0A"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2CEC39" id="_x0000_t202" coordsize="21600,21600" o:spt="202" path="m,l,21600r21600,l21600,xe">
              <v:stroke joinstyle="miter"/>
              <v:path gradientshapeok="t" o:connecttype="rect"/>
            </v:shapetype>
            <v:shape id="Text Box 5" o:spid="_x0000_s1055" type="#_x0000_t202" alt="OFFICIAL" style="position:absolute;margin-left:0;margin-top:0;width:49pt;height:35.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DlpfTLDAIAAB0EAAAO&#10;AAAAAAAAAAAAAAAAAC4CAABkcnMvZTJvRG9jLnhtbFBLAQItABQABgAIAAAAIQBFrBjJ2QAAAAMB&#10;AAAPAAAAAAAAAAAAAAAAAGYEAABkcnMvZG93bnJldi54bWxQSwUGAAAAAAQABADzAAAAbAUAAAAA&#10;" filled="f" stroked="f">
              <v:fill o:detectmouseclick="t"/>
              <v:textbox style="mso-fit-shape-to-text:t" inset="0,15pt,0,0">
                <w:txbxContent>
                  <w:p w14:paraId="04BF67B5" w14:textId="3DFA4E0A" w:rsidR="00B80BA0" w:rsidRPr="00B80BA0" w:rsidRDefault="00B80BA0" w:rsidP="00B80BA0">
                    <w:pPr>
                      <w:spacing w:after="0"/>
                      <w:rPr>
                        <w:rFonts w:ascii="Aptos" w:eastAsia="Aptos" w:hAnsi="Aptos" w:cs="Aptos"/>
                        <w:noProof/>
                        <w:color w:val="FF0000"/>
                        <w:sz w:val="24"/>
                      </w:rPr>
                    </w:pPr>
                    <w:r w:rsidRPr="00B80BA0">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9"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0D5FB1"/>
    <w:multiLevelType w:val="hybridMultilevel"/>
    <w:tmpl w:val="E4F6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1B02FF"/>
    <w:multiLevelType w:val="hybridMultilevel"/>
    <w:tmpl w:val="E982E4F8"/>
    <w:lvl w:ilvl="0" w:tplc="A58A28EC">
      <w:start w:val="1"/>
      <w:numFmt w:val="decimal"/>
      <w:pStyle w:val="RARMPparagraph"/>
      <w:lvlText w:val="%1."/>
      <w:lvlJc w:val="left"/>
      <w:pPr>
        <w:ind w:left="1077" w:hanging="360"/>
      </w:pPr>
      <w:rPr>
        <w:color w:val="auto"/>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3D71B56"/>
    <w:multiLevelType w:val="hybridMultilevel"/>
    <w:tmpl w:val="CAE68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8"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1D1685"/>
    <w:multiLevelType w:val="hybridMultilevel"/>
    <w:tmpl w:val="3EFC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8587591"/>
    <w:multiLevelType w:val="hybridMultilevel"/>
    <w:tmpl w:val="B3509278"/>
    <w:lvl w:ilvl="0" w:tplc="93B29344">
      <w:start w:val="1"/>
      <w:numFmt w:val="decimal"/>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9641993"/>
    <w:multiLevelType w:val="multilevel"/>
    <w:tmpl w:val="2CD07CE2"/>
    <w:numStyleLink w:val="tablebulletsRARMP"/>
  </w:abstractNum>
  <w:abstractNum w:abstractNumId="3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2B051D35"/>
    <w:multiLevelType w:val="hybridMultilevel"/>
    <w:tmpl w:val="6510AA5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9422F8"/>
    <w:multiLevelType w:val="hybridMultilevel"/>
    <w:tmpl w:val="6E460E58"/>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353357E"/>
    <w:multiLevelType w:val="hybridMultilevel"/>
    <w:tmpl w:val="EF8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AE6ABF"/>
    <w:multiLevelType w:val="multilevel"/>
    <w:tmpl w:val="B00AE7E8"/>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3FF0176D"/>
    <w:multiLevelType w:val="hybridMultilevel"/>
    <w:tmpl w:val="B1CC6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430D0491"/>
    <w:multiLevelType w:val="hybridMultilevel"/>
    <w:tmpl w:val="20966A2A"/>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8"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9"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1"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3"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54"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D8B120D"/>
    <w:multiLevelType w:val="hybridMultilevel"/>
    <w:tmpl w:val="9C888D4C"/>
    <w:lvl w:ilvl="0" w:tplc="2BD2A06E">
      <w:start w:val="1"/>
      <w:numFmt w:val="lowerLetter"/>
      <w:lvlText w:val="(%1)"/>
      <w:lvlJc w:val="left"/>
      <w:pPr>
        <w:tabs>
          <w:tab w:val="num" w:pos="1134"/>
        </w:tabs>
        <w:ind w:left="1134" w:hanging="567"/>
      </w:pPr>
      <w:rPr>
        <w:rFonts w:hint="default"/>
        <w:color w:val="auto"/>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1"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56292D69"/>
    <w:multiLevelType w:val="hybridMultilevel"/>
    <w:tmpl w:val="AF1EA01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3"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64"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6"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72"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4"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6E2E339B"/>
    <w:multiLevelType w:val="hybridMultilevel"/>
    <w:tmpl w:val="0E7AC282"/>
    <w:lvl w:ilvl="0" w:tplc="BB2069EA">
      <w:start w:val="1"/>
      <w:numFmt w:val="bullet"/>
      <w:lvlText w:val=""/>
      <w:lvlJc w:val="right"/>
      <w:pPr>
        <w:ind w:left="720" w:hanging="360"/>
      </w:pPr>
      <w:rPr>
        <w:rFonts w:ascii="Symbol" w:hAnsi="Symbol"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80"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2"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83"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AF13FFB"/>
    <w:multiLevelType w:val="hybridMultilevel"/>
    <w:tmpl w:val="04D47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44"/>
  </w:num>
  <w:num w:numId="2" w16cid:durableId="2078478666">
    <w:abstractNumId w:val="41"/>
  </w:num>
  <w:num w:numId="3" w16cid:durableId="248195387">
    <w:abstractNumId w:val="67"/>
  </w:num>
  <w:num w:numId="4" w16cid:durableId="2026132478">
    <w:abstractNumId w:val="71"/>
  </w:num>
  <w:num w:numId="5" w16cid:durableId="1465659484">
    <w:abstractNumId w:val="47"/>
  </w:num>
  <w:num w:numId="6" w16cid:durableId="282812399">
    <w:abstractNumId w:val="58"/>
  </w:num>
  <w:num w:numId="7" w16cid:durableId="789053890">
    <w:abstractNumId w:val="21"/>
  </w:num>
  <w:num w:numId="8" w16cid:durableId="1099064611">
    <w:abstractNumId w:val="81"/>
  </w:num>
  <w:num w:numId="9" w16cid:durableId="519708190">
    <w:abstractNumId w:val="25"/>
  </w:num>
  <w:num w:numId="10" w16cid:durableId="1280719926">
    <w:abstractNumId w:val="42"/>
  </w:num>
  <w:num w:numId="11" w16cid:durableId="1834031204">
    <w:abstractNumId w:val="64"/>
  </w:num>
  <w:num w:numId="12" w16cid:durableId="1073504347">
    <w:abstractNumId w:val="61"/>
  </w:num>
  <w:num w:numId="13" w16cid:durableId="180361292">
    <w:abstractNumId w:val="19"/>
  </w:num>
  <w:num w:numId="14" w16cid:durableId="1594360229">
    <w:abstractNumId w:val="32"/>
  </w:num>
  <w:num w:numId="15" w16cid:durableId="546183621">
    <w:abstractNumId w:val="89"/>
  </w:num>
  <w:num w:numId="16" w16cid:durableId="1485197646">
    <w:abstractNumId w:val="46"/>
  </w:num>
  <w:num w:numId="17" w16cid:durableId="393311691">
    <w:abstractNumId w:val="50"/>
  </w:num>
  <w:num w:numId="18" w16cid:durableId="176773869">
    <w:abstractNumId w:val="30"/>
  </w:num>
  <w:num w:numId="19" w16cid:durableId="1735202356">
    <w:abstractNumId w:val="66"/>
  </w:num>
  <w:num w:numId="20" w16cid:durableId="1241214693">
    <w:abstractNumId w:val="45"/>
  </w:num>
  <w:num w:numId="21" w16cid:durableId="150491755">
    <w:abstractNumId w:val="79"/>
  </w:num>
  <w:num w:numId="22" w16cid:durableId="977492175">
    <w:abstractNumId w:val="87"/>
  </w:num>
  <w:num w:numId="23" w16cid:durableId="1917787358">
    <w:abstractNumId w:val="8"/>
  </w:num>
  <w:num w:numId="24" w16cid:durableId="869680862">
    <w:abstractNumId w:val="40"/>
  </w:num>
  <w:num w:numId="25" w16cid:durableId="291330998">
    <w:abstractNumId w:val="86"/>
  </w:num>
  <w:num w:numId="26" w16cid:durableId="1294364678">
    <w:abstractNumId w:val="31"/>
    <w:lvlOverride w:ilvl="0">
      <w:lvl w:ilvl="0">
        <w:start w:val="1"/>
        <w:numFmt w:val="bullet"/>
        <w:pStyle w:val="tabledot"/>
        <w:lvlText w:val=""/>
        <w:lvlJc w:val="left"/>
        <w:pPr>
          <w:ind w:left="720" w:hanging="360"/>
        </w:pPr>
        <w:rPr>
          <w:rFonts w:ascii="Symbol" w:hAnsi="Symbol"/>
          <w:sz w:val="16"/>
        </w:rPr>
      </w:lvl>
    </w:lvlOverride>
  </w:num>
  <w:num w:numId="27" w16cid:durableId="48499199">
    <w:abstractNumId w:val="72"/>
  </w:num>
  <w:num w:numId="28" w16cid:durableId="867790753">
    <w:abstractNumId w:val="56"/>
  </w:num>
  <w:num w:numId="29" w16cid:durableId="1057314216">
    <w:abstractNumId w:val="60"/>
  </w:num>
  <w:num w:numId="30" w16cid:durableId="688291795">
    <w:abstractNumId w:val="52"/>
  </w:num>
  <w:num w:numId="31" w16cid:durableId="2088647441">
    <w:abstractNumId w:val="73"/>
  </w:num>
  <w:num w:numId="32" w16cid:durableId="832527963">
    <w:abstractNumId w:val="9"/>
  </w:num>
  <w:num w:numId="33" w16cid:durableId="717624814">
    <w:abstractNumId w:val="24"/>
  </w:num>
  <w:num w:numId="34" w16cid:durableId="1074159541">
    <w:abstractNumId w:val="49"/>
  </w:num>
  <w:num w:numId="35" w16cid:durableId="1124345555">
    <w:abstractNumId w:val="51"/>
  </w:num>
  <w:num w:numId="36" w16cid:durableId="1990865653">
    <w:abstractNumId w:val="10"/>
  </w:num>
  <w:num w:numId="37" w16cid:durableId="900363654">
    <w:abstractNumId w:val="20"/>
  </w:num>
  <w:num w:numId="38" w16cid:durableId="1846478856">
    <w:abstractNumId w:val="6"/>
  </w:num>
  <w:num w:numId="39" w16cid:durableId="683482475">
    <w:abstractNumId w:val="27"/>
  </w:num>
  <w:num w:numId="40" w16cid:durableId="1596280061">
    <w:abstractNumId w:val="2"/>
  </w:num>
  <w:num w:numId="41" w16cid:durableId="2081831949">
    <w:abstractNumId w:val="48"/>
  </w:num>
  <w:num w:numId="42" w16cid:durableId="605966252">
    <w:abstractNumId w:val="15"/>
  </w:num>
  <w:num w:numId="43" w16cid:durableId="816605517">
    <w:abstractNumId w:val="84"/>
  </w:num>
  <w:num w:numId="44" w16cid:durableId="86049646">
    <w:abstractNumId w:val="78"/>
  </w:num>
  <w:num w:numId="45" w16cid:durableId="1592811409">
    <w:abstractNumId w:val="11"/>
  </w:num>
  <w:num w:numId="46" w16cid:durableId="717584521">
    <w:abstractNumId w:val="29"/>
  </w:num>
  <w:num w:numId="47" w16cid:durableId="1770193311">
    <w:abstractNumId w:val="53"/>
  </w:num>
  <w:num w:numId="48" w16cid:durableId="470640178">
    <w:abstractNumId w:val="68"/>
  </w:num>
  <w:num w:numId="49" w16cid:durableId="1412049292">
    <w:abstractNumId w:val="74"/>
  </w:num>
  <w:num w:numId="50" w16cid:durableId="222982918">
    <w:abstractNumId w:val="7"/>
  </w:num>
  <w:num w:numId="51" w16cid:durableId="2142914046">
    <w:abstractNumId w:val="65"/>
  </w:num>
  <w:num w:numId="52" w16cid:durableId="1617441749">
    <w:abstractNumId w:val="34"/>
  </w:num>
  <w:num w:numId="53" w16cid:durableId="141387319">
    <w:abstractNumId w:val="43"/>
  </w:num>
  <w:num w:numId="54" w16cid:durableId="1869640297">
    <w:abstractNumId w:val="76"/>
  </w:num>
  <w:num w:numId="55" w16cid:durableId="434910306">
    <w:abstractNumId w:val="5"/>
  </w:num>
  <w:num w:numId="56" w16cid:durableId="92752321">
    <w:abstractNumId w:val="54"/>
  </w:num>
  <w:num w:numId="57" w16cid:durableId="2002535896">
    <w:abstractNumId w:val="54"/>
    <w:lvlOverride w:ilvl="0">
      <w:startOverride w:val="1"/>
    </w:lvlOverride>
  </w:num>
  <w:num w:numId="58" w16cid:durableId="11196418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67972258">
    <w:abstractNumId w:val="37"/>
  </w:num>
  <w:num w:numId="60" w16cid:durableId="1487239114">
    <w:abstractNumId w:val="77"/>
  </w:num>
  <w:num w:numId="61" w16cid:durableId="917524014">
    <w:abstractNumId w:val="80"/>
  </w:num>
  <w:num w:numId="62" w16cid:durableId="468321169">
    <w:abstractNumId w:val="22"/>
  </w:num>
  <w:num w:numId="63" w16cid:durableId="720983360">
    <w:abstractNumId w:val="16"/>
  </w:num>
  <w:num w:numId="64" w16cid:durableId="424376242">
    <w:abstractNumId w:val="17"/>
  </w:num>
  <w:num w:numId="65" w16cid:durableId="725958100">
    <w:abstractNumId w:val="59"/>
  </w:num>
  <w:num w:numId="66" w16cid:durableId="284508340">
    <w:abstractNumId w:val="39"/>
  </w:num>
  <w:num w:numId="67" w16cid:durableId="577131881">
    <w:abstractNumId w:val="57"/>
  </w:num>
  <w:num w:numId="68" w16cid:durableId="1465192153">
    <w:abstractNumId w:val="23"/>
    <w:lvlOverride w:ilvl="0">
      <w:startOverride w:val="1"/>
    </w:lvlOverride>
  </w:num>
  <w:num w:numId="69" w16cid:durableId="2014410339">
    <w:abstractNumId w:val="23"/>
    <w:lvlOverride w:ilvl="0">
      <w:startOverride w:val="1"/>
    </w:lvlOverride>
  </w:num>
  <w:num w:numId="70" w16cid:durableId="590428956">
    <w:abstractNumId w:val="23"/>
  </w:num>
  <w:num w:numId="71" w16cid:durableId="1911496677">
    <w:abstractNumId w:val="83"/>
  </w:num>
  <w:num w:numId="72" w16cid:durableId="1981425501">
    <w:abstractNumId w:val="33"/>
  </w:num>
  <w:num w:numId="73" w16cid:durableId="173689322">
    <w:abstractNumId w:val="28"/>
    <w:lvlOverride w:ilvl="0">
      <w:startOverride w:val="1"/>
    </w:lvlOverride>
  </w:num>
  <w:num w:numId="74" w16cid:durableId="1501119696">
    <w:abstractNumId w:val="28"/>
    <w:lvlOverride w:ilvl="0">
      <w:startOverride w:val="2"/>
    </w:lvlOverride>
  </w:num>
  <w:num w:numId="75" w16cid:durableId="1027752320">
    <w:abstractNumId w:val="18"/>
  </w:num>
  <w:num w:numId="76" w16cid:durableId="702483248">
    <w:abstractNumId w:val="3"/>
  </w:num>
  <w:num w:numId="77" w16cid:durableId="959800611">
    <w:abstractNumId w:val="55"/>
  </w:num>
  <w:num w:numId="78" w16cid:durableId="263462717">
    <w:abstractNumId w:val="54"/>
    <w:lvlOverride w:ilvl="0">
      <w:startOverride w:val="1"/>
    </w:lvlOverride>
  </w:num>
  <w:num w:numId="79" w16cid:durableId="965740141">
    <w:abstractNumId w:val="54"/>
    <w:lvlOverride w:ilvl="0">
      <w:startOverride w:val="1"/>
    </w:lvlOverride>
  </w:num>
  <w:num w:numId="80" w16cid:durableId="1736007357">
    <w:abstractNumId w:val="54"/>
    <w:lvlOverride w:ilvl="0">
      <w:startOverride w:val="1"/>
    </w:lvlOverride>
  </w:num>
  <w:num w:numId="81" w16cid:durableId="338318778">
    <w:abstractNumId w:val="54"/>
    <w:lvlOverride w:ilvl="0">
      <w:startOverride w:val="1"/>
    </w:lvlOverride>
  </w:num>
  <w:num w:numId="82" w16cid:durableId="735905740">
    <w:abstractNumId w:val="54"/>
    <w:lvlOverride w:ilvl="0">
      <w:startOverride w:val="1"/>
    </w:lvlOverride>
  </w:num>
  <w:num w:numId="83" w16cid:durableId="1498380977">
    <w:abstractNumId w:val="54"/>
    <w:lvlOverride w:ilvl="0">
      <w:startOverride w:val="1"/>
    </w:lvlOverride>
  </w:num>
  <w:num w:numId="84" w16cid:durableId="818886854">
    <w:abstractNumId w:val="47"/>
    <w:lvlOverride w:ilvl="0">
      <w:startOverride w:val="1"/>
    </w:lvlOverride>
  </w:num>
  <w:num w:numId="85" w16cid:durableId="1521353742">
    <w:abstractNumId w:val="14"/>
  </w:num>
  <w:num w:numId="86" w16cid:durableId="1138374498">
    <w:abstractNumId w:val="69"/>
  </w:num>
  <w:num w:numId="87" w16cid:durableId="1047728196">
    <w:abstractNumId w:val="75"/>
  </w:num>
  <w:num w:numId="88" w16cid:durableId="469784753">
    <w:abstractNumId w:val="63"/>
  </w:num>
  <w:num w:numId="89" w16cid:durableId="288516890">
    <w:abstractNumId w:val="70"/>
  </w:num>
  <w:num w:numId="90" w16cid:durableId="1613659343">
    <w:abstractNumId w:val="36"/>
  </w:num>
  <w:num w:numId="91" w16cid:durableId="1892961785">
    <w:abstractNumId w:val="54"/>
    <w:lvlOverride w:ilvl="0">
      <w:startOverride w:val="1"/>
    </w:lvlOverride>
  </w:num>
  <w:num w:numId="92" w16cid:durableId="1239904718">
    <w:abstractNumId w:val="54"/>
    <w:lvlOverride w:ilvl="0">
      <w:startOverride w:val="1"/>
    </w:lvlOverride>
  </w:num>
  <w:num w:numId="93" w16cid:durableId="1029331280">
    <w:abstractNumId w:val="88"/>
  </w:num>
  <w:num w:numId="94" w16cid:durableId="1803116800">
    <w:abstractNumId w:val="44"/>
  </w:num>
  <w:num w:numId="95" w16cid:durableId="468059219">
    <w:abstractNumId w:val="44"/>
  </w:num>
  <w:num w:numId="96" w16cid:durableId="914901150">
    <w:abstractNumId w:val="44"/>
  </w:num>
  <w:num w:numId="97" w16cid:durableId="567883860">
    <w:abstractNumId w:val="44"/>
  </w:num>
  <w:num w:numId="98" w16cid:durableId="2021544498">
    <w:abstractNumId w:val="44"/>
  </w:num>
  <w:num w:numId="99" w16cid:durableId="1988777216">
    <w:abstractNumId w:val="44"/>
  </w:num>
  <w:num w:numId="100" w16cid:durableId="1804956648">
    <w:abstractNumId w:val="44"/>
  </w:num>
  <w:num w:numId="101" w16cid:durableId="601230896">
    <w:abstractNumId w:val="44"/>
  </w:num>
  <w:num w:numId="102" w16cid:durableId="1598097226">
    <w:abstractNumId w:val="44"/>
  </w:num>
  <w:num w:numId="103" w16cid:durableId="1433281936">
    <w:abstractNumId w:val="44"/>
  </w:num>
  <w:num w:numId="104" w16cid:durableId="70661232">
    <w:abstractNumId w:val="44"/>
  </w:num>
  <w:num w:numId="105" w16cid:durableId="1666011532">
    <w:abstractNumId w:val="38"/>
  </w:num>
  <w:num w:numId="106" w16cid:durableId="1364404122">
    <w:abstractNumId w:val="54"/>
    <w:lvlOverride w:ilvl="0">
      <w:startOverride w:val="1"/>
    </w:lvlOverride>
  </w:num>
  <w:num w:numId="107" w16cid:durableId="682825825">
    <w:abstractNumId w:val="26"/>
  </w:num>
  <w:num w:numId="108" w16cid:durableId="236600727">
    <w:abstractNumId w:val="41"/>
  </w:num>
  <w:num w:numId="109" w16cid:durableId="227541725">
    <w:abstractNumId w:val="13"/>
  </w:num>
  <w:num w:numId="110" w16cid:durableId="1105148567">
    <w:abstractNumId w:val="82"/>
  </w:num>
  <w:num w:numId="111" w16cid:durableId="450787011">
    <w:abstractNumId w:val="62"/>
  </w:num>
  <w:num w:numId="112" w16cid:durableId="1832015747">
    <w:abstractNumId w:val="12"/>
  </w:num>
  <w:num w:numId="113" w16cid:durableId="2146195771">
    <w:abstractNumId w:val="85"/>
  </w:num>
  <w:num w:numId="114" w16cid:durableId="477307987">
    <w:abstractNumId w:val="3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pase2e2oz5rwce9azspp95nf9xvswxp2rvd&quot;&gt;DIR-223 EndNote Library&lt;record-ids&gt;&lt;item&gt;2&lt;/item&gt;&lt;item&gt;4&lt;/item&gt;&lt;item&gt;13&lt;/item&gt;&lt;item&gt;14&lt;/item&gt;&lt;item&gt;15&lt;/item&gt;&lt;item&gt;16&lt;/item&gt;&lt;item&gt;17&lt;/item&gt;&lt;item&gt;18&lt;/item&gt;&lt;item&gt;20&lt;/item&gt;&lt;item&gt;21&lt;/item&gt;&lt;item&gt;24&lt;/item&gt;&lt;item&gt;25&lt;/item&gt;&lt;item&gt;29&lt;/item&gt;&lt;item&gt;30&lt;/item&gt;&lt;item&gt;31&lt;/item&gt;&lt;item&gt;32&lt;/item&gt;&lt;item&gt;34&lt;/item&gt;&lt;item&gt;40&lt;/item&gt;&lt;item&gt;41&lt;/item&gt;&lt;item&gt;42&lt;/item&gt;&lt;item&gt;43&lt;/item&gt;&lt;item&gt;45&lt;/item&gt;&lt;item&gt;47&lt;/item&gt;&lt;/record-ids&gt;&lt;/item&gt;&lt;item db-id=&quot;pzsxp9tvnxtsa6ead0bp00pydtwzsetz0vv2&quot;&gt;DIR-222&lt;record-ids&gt;&lt;item&gt;54&lt;/item&gt;&lt;item&gt;84&lt;/item&gt;&lt;item&gt;92&lt;/item&gt;&lt;item&gt;95&lt;/item&gt;&lt;item&gt;97&lt;/item&gt;&lt;item&gt;118&lt;/item&gt;&lt;item&gt;119&lt;/item&gt;&lt;item&gt;120&lt;/item&gt;&lt;item&gt;121&lt;/item&gt;&lt;item&gt;122&lt;/item&gt;&lt;item&gt;123&lt;/item&gt;&lt;/record-ids&gt;&lt;/item&gt;&lt;item db-id=&quot;verwe2fxj5fev7epfz8xtdvez025feseze0z&quot;&gt;DIR-213&lt;record-ids&gt;&lt;item&gt;1&lt;/item&gt;&lt;item&gt;2&lt;/item&gt;&lt;item&gt;45&lt;/item&gt;&lt;item&gt;53&lt;/item&gt;&lt;item&gt;56&lt;/item&gt;&lt;item&gt;58&lt;/item&gt;&lt;item&gt;59&lt;/item&gt;&lt;item&gt;60&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7&lt;/item&gt;&lt;item&gt;88&lt;/item&gt;&lt;item&gt;89&lt;/item&gt;&lt;item&gt;90&lt;/item&gt;&lt;item&gt;92&lt;/item&gt;&lt;item&gt;93&lt;/item&gt;&lt;item&gt;94&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23&lt;/item&gt;&lt;item&gt;124&lt;/item&gt;&lt;item&gt;125&lt;/item&gt;&lt;item&gt;126&lt;/item&gt;&lt;item&gt;134&lt;/item&gt;&lt;item&gt;135&lt;/item&gt;&lt;item&gt;136&lt;/item&gt;&lt;item&gt;142&lt;/item&gt;&lt;item&gt;143&lt;/item&gt;&lt;item&gt;144&lt;/item&gt;&lt;item&gt;145&lt;/item&gt;&lt;item&gt;146&lt;/item&gt;&lt;item&gt;147&lt;/item&gt;&lt;item&gt;148&lt;/item&gt;&lt;item&gt;149&lt;/item&gt;&lt;item&gt;163&lt;/item&gt;&lt;item&gt;181&lt;/item&gt;&lt;/record-ids&gt;&lt;/item&gt;&lt;item db-id=&quot;vf22ax0roe9ssce55r0vrezirwdtv52edrxs&quot;&gt;OGTR Non-Plant Reference database-Converted&lt;record-ids&gt;&lt;item&gt;7132&lt;/item&gt;&lt;item&gt;11593&lt;/item&gt;&lt;item&gt;12189&lt;/item&gt;&lt;item&gt;15056&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371"/>
    <w:rsid w:val="0000081E"/>
    <w:rsid w:val="00000942"/>
    <w:rsid w:val="0000096F"/>
    <w:rsid w:val="000009A8"/>
    <w:rsid w:val="00000B3C"/>
    <w:rsid w:val="00000E5A"/>
    <w:rsid w:val="00001211"/>
    <w:rsid w:val="00001426"/>
    <w:rsid w:val="0000143A"/>
    <w:rsid w:val="00001607"/>
    <w:rsid w:val="0000162F"/>
    <w:rsid w:val="0000184B"/>
    <w:rsid w:val="000019F6"/>
    <w:rsid w:val="000019FD"/>
    <w:rsid w:val="00001A76"/>
    <w:rsid w:val="00001B01"/>
    <w:rsid w:val="00001B6E"/>
    <w:rsid w:val="00001DC7"/>
    <w:rsid w:val="00001E21"/>
    <w:rsid w:val="000023D7"/>
    <w:rsid w:val="00002495"/>
    <w:rsid w:val="000025FC"/>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1037"/>
    <w:rsid w:val="00011210"/>
    <w:rsid w:val="00011283"/>
    <w:rsid w:val="00011573"/>
    <w:rsid w:val="00011A71"/>
    <w:rsid w:val="00011CD6"/>
    <w:rsid w:val="00011D29"/>
    <w:rsid w:val="00011DE3"/>
    <w:rsid w:val="00011E9C"/>
    <w:rsid w:val="00011EE0"/>
    <w:rsid w:val="00011F0A"/>
    <w:rsid w:val="00012286"/>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B"/>
    <w:rsid w:val="000155CD"/>
    <w:rsid w:val="000157CA"/>
    <w:rsid w:val="00015850"/>
    <w:rsid w:val="000158AC"/>
    <w:rsid w:val="000158E8"/>
    <w:rsid w:val="00015FA9"/>
    <w:rsid w:val="0001619B"/>
    <w:rsid w:val="00016235"/>
    <w:rsid w:val="0001639C"/>
    <w:rsid w:val="0001676A"/>
    <w:rsid w:val="0001697F"/>
    <w:rsid w:val="00016EBE"/>
    <w:rsid w:val="000170FB"/>
    <w:rsid w:val="0001731A"/>
    <w:rsid w:val="00017384"/>
    <w:rsid w:val="0001740D"/>
    <w:rsid w:val="0001757D"/>
    <w:rsid w:val="00017693"/>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0F72"/>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88A"/>
    <w:rsid w:val="0002394C"/>
    <w:rsid w:val="00023AE5"/>
    <w:rsid w:val="00023B69"/>
    <w:rsid w:val="0002428B"/>
    <w:rsid w:val="0002429E"/>
    <w:rsid w:val="000245C7"/>
    <w:rsid w:val="0002482C"/>
    <w:rsid w:val="00024AAC"/>
    <w:rsid w:val="00024BF1"/>
    <w:rsid w:val="00024D40"/>
    <w:rsid w:val="00024D90"/>
    <w:rsid w:val="00024F5E"/>
    <w:rsid w:val="000253F8"/>
    <w:rsid w:val="00025567"/>
    <w:rsid w:val="000255B2"/>
    <w:rsid w:val="000257B5"/>
    <w:rsid w:val="0002583C"/>
    <w:rsid w:val="00025964"/>
    <w:rsid w:val="00025BA2"/>
    <w:rsid w:val="00025D9B"/>
    <w:rsid w:val="00025EAC"/>
    <w:rsid w:val="00026372"/>
    <w:rsid w:val="00026395"/>
    <w:rsid w:val="0002649B"/>
    <w:rsid w:val="00026C9C"/>
    <w:rsid w:val="00027066"/>
    <w:rsid w:val="00027084"/>
    <w:rsid w:val="000272A0"/>
    <w:rsid w:val="00027626"/>
    <w:rsid w:val="000278E5"/>
    <w:rsid w:val="00027953"/>
    <w:rsid w:val="00027A9E"/>
    <w:rsid w:val="00027B11"/>
    <w:rsid w:val="00027B26"/>
    <w:rsid w:val="00027FD3"/>
    <w:rsid w:val="000301E9"/>
    <w:rsid w:val="000301FA"/>
    <w:rsid w:val="0003033B"/>
    <w:rsid w:val="000306BD"/>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0A3"/>
    <w:rsid w:val="000334B9"/>
    <w:rsid w:val="00033515"/>
    <w:rsid w:val="00033812"/>
    <w:rsid w:val="000338EC"/>
    <w:rsid w:val="00033BF6"/>
    <w:rsid w:val="00033BFA"/>
    <w:rsid w:val="00033C44"/>
    <w:rsid w:val="00033C6E"/>
    <w:rsid w:val="00034829"/>
    <w:rsid w:val="0003484D"/>
    <w:rsid w:val="00034873"/>
    <w:rsid w:val="00034892"/>
    <w:rsid w:val="000348D5"/>
    <w:rsid w:val="00034EC2"/>
    <w:rsid w:val="00034F9D"/>
    <w:rsid w:val="00035110"/>
    <w:rsid w:val="000353A8"/>
    <w:rsid w:val="00035507"/>
    <w:rsid w:val="00035610"/>
    <w:rsid w:val="000358AC"/>
    <w:rsid w:val="00035A26"/>
    <w:rsid w:val="00035C81"/>
    <w:rsid w:val="00035D3D"/>
    <w:rsid w:val="00035E62"/>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6B0"/>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401"/>
    <w:rsid w:val="00041857"/>
    <w:rsid w:val="00041A0A"/>
    <w:rsid w:val="00041A3A"/>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8D4"/>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667"/>
    <w:rsid w:val="000506C5"/>
    <w:rsid w:val="000508A0"/>
    <w:rsid w:val="00050E53"/>
    <w:rsid w:val="00050E68"/>
    <w:rsid w:val="00050F4F"/>
    <w:rsid w:val="0005107D"/>
    <w:rsid w:val="000511C5"/>
    <w:rsid w:val="00051557"/>
    <w:rsid w:val="0005161E"/>
    <w:rsid w:val="00051680"/>
    <w:rsid w:val="000516E4"/>
    <w:rsid w:val="000516F1"/>
    <w:rsid w:val="0005170B"/>
    <w:rsid w:val="00051758"/>
    <w:rsid w:val="000519E0"/>
    <w:rsid w:val="00051A01"/>
    <w:rsid w:val="00051C96"/>
    <w:rsid w:val="00051E0B"/>
    <w:rsid w:val="00051EBF"/>
    <w:rsid w:val="00051FE8"/>
    <w:rsid w:val="00052219"/>
    <w:rsid w:val="000526AF"/>
    <w:rsid w:val="00052D02"/>
    <w:rsid w:val="00052D24"/>
    <w:rsid w:val="00052D47"/>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8A8"/>
    <w:rsid w:val="00055B66"/>
    <w:rsid w:val="00055C8C"/>
    <w:rsid w:val="00055E1A"/>
    <w:rsid w:val="00055E1E"/>
    <w:rsid w:val="000562CD"/>
    <w:rsid w:val="0005653F"/>
    <w:rsid w:val="0005655A"/>
    <w:rsid w:val="0005664E"/>
    <w:rsid w:val="000568CB"/>
    <w:rsid w:val="00056A93"/>
    <w:rsid w:val="00056AA6"/>
    <w:rsid w:val="00056C2A"/>
    <w:rsid w:val="00056C5D"/>
    <w:rsid w:val="00056DC9"/>
    <w:rsid w:val="00057039"/>
    <w:rsid w:val="000571F2"/>
    <w:rsid w:val="000577ED"/>
    <w:rsid w:val="000577EF"/>
    <w:rsid w:val="00057808"/>
    <w:rsid w:val="000579A1"/>
    <w:rsid w:val="00057DB5"/>
    <w:rsid w:val="00057F2C"/>
    <w:rsid w:val="000602AE"/>
    <w:rsid w:val="00060824"/>
    <w:rsid w:val="000608A2"/>
    <w:rsid w:val="00060DCB"/>
    <w:rsid w:val="00060E73"/>
    <w:rsid w:val="00060F8E"/>
    <w:rsid w:val="000611C8"/>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019"/>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0D95"/>
    <w:rsid w:val="00071259"/>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6FB0"/>
    <w:rsid w:val="00077067"/>
    <w:rsid w:val="00077116"/>
    <w:rsid w:val="0007744A"/>
    <w:rsid w:val="0007751B"/>
    <w:rsid w:val="000775C8"/>
    <w:rsid w:val="00077790"/>
    <w:rsid w:val="00077911"/>
    <w:rsid w:val="000779AB"/>
    <w:rsid w:val="00077AB1"/>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337"/>
    <w:rsid w:val="00083512"/>
    <w:rsid w:val="00083BB1"/>
    <w:rsid w:val="00083C08"/>
    <w:rsid w:val="00083C7F"/>
    <w:rsid w:val="00083CBC"/>
    <w:rsid w:val="00083CF7"/>
    <w:rsid w:val="00083E46"/>
    <w:rsid w:val="00083F6A"/>
    <w:rsid w:val="00083F92"/>
    <w:rsid w:val="0008406A"/>
    <w:rsid w:val="000840A6"/>
    <w:rsid w:val="00084102"/>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B81"/>
    <w:rsid w:val="00085C55"/>
    <w:rsid w:val="00085F52"/>
    <w:rsid w:val="00085FAD"/>
    <w:rsid w:val="00086065"/>
    <w:rsid w:val="0008608A"/>
    <w:rsid w:val="000860F8"/>
    <w:rsid w:val="00086153"/>
    <w:rsid w:val="000863C7"/>
    <w:rsid w:val="00086679"/>
    <w:rsid w:val="0008671A"/>
    <w:rsid w:val="00086A16"/>
    <w:rsid w:val="00086E71"/>
    <w:rsid w:val="00086F7C"/>
    <w:rsid w:val="00086F96"/>
    <w:rsid w:val="00087156"/>
    <w:rsid w:val="0008717F"/>
    <w:rsid w:val="00087561"/>
    <w:rsid w:val="000875C3"/>
    <w:rsid w:val="00087790"/>
    <w:rsid w:val="00087A91"/>
    <w:rsid w:val="00087B21"/>
    <w:rsid w:val="00087D0B"/>
    <w:rsid w:val="00087DE7"/>
    <w:rsid w:val="000900F0"/>
    <w:rsid w:val="0009028E"/>
    <w:rsid w:val="00090715"/>
    <w:rsid w:val="000907D2"/>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547"/>
    <w:rsid w:val="000937DC"/>
    <w:rsid w:val="00093802"/>
    <w:rsid w:val="00093E9F"/>
    <w:rsid w:val="000942A8"/>
    <w:rsid w:val="000942C5"/>
    <w:rsid w:val="00094637"/>
    <w:rsid w:val="00094645"/>
    <w:rsid w:val="00094924"/>
    <w:rsid w:val="000949AD"/>
    <w:rsid w:val="00094AEB"/>
    <w:rsid w:val="00094BF8"/>
    <w:rsid w:val="00094D7F"/>
    <w:rsid w:val="00094F7B"/>
    <w:rsid w:val="00095089"/>
    <w:rsid w:val="0009526B"/>
    <w:rsid w:val="00095385"/>
    <w:rsid w:val="0009551B"/>
    <w:rsid w:val="0009563E"/>
    <w:rsid w:val="00095A9F"/>
    <w:rsid w:val="00095D2C"/>
    <w:rsid w:val="00095E81"/>
    <w:rsid w:val="00096181"/>
    <w:rsid w:val="00096A07"/>
    <w:rsid w:val="00096E38"/>
    <w:rsid w:val="00096FD7"/>
    <w:rsid w:val="0009747B"/>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2CC"/>
    <w:rsid w:val="000A24B5"/>
    <w:rsid w:val="000A2731"/>
    <w:rsid w:val="000A2759"/>
    <w:rsid w:val="000A2855"/>
    <w:rsid w:val="000A2AD7"/>
    <w:rsid w:val="000A2AF4"/>
    <w:rsid w:val="000A2B71"/>
    <w:rsid w:val="000A2B9E"/>
    <w:rsid w:val="000A2F5B"/>
    <w:rsid w:val="000A31D8"/>
    <w:rsid w:val="000A3385"/>
    <w:rsid w:val="000A33F0"/>
    <w:rsid w:val="000A38B2"/>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641"/>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CB1"/>
    <w:rsid w:val="000B1E3F"/>
    <w:rsid w:val="000B1FFE"/>
    <w:rsid w:val="000B2299"/>
    <w:rsid w:val="000B22E3"/>
    <w:rsid w:val="000B2377"/>
    <w:rsid w:val="000B23A0"/>
    <w:rsid w:val="000B2991"/>
    <w:rsid w:val="000B29BF"/>
    <w:rsid w:val="000B318C"/>
    <w:rsid w:val="000B32BF"/>
    <w:rsid w:val="000B32E3"/>
    <w:rsid w:val="000B335F"/>
    <w:rsid w:val="000B3435"/>
    <w:rsid w:val="000B3797"/>
    <w:rsid w:val="000B390A"/>
    <w:rsid w:val="000B3A0E"/>
    <w:rsid w:val="000B3A32"/>
    <w:rsid w:val="000B3B02"/>
    <w:rsid w:val="000B3DCE"/>
    <w:rsid w:val="000B3DDF"/>
    <w:rsid w:val="000B4031"/>
    <w:rsid w:val="000B45FA"/>
    <w:rsid w:val="000B499E"/>
    <w:rsid w:val="000B4B02"/>
    <w:rsid w:val="000B4C08"/>
    <w:rsid w:val="000B4EE9"/>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2FB5"/>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87F"/>
    <w:rsid w:val="000C4A55"/>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24E"/>
    <w:rsid w:val="000D22E5"/>
    <w:rsid w:val="000D2315"/>
    <w:rsid w:val="000D23EC"/>
    <w:rsid w:val="000D2693"/>
    <w:rsid w:val="000D2884"/>
    <w:rsid w:val="000D2B9B"/>
    <w:rsid w:val="000D2E01"/>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8E"/>
    <w:rsid w:val="000D6DBF"/>
    <w:rsid w:val="000D6F1E"/>
    <w:rsid w:val="000D74EE"/>
    <w:rsid w:val="000D78E4"/>
    <w:rsid w:val="000D7987"/>
    <w:rsid w:val="000D7CF5"/>
    <w:rsid w:val="000D7DF0"/>
    <w:rsid w:val="000D7ED0"/>
    <w:rsid w:val="000D7FC1"/>
    <w:rsid w:val="000E0155"/>
    <w:rsid w:val="000E0199"/>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E87"/>
    <w:rsid w:val="000E3F2B"/>
    <w:rsid w:val="000E3F92"/>
    <w:rsid w:val="000E3FEA"/>
    <w:rsid w:val="000E42FC"/>
    <w:rsid w:val="000E4907"/>
    <w:rsid w:val="000E4AEA"/>
    <w:rsid w:val="000E4F8C"/>
    <w:rsid w:val="000E5166"/>
    <w:rsid w:val="000E56D4"/>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59"/>
    <w:rsid w:val="000E730A"/>
    <w:rsid w:val="000E7387"/>
    <w:rsid w:val="000E75EA"/>
    <w:rsid w:val="000E76FF"/>
    <w:rsid w:val="000E77FE"/>
    <w:rsid w:val="000E7974"/>
    <w:rsid w:val="000E7A9C"/>
    <w:rsid w:val="000E7AD3"/>
    <w:rsid w:val="000E7C44"/>
    <w:rsid w:val="000E7C56"/>
    <w:rsid w:val="000E7F23"/>
    <w:rsid w:val="000F066D"/>
    <w:rsid w:val="000F080E"/>
    <w:rsid w:val="000F09E6"/>
    <w:rsid w:val="000F0A1D"/>
    <w:rsid w:val="000F0BB5"/>
    <w:rsid w:val="000F0CA0"/>
    <w:rsid w:val="000F0CC8"/>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594"/>
    <w:rsid w:val="000F5911"/>
    <w:rsid w:val="000F5B75"/>
    <w:rsid w:val="000F5D01"/>
    <w:rsid w:val="000F5F56"/>
    <w:rsid w:val="000F5F63"/>
    <w:rsid w:val="000F61FE"/>
    <w:rsid w:val="000F63DE"/>
    <w:rsid w:val="000F64EC"/>
    <w:rsid w:val="000F689C"/>
    <w:rsid w:val="000F692B"/>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169"/>
    <w:rsid w:val="00102270"/>
    <w:rsid w:val="0010245C"/>
    <w:rsid w:val="0010274E"/>
    <w:rsid w:val="00102861"/>
    <w:rsid w:val="00102898"/>
    <w:rsid w:val="00102915"/>
    <w:rsid w:val="00102A36"/>
    <w:rsid w:val="001030A8"/>
    <w:rsid w:val="00103205"/>
    <w:rsid w:val="0010330C"/>
    <w:rsid w:val="0010348B"/>
    <w:rsid w:val="0010361D"/>
    <w:rsid w:val="001037F3"/>
    <w:rsid w:val="00103AA5"/>
    <w:rsid w:val="00103AAC"/>
    <w:rsid w:val="00103C49"/>
    <w:rsid w:val="00103C6F"/>
    <w:rsid w:val="00103DB4"/>
    <w:rsid w:val="00103EE7"/>
    <w:rsid w:val="00104199"/>
    <w:rsid w:val="00104292"/>
    <w:rsid w:val="0010470B"/>
    <w:rsid w:val="001047A0"/>
    <w:rsid w:val="00104816"/>
    <w:rsid w:val="0010495F"/>
    <w:rsid w:val="00104A5F"/>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C9"/>
    <w:rsid w:val="001067E9"/>
    <w:rsid w:val="00106890"/>
    <w:rsid w:val="001069DE"/>
    <w:rsid w:val="00106DBD"/>
    <w:rsid w:val="00106DC8"/>
    <w:rsid w:val="00106E7E"/>
    <w:rsid w:val="00106F2B"/>
    <w:rsid w:val="00106F2C"/>
    <w:rsid w:val="00107127"/>
    <w:rsid w:val="00107478"/>
    <w:rsid w:val="001074BA"/>
    <w:rsid w:val="001075E0"/>
    <w:rsid w:val="00107945"/>
    <w:rsid w:val="00107AEC"/>
    <w:rsid w:val="00107B9E"/>
    <w:rsid w:val="0011033C"/>
    <w:rsid w:val="001103E2"/>
    <w:rsid w:val="00110666"/>
    <w:rsid w:val="001107AD"/>
    <w:rsid w:val="00110E9E"/>
    <w:rsid w:val="00110F6D"/>
    <w:rsid w:val="00111086"/>
    <w:rsid w:val="001112D0"/>
    <w:rsid w:val="0011167E"/>
    <w:rsid w:val="001116B2"/>
    <w:rsid w:val="00111931"/>
    <w:rsid w:val="00111DC1"/>
    <w:rsid w:val="00111F09"/>
    <w:rsid w:val="00112076"/>
    <w:rsid w:val="00112118"/>
    <w:rsid w:val="00112195"/>
    <w:rsid w:val="001124A7"/>
    <w:rsid w:val="001127D8"/>
    <w:rsid w:val="001127F3"/>
    <w:rsid w:val="00112874"/>
    <w:rsid w:val="00112A24"/>
    <w:rsid w:val="00112D19"/>
    <w:rsid w:val="00112E8C"/>
    <w:rsid w:val="0011300D"/>
    <w:rsid w:val="001134DF"/>
    <w:rsid w:val="00113553"/>
    <w:rsid w:val="00113941"/>
    <w:rsid w:val="00113A1E"/>
    <w:rsid w:val="00113F86"/>
    <w:rsid w:val="001140F0"/>
    <w:rsid w:val="0011425D"/>
    <w:rsid w:val="00114327"/>
    <w:rsid w:val="0011456E"/>
    <w:rsid w:val="0011477C"/>
    <w:rsid w:val="00114926"/>
    <w:rsid w:val="00114C51"/>
    <w:rsid w:val="00114EC8"/>
    <w:rsid w:val="001151F1"/>
    <w:rsid w:val="001152E1"/>
    <w:rsid w:val="0011547C"/>
    <w:rsid w:val="001155DE"/>
    <w:rsid w:val="001156D4"/>
    <w:rsid w:val="001158DE"/>
    <w:rsid w:val="00115959"/>
    <w:rsid w:val="00115ABD"/>
    <w:rsid w:val="00115B62"/>
    <w:rsid w:val="00115D68"/>
    <w:rsid w:val="00115DAE"/>
    <w:rsid w:val="0011614D"/>
    <w:rsid w:val="0011638D"/>
    <w:rsid w:val="001164E8"/>
    <w:rsid w:val="00116526"/>
    <w:rsid w:val="00116629"/>
    <w:rsid w:val="00116978"/>
    <w:rsid w:val="001169B9"/>
    <w:rsid w:val="0011711E"/>
    <w:rsid w:val="0011715F"/>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0F6A"/>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BDC"/>
    <w:rsid w:val="00125C3D"/>
    <w:rsid w:val="00125E5A"/>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1FE"/>
    <w:rsid w:val="001302D4"/>
    <w:rsid w:val="00130409"/>
    <w:rsid w:val="00130B0E"/>
    <w:rsid w:val="00130B4A"/>
    <w:rsid w:val="00130DA0"/>
    <w:rsid w:val="00130E2F"/>
    <w:rsid w:val="00130F57"/>
    <w:rsid w:val="00130FFE"/>
    <w:rsid w:val="001312BF"/>
    <w:rsid w:val="00131375"/>
    <w:rsid w:val="001314F5"/>
    <w:rsid w:val="0013195C"/>
    <w:rsid w:val="00131D50"/>
    <w:rsid w:val="00131DD9"/>
    <w:rsid w:val="00131F49"/>
    <w:rsid w:val="00132231"/>
    <w:rsid w:val="001322C7"/>
    <w:rsid w:val="0013231D"/>
    <w:rsid w:val="001328CB"/>
    <w:rsid w:val="00132ECC"/>
    <w:rsid w:val="00133020"/>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884"/>
    <w:rsid w:val="0013597C"/>
    <w:rsid w:val="00135A3B"/>
    <w:rsid w:val="0013653A"/>
    <w:rsid w:val="00136546"/>
    <w:rsid w:val="0013655E"/>
    <w:rsid w:val="00136576"/>
    <w:rsid w:val="0013684F"/>
    <w:rsid w:val="00136986"/>
    <w:rsid w:val="001369D4"/>
    <w:rsid w:val="00136A12"/>
    <w:rsid w:val="00136AAA"/>
    <w:rsid w:val="00136BE3"/>
    <w:rsid w:val="00136F40"/>
    <w:rsid w:val="00137396"/>
    <w:rsid w:val="001376A2"/>
    <w:rsid w:val="0013775C"/>
    <w:rsid w:val="00137862"/>
    <w:rsid w:val="00137939"/>
    <w:rsid w:val="00137AF2"/>
    <w:rsid w:val="00137BCD"/>
    <w:rsid w:val="00137FE0"/>
    <w:rsid w:val="001400BC"/>
    <w:rsid w:val="00140152"/>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5CA"/>
    <w:rsid w:val="001456FF"/>
    <w:rsid w:val="0014582E"/>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806"/>
    <w:rsid w:val="00147A11"/>
    <w:rsid w:val="00147EC0"/>
    <w:rsid w:val="00147F53"/>
    <w:rsid w:val="00147F65"/>
    <w:rsid w:val="00147F78"/>
    <w:rsid w:val="001502C7"/>
    <w:rsid w:val="0015083A"/>
    <w:rsid w:val="001509A6"/>
    <w:rsid w:val="00150B12"/>
    <w:rsid w:val="00150CF4"/>
    <w:rsid w:val="0015101C"/>
    <w:rsid w:val="001511EA"/>
    <w:rsid w:val="00151885"/>
    <w:rsid w:val="00151CCC"/>
    <w:rsid w:val="00151D13"/>
    <w:rsid w:val="00151FA5"/>
    <w:rsid w:val="001520A1"/>
    <w:rsid w:val="0015210F"/>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B94"/>
    <w:rsid w:val="00156FB5"/>
    <w:rsid w:val="00157093"/>
    <w:rsid w:val="0015716F"/>
    <w:rsid w:val="001571C8"/>
    <w:rsid w:val="00157304"/>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1B67"/>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518"/>
    <w:rsid w:val="001647D1"/>
    <w:rsid w:val="001648E6"/>
    <w:rsid w:val="00164922"/>
    <w:rsid w:val="00164962"/>
    <w:rsid w:val="00164D31"/>
    <w:rsid w:val="00165014"/>
    <w:rsid w:val="0016527B"/>
    <w:rsid w:val="0016542D"/>
    <w:rsid w:val="001654D3"/>
    <w:rsid w:val="0016579B"/>
    <w:rsid w:val="001657BF"/>
    <w:rsid w:val="001658B0"/>
    <w:rsid w:val="001658C6"/>
    <w:rsid w:val="0016590F"/>
    <w:rsid w:val="00165E21"/>
    <w:rsid w:val="00165E31"/>
    <w:rsid w:val="001663D4"/>
    <w:rsid w:val="0016695E"/>
    <w:rsid w:val="00166ACE"/>
    <w:rsid w:val="00166CE4"/>
    <w:rsid w:val="00166DEA"/>
    <w:rsid w:val="00166FAB"/>
    <w:rsid w:val="001671DF"/>
    <w:rsid w:val="001672F5"/>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1CA6"/>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E0E"/>
    <w:rsid w:val="00173FA4"/>
    <w:rsid w:val="0017412C"/>
    <w:rsid w:val="00174372"/>
    <w:rsid w:val="00174470"/>
    <w:rsid w:val="001746E8"/>
    <w:rsid w:val="001747F0"/>
    <w:rsid w:val="00174841"/>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DD3"/>
    <w:rsid w:val="00176EF3"/>
    <w:rsid w:val="00176FA2"/>
    <w:rsid w:val="00177384"/>
    <w:rsid w:val="00177480"/>
    <w:rsid w:val="00177948"/>
    <w:rsid w:val="00177A63"/>
    <w:rsid w:val="00177CE0"/>
    <w:rsid w:val="00177FAC"/>
    <w:rsid w:val="00180364"/>
    <w:rsid w:val="00180984"/>
    <w:rsid w:val="00180A93"/>
    <w:rsid w:val="00180ABB"/>
    <w:rsid w:val="00180DA2"/>
    <w:rsid w:val="00181156"/>
    <w:rsid w:val="001811AF"/>
    <w:rsid w:val="0018176A"/>
    <w:rsid w:val="001819A4"/>
    <w:rsid w:val="00181A35"/>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689"/>
    <w:rsid w:val="001857E1"/>
    <w:rsid w:val="00185C67"/>
    <w:rsid w:val="00185CD9"/>
    <w:rsid w:val="00186556"/>
    <w:rsid w:val="001865C5"/>
    <w:rsid w:val="001866A6"/>
    <w:rsid w:val="00186816"/>
    <w:rsid w:val="0018681E"/>
    <w:rsid w:val="00186BAB"/>
    <w:rsid w:val="00186C60"/>
    <w:rsid w:val="00186D36"/>
    <w:rsid w:val="00187316"/>
    <w:rsid w:val="001873EE"/>
    <w:rsid w:val="0018740A"/>
    <w:rsid w:val="0018767B"/>
    <w:rsid w:val="0018795A"/>
    <w:rsid w:val="0018797E"/>
    <w:rsid w:val="00187A7A"/>
    <w:rsid w:val="00187DBA"/>
    <w:rsid w:val="00187F25"/>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BC0"/>
    <w:rsid w:val="001A005A"/>
    <w:rsid w:val="001A0278"/>
    <w:rsid w:val="001A0373"/>
    <w:rsid w:val="001A0FF0"/>
    <w:rsid w:val="001A11CF"/>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97"/>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9C"/>
    <w:rsid w:val="001B12D6"/>
    <w:rsid w:val="001B149F"/>
    <w:rsid w:val="001B159B"/>
    <w:rsid w:val="001B1622"/>
    <w:rsid w:val="001B1AF6"/>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183"/>
    <w:rsid w:val="001B6497"/>
    <w:rsid w:val="001B65C0"/>
    <w:rsid w:val="001B65F1"/>
    <w:rsid w:val="001B6735"/>
    <w:rsid w:val="001B67AD"/>
    <w:rsid w:val="001B6FBE"/>
    <w:rsid w:val="001B723C"/>
    <w:rsid w:val="001B7420"/>
    <w:rsid w:val="001B745B"/>
    <w:rsid w:val="001B745F"/>
    <w:rsid w:val="001B752D"/>
    <w:rsid w:val="001B774C"/>
    <w:rsid w:val="001B783C"/>
    <w:rsid w:val="001B7EE2"/>
    <w:rsid w:val="001C040F"/>
    <w:rsid w:val="001C0699"/>
    <w:rsid w:val="001C07F9"/>
    <w:rsid w:val="001C0C35"/>
    <w:rsid w:val="001C0D9E"/>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0F6"/>
    <w:rsid w:val="001C33AA"/>
    <w:rsid w:val="001C33D9"/>
    <w:rsid w:val="001C3703"/>
    <w:rsid w:val="001C376E"/>
    <w:rsid w:val="001C3798"/>
    <w:rsid w:val="001C3839"/>
    <w:rsid w:val="001C3C84"/>
    <w:rsid w:val="001C4114"/>
    <w:rsid w:val="001C4384"/>
    <w:rsid w:val="001C4453"/>
    <w:rsid w:val="001C4528"/>
    <w:rsid w:val="001C47FB"/>
    <w:rsid w:val="001C4A94"/>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6FBB"/>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777"/>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3BF"/>
    <w:rsid w:val="001D548D"/>
    <w:rsid w:val="001D54E8"/>
    <w:rsid w:val="001D5865"/>
    <w:rsid w:val="001D598A"/>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201B"/>
    <w:rsid w:val="001E21B5"/>
    <w:rsid w:val="001E2258"/>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644"/>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2D7"/>
    <w:rsid w:val="001F27F7"/>
    <w:rsid w:val="001F2BAF"/>
    <w:rsid w:val="001F2C29"/>
    <w:rsid w:val="001F2CE0"/>
    <w:rsid w:val="001F2ECC"/>
    <w:rsid w:val="001F30E4"/>
    <w:rsid w:val="001F3147"/>
    <w:rsid w:val="001F349D"/>
    <w:rsid w:val="001F39B8"/>
    <w:rsid w:val="001F3AC3"/>
    <w:rsid w:val="001F3D6D"/>
    <w:rsid w:val="001F3FA1"/>
    <w:rsid w:val="001F4076"/>
    <w:rsid w:val="001F41DA"/>
    <w:rsid w:val="001F446F"/>
    <w:rsid w:val="001F4A45"/>
    <w:rsid w:val="001F4AC8"/>
    <w:rsid w:val="001F55B2"/>
    <w:rsid w:val="001F55E5"/>
    <w:rsid w:val="001F59AA"/>
    <w:rsid w:val="001F5BD3"/>
    <w:rsid w:val="001F5CE7"/>
    <w:rsid w:val="001F5E21"/>
    <w:rsid w:val="001F5F45"/>
    <w:rsid w:val="001F66DF"/>
    <w:rsid w:val="001F66FF"/>
    <w:rsid w:val="001F6729"/>
    <w:rsid w:val="001F676E"/>
    <w:rsid w:val="001F6945"/>
    <w:rsid w:val="001F6A17"/>
    <w:rsid w:val="001F6A77"/>
    <w:rsid w:val="001F6B99"/>
    <w:rsid w:val="001F6BD1"/>
    <w:rsid w:val="001F701A"/>
    <w:rsid w:val="001F72E7"/>
    <w:rsid w:val="001F76AF"/>
    <w:rsid w:val="001F7761"/>
    <w:rsid w:val="001F7A97"/>
    <w:rsid w:val="001F7C72"/>
    <w:rsid w:val="0020000A"/>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6A9"/>
    <w:rsid w:val="002026C4"/>
    <w:rsid w:val="00202839"/>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29"/>
    <w:rsid w:val="00206240"/>
    <w:rsid w:val="00206244"/>
    <w:rsid w:val="002063C1"/>
    <w:rsid w:val="00206A2B"/>
    <w:rsid w:val="00206DBF"/>
    <w:rsid w:val="002071A4"/>
    <w:rsid w:val="0020722D"/>
    <w:rsid w:val="00207585"/>
    <w:rsid w:val="00207612"/>
    <w:rsid w:val="00207655"/>
    <w:rsid w:val="002079B7"/>
    <w:rsid w:val="00207A6E"/>
    <w:rsid w:val="00207D42"/>
    <w:rsid w:val="00207F18"/>
    <w:rsid w:val="002102D5"/>
    <w:rsid w:val="002102D9"/>
    <w:rsid w:val="00210333"/>
    <w:rsid w:val="00210744"/>
    <w:rsid w:val="0021083E"/>
    <w:rsid w:val="002108A0"/>
    <w:rsid w:val="002108E1"/>
    <w:rsid w:val="00210962"/>
    <w:rsid w:val="002109DA"/>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3061"/>
    <w:rsid w:val="002130F7"/>
    <w:rsid w:val="002131CD"/>
    <w:rsid w:val="00213350"/>
    <w:rsid w:val="002133C8"/>
    <w:rsid w:val="0021340D"/>
    <w:rsid w:val="002134C2"/>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382"/>
    <w:rsid w:val="00215436"/>
    <w:rsid w:val="002157A2"/>
    <w:rsid w:val="002158D5"/>
    <w:rsid w:val="0021590C"/>
    <w:rsid w:val="00215929"/>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9B9"/>
    <w:rsid w:val="00221E2A"/>
    <w:rsid w:val="00222039"/>
    <w:rsid w:val="002223AA"/>
    <w:rsid w:val="00222931"/>
    <w:rsid w:val="00222941"/>
    <w:rsid w:val="00222AF0"/>
    <w:rsid w:val="00223053"/>
    <w:rsid w:val="00223482"/>
    <w:rsid w:val="00223548"/>
    <w:rsid w:val="002236E9"/>
    <w:rsid w:val="00223CD9"/>
    <w:rsid w:val="00223FB5"/>
    <w:rsid w:val="002242B5"/>
    <w:rsid w:val="00224412"/>
    <w:rsid w:val="00224448"/>
    <w:rsid w:val="00224589"/>
    <w:rsid w:val="0022496F"/>
    <w:rsid w:val="00224A07"/>
    <w:rsid w:val="00224C14"/>
    <w:rsid w:val="00224DA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42A"/>
    <w:rsid w:val="002265AF"/>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B7C"/>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5A"/>
    <w:rsid w:val="002373C8"/>
    <w:rsid w:val="00237601"/>
    <w:rsid w:val="00237793"/>
    <w:rsid w:val="0023786E"/>
    <w:rsid w:val="00237A48"/>
    <w:rsid w:val="00237B5D"/>
    <w:rsid w:val="00237BF5"/>
    <w:rsid w:val="00237D6F"/>
    <w:rsid w:val="00237DCF"/>
    <w:rsid w:val="002408A3"/>
    <w:rsid w:val="002409FA"/>
    <w:rsid w:val="00240A9B"/>
    <w:rsid w:val="00240E85"/>
    <w:rsid w:val="00240EB1"/>
    <w:rsid w:val="00240F17"/>
    <w:rsid w:val="002418F0"/>
    <w:rsid w:val="00241BD6"/>
    <w:rsid w:val="00241E35"/>
    <w:rsid w:val="00241E40"/>
    <w:rsid w:val="00241E4E"/>
    <w:rsid w:val="00242345"/>
    <w:rsid w:val="00242B13"/>
    <w:rsid w:val="00242BC8"/>
    <w:rsid w:val="00242BF0"/>
    <w:rsid w:val="00242D5F"/>
    <w:rsid w:val="002432A1"/>
    <w:rsid w:val="00243631"/>
    <w:rsid w:val="002436BA"/>
    <w:rsid w:val="00243709"/>
    <w:rsid w:val="00243747"/>
    <w:rsid w:val="00243792"/>
    <w:rsid w:val="002438C9"/>
    <w:rsid w:val="002441F1"/>
    <w:rsid w:val="0024448F"/>
    <w:rsid w:val="00244530"/>
    <w:rsid w:val="00244690"/>
    <w:rsid w:val="0024487F"/>
    <w:rsid w:val="00244924"/>
    <w:rsid w:val="00244B9E"/>
    <w:rsid w:val="00244BC8"/>
    <w:rsid w:val="00244E53"/>
    <w:rsid w:val="00244F54"/>
    <w:rsid w:val="00244FDD"/>
    <w:rsid w:val="00245721"/>
    <w:rsid w:val="00245918"/>
    <w:rsid w:val="00245B47"/>
    <w:rsid w:val="00245BC5"/>
    <w:rsid w:val="00245DC7"/>
    <w:rsid w:val="00245E39"/>
    <w:rsid w:val="00246008"/>
    <w:rsid w:val="002460A6"/>
    <w:rsid w:val="0024661B"/>
    <w:rsid w:val="0024668E"/>
    <w:rsid w:val="002467C7"/>
    <w:rsid w:val="00246C5F"/>
    <w:rsid w:val="00247008"/>
    <w:rsid w:val="00247083"/>
    <w:rsid w:val="0024759B"/>
    <w:rsid w:val="00247748"/>
    <w:rsid w:val="002477D8"/>
    <w:rsid w:val="00247A62"/>
    <w:rsid w:val="00247FE3"/>
    <w:rsid w:val="00250186"/>
    <w:rsid w:val="00250220"/>
    <w:rsid w:val="0025056F"/>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1E"/>
    <w:rsid w:val="00254B4F"/>
    <w:rsid w:val="0025506B"/>
    <w:rsid w:val="002552A4"/>
    <w:rsid w:val="002552E6"/>
    <w:rsid w:val="002555DC"/>
    <w:rsid w:val="0025578E"/>
    <w:rsid w:val="0025592D"/>
    <w:rsid w:val="00255B03"/>
    <w:rsid w:val="00255CA1"/>
    <w:rsid w:val="0025611B"/>
    <w:rsid w:val="002565CB"/>
    <w:rsid w:val="00256643"/>
    <w:rsid w:val="00256686"/>
    <w:rsid w:val="00256B29"/>
    <w:rsid w:val="00256E61"/>
    <w:rsid w:val="002570E3"/>
    <w:rsid w:val="00257115"/>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91"/>
    <w:rsid w:val="00265CCF"/>
    <w:rsid w:val="00265D82"/>
    <w:rsid w:val="00265EE6"/>
    <w:rsid w:val="00266251"/>
    <w:rsid w:val="00266311"/>
    <w:rsid w:val="002666DF"/>
    <w:rsid w:val="00266757"/>
    <w:rsid w:val="00266870"/>
    <w:rsid w:val="00267006"/>
    <w:rsid w:val="0026717F"/>
    <w:rsid w:val="002672DF"/>
    <w:rsid w:val="002673D9"/>
    <w:rsid w:val="00267710"/>
    <w:rsid w:val="00267904"/>
    <w:rsid w:val="0026791C"/>
    <w:rsid w:val="00267D04"/>
    <w:rsid w:val="00267D7F"/>
    <w:rsid w:val="002701DE"/>
    <w:rsid w:val="002705F0"/>
    <w:rsid w:val="00270EE0"/>
    <w:rsid w:val="00271142"/>
    <w:rsid w:val="00271465"/>
    <w:rsid w:val="0027195B"/>
    <w:rsid w:val="00271DF6"/>
    <w:rsid w:val="00271F19"/>
    <w:rsid w:val="002724CD"/>
    <w:rsid w:val="00272516"/>
    <w:rsid w:val="00272786"/>
    <w:rsid w:val="002727F5"/>
    <w:rsid w:val="0027290F"/>
    <w:rsid w:val="00272A2D"/>
    <w:rsid w:val="00272ADF"/>
    <w:rsid w:val="00272B57"/>
    <w:rsid w:val="00272DC6"/>
    <w:rsid w:val="00272E0F"/>
    <w:rsid w:val="002731BC"/>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6D"/>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2F8B"/>
    <w:rsid w:val="002832CD"/>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402"/>
    <w:rsid w:val="00285553"/>
    <w:rsid w:val="0028580C"/>
    <w:rsid w:val="002858FD"/>
    <w:rsid w:val="002859F5"/>
    <w:rsid w:val="002861F2"/>
    <w:rsid w:val="0028634F"/>
    <w:rsid w:val="0028665E"/>
    <w:rsid w:val="00286861"/>
    <w:rsid w:val="002868DE"/>
    <w:rsid w:val="00286B54"/>
    <w:rsid w:val="00286E9F"/>
    <w:rsid w:val="0028703F"/>
    <w:rsid w:val="0028708B"/>
    <w:rsid w:val="002871F7"/>
    <w:rsid w:val="00287484"/>
    <w:rsid w:val="002874D1"/>
    <w:rsid w:val="002875F1"/>
    <w:rsid w:val="002878CC"/>
    <w:rsid w:val="00287B58"/>
    <w:rsid w:val="00287FD4"/>
    <w:rsid w:val="00290369"/>
    <w:rsid w:val="00290733"/>
    <w:rsid w:val="00290BB3"/>
    <w:rsid w:val="00290DD2"/>
    <w:rsid w:val="00290E2F"/>
    <w:rsid w:val="002911D1"/>
    <w:rsid w:val="002916B9"/>
    <w:rsid w:val="00291700"/>
    <w:rsid w:val="00291C44"/>
    <w:rsid w:val="00291D77"/>
    <w:rsid w:val="00291E9C"/>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1B"/>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264"/>
    <w:rsid w:val="00296DF4"/>
    <w:rsid w:val="00296E3D"/>
    <w:rsid w:val="00296F44"/>
    <w:rsid w:val="0029738F"/>
    <w:rsid w:val="00297754"/>
    <w:rsid w:val="002977C9"/>
    <w:rsid w:val="00297C4B"/>
    <w:rsid w:val="00297C6E"/>
    <w:rsid w:val="00297E0C"/>
    <w:rsid w:val="00297FF3"/>
    <w:rsid w:val="002A014A"/>
    <w:rsid w:val="002A0175"/>
    <w:rsid w:val="002A0347"/>
    <w:rsid w:val="002A03C3"/>
    <w:rsid w:val="002A04D0"/>
    <w:rsid w:val="002A0585"/>
    <w:rsid w:val="002A05DD"/>
    <w:rsid w:val="002A06BB"/>
    <w:rsid w:val="002A0824"/>
    <w:rsid w:val="002A0D79"/>
    <w:rsid w:val="002A0F80"/>
    <w:rsid w:val="002A13F4"/>
    <w:rsid w:val="002A19B0"/>
    <w:rsid w:val="002A223A"/>
    <w:rsid w:val="002A2688"/>
    <w:rsid w:val="002A2B20"/>
    <w:rsid w:val="002A2B51"/>
    <w:rsid w:val="002A2C05"/>
    <w:rsid w:val="002A2C1B"/>
    <w:rsid w:val="002A2D88"/>
    <w:rsid w:val="002A2E97"/>
    <w:rsid w:val="002A3513"/>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B90"/>
    <w:rsid w:val="002A5F88"/>
    <w:rsid w:val="002A6022"/>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0CA5"/>
    <w:rsid w:val="002B1011"/>
    <w:rsid w:val="002B1174"/>
    <w:rsid w:val="002B13BC"/>
    <w:rsid w:val="002B141A"/>
    <w:rsid w:val="002B1750"/>
    <w:rsid w:val="002B188B"/>
    <w:rsid w:val="002B1914"/>
    <w:rsid w:val="002B1D05"/>
    <w:rsid w:val="002B2292"/>
    <w:rsid w:val="002B230C"/>
    <w:rsid w:val="002B2366"/>
    <w:rsid w:val="002B2574"/>
    <w:rsid w:val="002B2994"/>
    <w:rsid w:val="002B2A7D"/>
    <w:rsid w:val="002B2EEB"/>
    <w:rsid w:val="002B3246"/>
    <w:rsid w:val="002B3270"/>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AC3"/>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B7E97"/>
    <w:rsid w:val="002C0123"/>
    <w:rsid w:val="002C0180"/>
    <w:rsid w:val="002C023A"/>
    <w:rsid w:val="002C08A9"/>
    <w:rsid w:val="002C0CF5"/>
    <w:rsid w:val="002C0F49"/>
    <w:rsid w:val="002C0F75"/>
    <w:rsid w:val="002C1293"/>
    <w:rsid w:val="002C1952"/>
    <w:rsid w:val="002C1AE6"/>
    <w:rsid w:val="002C1F15"/>
    <w:rsid w:val="002C1F94"/>
    <w:rsid w:val="002C1FBA"/>
    <w:rsid w:val="002C2222"/>
    <w:rsid w:val="002C251F"/>
    <w:rsid w:val="002C25E5"/>
    <w:rsid w:val="002C25E7"/>
    <w:rsid w:val="002C2693"/>
    <w:rsid w:val="002C28F8"/>
    <w:rsid w:val="002C2BF0"/>
    <w:rsid w:val="002C2C5C"/>
    <w:rsid w:val="002C2FAF"/>
    <w:rsid w:val="002C2FCB"/>
    <w:rsid w:val="002C3355"/>
    <w:rsid w:val="002C3428"/>
    <w:rsid w:val="002C3604"/>
    <w:rsid w:val="002C3692"/>
    <w:rsid w:val="002C36C2"/>
    <w:rsid w:val="002C3A30"/>
    <w:rsid w:val="002C3C43"/>
    <w:rsid w:val="002C3CB2"/>
    <w:rsid w:val="002C4210"/>
    <w:rsid w:val="002C4278"/>
    <w:rsid w:val="002C42B8"/>
    <w:rsid w:val="002C47BA"/>
    <w:rsid w:val="002C4F68"/>
    <w:rsid w:val="002C4FA0"/>
    <w:rsid w:val="002C552B"/>
    <w:rsid w:val="002C55B0"/>
    <w:rsid w:val="002C568C"/>
    <w:rsid w:val="002C5913"/>
    <w:rsid w:val="002C5C77"/>
    <w:rsid w:val="002C5E38"/>
    <w:rsid w:val="002C60B9"/>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C93"/>
    <w:rsid w:val="002D0DCC"/>
    <w:rsid w:val="002D117A"/>
    <w:rsid w:val="002D12E1"/>
    <w:rsid w:val="002D160A"/>
    <w:rsid w:val="002D188D"/>
    <w:rsid w:val="002D1A2D"/>
    <w:rsid w:val="002D1CDB"/>
    <w:rsid w:val="002D1F53"/>
    <w:rsid w:val="002D201E"/>
    <w:rsid w:val="002D20A8"/>
    <w:rsid w:val="002D20C7"/>
    <w:rsid w:val="002D2303"/>
    <w:rsid w:val="002D2824"/>
    <w:rsid w:val="002D2A21"/>
    <w:rsid w:val="002D2AAF"/>
    <w:rsid w:val="002D2DC9"/>
    <w:rsid w:val="002D2FE7"/>
    <w:rsid w:val="002D33BF"/>
    <w:rsid w:val="002D355D"/>
    <w:rsid w:val="002D35F9"/>
    <w:rsid w:val="002D38C8"/>
    <w:rsid w:val="002D3A36"/>
    <w:rsid w:val="002D3B29"/>
    <w:rsid w:val="002D3BD5"/>
    <w:rsid w:val="002D3C5F"/>
    <w:rsid w:val="002D41AF"/>
    <w:rsid w:val="002D4395"/>
    <w:rsid w:val="002D43A5"/>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05D"/>
    <w:rsid w:val="002D7163"/>
    <w:rsid w:val="002D74DA"/>
    <w:rsid w:val="002D76A1"/>
    <w:rsid w:val="002D7724"/>
    <w:rsid w:val="002D7762"/>
    <w:rsid w:val="002D79F0"/>
    <w:rsid w:val="002D7BAA"/>
    <w:rsid w:val="002D7BFF"/>
    <w:rsid w:val="002D7D16"/>
    <w:rsid w:val="002D7E26"/>
    <w:rsid w:val="002E0294"/>
    <w:rsid w:val="002E048B"/>
    <w:rsid w:val="002E072C"/>
    <w:rsid w:val="002E0776"/>
    <w:rsid w:val="002E0A2C"/>
    <w:rsid w:val="002E0AC3"/>
    <w:rsid w:val="002E0BE3"/>
    <w:rsid w:val="002E0C44"/>
    <w:rsid w:val="002E0D9C"/>
    <w:rsid w:val="002E0DB5"/>
    <w:rsid w:val="002E113A"/>
    <w:rsid w:val="002E14AA"/>
    <w:rsid w:val="002E1692"/>
    <w:rsid w:val="002E1719"/>
    <w:rsid w:val="002E189A"/>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E28"/>
    <w:rsid w:val="002E5F38"/>
    <w:rsid w:val="002E6029"/>
    <w:rsid w:val="002E606F"/>
    <w:rsid w:val="002E60EB"/>
    <w:rsid w:val="002E63E9"/>
    <w:rsid w:val="002E6B46"/>
    <w:rsid w:val="002E6C23"/>
    <w:rsid w:val="002E6C38"/>
    <w:rsid w:val="002E6DA5"/>
    <w:rsid w:val="002E719E"/>
    <w:rsid w:val="002E74F0"/>
    <w:rsid w:val="002E7518"/>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101"/>
    <w:rsid w:val="002F3796"/>
    <w:rsid w:val="002F37D9"/>
    <w:rsid w:val="002F3834"/>
    <w:rsid w:val="002F3A1A"/>
    <w:rsid w:val="002F3BB5"/>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753"/>
    <w:rsid w:val="002F6956"/>
    <w:rsid w:val="002F69F6"/>
    <w:rsid w:val="002F6C21"/>
    <w:rsid w:val="002F6DC9"/>
    <w:rsid w:val="00300110"/>
    <w:rsid w:val="003002B7"/>
    <w:rsid w:val="0030041A"/>
    <w:rsid w:val="0030087F"/>
    <w:rsid w:val="00300DE3"/>
    <w:rsid w:val="00301094"/>
    <w:rsid w:val="003012A3"/>
    <w:rsid w:val="0030130B"/>
    <w:rsid w:val="00301462"/>
    <w:rsid w:val="003014C4"/>
    <w:rsid w:val="00301599"/>
    <w:rsid w:val="003016A4"/>
    <w:rsid w:val="0030179B"/>
    <w:rsid w:val="00301905"/>
    <w:rsid w:val="00302006"/>
    <w:rsid w:val="00302341"/>
    <w:rsid w:val="0030238D"/>
    <w:rsid w:val="003024A5"/>
    <w:rsid w:val="00302BA4"/>
    <w:rsid w:val="00302CAD"/>
    <w:rsid w:val="00302D48"/>
    <w:rsid w:val="00302DFB"/>
    <w:rsid w:val="003031B1"/>
    <w:rsid w:val="0030357F"/>
    <w:rsid w:val="0030362C"/>
    <w:rsid w:val="00303CF0"/>
    <w:rsid w:val="00304044"/>
    <w:rsid w:val="003044AD"/>
    <w:rsid w:val="003046B9"/>
    <w:rsid w:val="003046C9"/>
    <w:rsid w:val="0030477A"/>
    <w:rsid w:val="003047F6"/>
    <w:rsid w:val="00304A09"/>
    <w:rsid w:val="00304A6D"/>
    <w:rsid w:val="00304BC2"/>
    <w:rsid w:val="00304BCC"/>
    <w:rsid w:val="00304D10"/>
    <w:rsid w:val="00304D25"/>
    <w:rsid w:val="00304DA4"/>
    <w:rsid w:val="003055ED"/>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0C"/>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C19"/>
    <w:rsid w:val="00313E3E"/>
    <w:rsid w:val="00313E4A"/>
    <w:rsid w:val="003144EF"/>
    <w:rsid w:val="0031496F"/>
    <w:rsid w:val="00314ACD"/>
    <w:rsid w:val="00314D76"/>
    <w:rsid w:val="0031526B"/>
    <w:rsid w:val="00315316"/>
    <w:rsid w:val="00315317"/>
    <w:rsid w:val="0031534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8BB"/>
    <w:rsid w:val="00320C8E"/>
    <w:rsid w:val="00321079"/>
    <w:rsid w:val="003210AB"/>
    <w:rsid w:val="003217AA"/>
    <w:rsid w:val="003219C0"/>
    <w:rsid w:val="00321C03"/>
    <w:rsid w:val="00321C73"/>
    <w:rsid w:val="00321D13"/>
    <w:rsid w:val="003220A5"/>
    <w:rsid w:val="003220B0"/>
    <w:rsid w:val="003223CC"/>
    <w:rsid w:val="003224CF"/>
    <w:rsid w:val="0032288E"/>
    <w:rsid w:val="00322896"/>
    <w:rsid w:val="00322B81"/>
    <w:rsid w:val="0032305D"/>
    <w:rsid w:val="00323217"/>
    <w:rsid w:val="00323477"/>
    <w:rsid w:val="0032354A"/>
    <w:rsid w:val="00323586"/>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52B"/>
    <w:rsid w:val="0032680E"/>
    <w:rsid w:val="003268BF"/>
    <w:rsid w:val="00326ADF"/>
    <w:rsid w:val="00326E22"/>
    <w:rsid w:val="00326F4E"/>
    <w:rsid w:val="00326F4F"/>
    <w:rsid w:val="0032709C"/>
    <w:rsid w:val="003278CB"/>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85"/>
    <w:rsid w:val="003401EB"/>
    <w:rsid w:val="0034028D"/>
    <w:rsid w:val="003403ED"/>
    <w:rsid w:val="00340921"/>
    <w:rsid w:val="00340CD0"/>
    <w:rsid w:val="00340D08"/>
    <w:rsid w:val="00340E59"/>
    <w:rsid w:val="00340E83"/>
    <w:rsid w:val="00340EE6"/>
    <w:rsid w:val="00340F3A"/>
    <w:rsid w:val="00340FAC"/>
    <w:rsid w:val="00341389"/>
    <w:rsid w:val="003418D1"/>
    <w:rsid w:val="00341B73"/>
    <w:rsid w:val="00341DFC"/>
    <w:rsid w:val="00342143"/>
    <w:rsid w:val="0034214F"/>
    <w:rsid w:val="00342475"/>
    <w:rsid w:val="003427F9"/>
    <w:rsid w:val="003428BA"/>
    <w:rsid w:val="00342A8A"/>
    <w:rsid w:val="00342DD9"/>
    <w:rsid w:val="003430A7"/>
    <w:rsid w:val="00343284"/>
    <w:rsid w:val="00343617"/>
    <w:rsid w:val="003436B4"/>
    <w:rsid w:val="003436BE"/>
    <w:rsid w:val="003438B2"/>
    <w:rsid w:val="003439F9"/>
    <w:rsid w:val="00343BC4"/>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B3A"/>
    <w:rsid w:val="00346E56"/>
    <w:rsid w:val="0034747B"/>
    <w:rsid w:val="003475D0"/>
    <w:rsid w:val="00347D4C"/>
    <w:rsid w:val="00347F9C"/>
    <w:rsid w:val="0035033C"/>
    <w:rsid w:val="00350576"/>
    <w:rsid w:val="00350694"/>
    <w:rsid w:val="00350D9A"/>
    <w:rsid w:val="00350EC6"/>
    <w:rsid w:val="0035125A"/>
    <w:rsid w:val="003512A1"/>
    <w:rsid w:val="003513B2"/>
    <w:rsid w:val="003515A0"/>
    <w:rsid w:val="003518E1"/>
    <w:rsid w:val="00351E32"/>
    <w:rsid w:val="00351F6B"/>
    <w:rsid w:val="00351FD6"/>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D01"/>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2FB"/>
    <w:rsid w:val="00360319"/>
    <w:rsid w:val="00360673"/>
    <w:rsid w:val="0036083E"/>
    <w:rsid w:val="003609A1"/>
    <w:rsid w:val="00360A0D"/>
    <w:rsid w:val="00360E14"/>
    <w:rsid w:val="00360E9C"/>
    <w:rsid w:val="003610F7"/>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86F"/>
    <w:rsid w:val="00362B27"/>
    <w:rsid w:val="00362C0A"/>
    <w:rsid w:val="00362D2D"/>
    <w:rsid w:val="00362F9B"/>
    <w:rsid w:val="0036337E"/>
    <w:rsid w:val="003633D2"/>
    <w:rsid w:val="00363593"/>
    <w:rsid w:val="003639B4"/>
    <w:rsid w:val="00363CC4"/>
    <w:rsid w:val="00363CF6"/>
    <w:rsid w:val="00363D8A"/>
    <w:rsid w:val="00363E09"/>
    <w:rsid w:val="00363E49"/>
    <w:rsid w:val="00363E86"/>
    <w:rsid w:val="00363EA3"/>
    <w:rsid w:val="00363EC5"/>
    <w:rsid w:val="00363F40"/>
    <w:rsid w:val="00363F54"/>
    <w:rsid w:val="00363FEE"/>
    <w:rsid w:val="003641C2"/>
    <w:rsid w:val="003643A8"/>
    <w:rsid w:val="0036452F"/>
    <w:rsid w:val="003647A6"/>
    <w:rsid w:val="00364877"/>
    <w:rsid w:val="003649B8"/>
    <w:rsid w:val="00364C25"/>
    <w:rsid w:val="00364C42"/>
    <w:rsid w:val="00365076"/>
    <w:rsid w:val="00365162"/>
    <w:rsid w:val="00365212"/>
    <w:rsid w:val="003654F8"/>
    <w:rsid w:val="00365517"/>
    <w:rsid w:val="0036578A"/>
    <w:rsid w:val="00365859"/>
    <w:rsid w:val="00365CC5"/>
    <w:rsid w:val="00365CCE"/>
    <w:rsid w:val="00365DDA"/>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3D29"/>
    <w:rsid w:val="0037406D"/>
    <w:rsid w:val="00374225"/>
    <w:rsid w:val="003743AC"/>
    <w:rsid w:val="0037440A"/>
    <w:rsid w:val="003746CE"/>
    <w:rsid w:val="003746F3"/>
    <w:rsid w:val="00374A3D"/>
    <w:rsid w:val="00374B9A"/>
    <w:rsid w:val="00374CEE"/>
    <w:rsid w:val="00374F84"/>
    <w:rsid w:val="003750A9"/>
    <w:rsid w:val="003752AA"/>
    <w:rsid w:val="00375841"/>
    <w:rsid w:val="003758B7"/>
    <w:rsid w:val="00375C8D"/>
    <w:rsid w:val="00375D02"/>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9DE"/>
    <w:rsid w:val="00381B1D"/>
    <w:rsid w:val="00381C13"/>
    <w:rsid w:val="00382249"/>
    <w:rsid w:val="00382296"/>
    <w:rsid w:val="00382317"/>
    <w:rsid w:val="00382411"/>
    <w:rsid w:val="00382815"/>
    <w:rsid w:val="0038285F"/>
    <w:rsid w:val="0038298B"/>
    <w:rsid w:val="0038298C"/>
    <w:rsid w:val="003829E8"/>
    <w:rsid w:val="00382C51"/>
    <w:rsid w:val="003830D9"/>
    <w:rsid w:val="00383277"/>
    <w:rsid w:val="00383380"/>
    <w:rsid w:val="003834EA"/>
    <w:rsid w:val="00383555"/>
    <w:rsid w:val="003837A3"/>
    <w:rsid w:val="00383812"/>
    <w:rsid w:val="00383827"/>
    <w:rsid w:val="00383832"/>
    <w:rsid w:val="00383BCC"/>
    <w:rsid w:val="00383EC8"/>
    <w:rsid w:val="00384424"/>
    <w:rsid w:val="0038449A"/>
    <w:rsid w:val="0038465E"/>
    <w:rsid w:val="003846D0"/>
    <w:rsid w:val="0038475B"/>
    <w:rsid w:val="0038490B"/>
    <w:rsid w:val="00384D27"/>
    <w:rsid w:val="00384D2D"/>
    <w:rsid w:val="00384FAB"/>
    <w:rsid w:val="00385243"/>
    <w:rsid w:val="00385290"/>
    <w:rsid w:val="00385779"/>
    <w:rsid w:val="0038584C"/>
    <w:rsid w:val="00385AA5"/>
    <w:rsid w:val="00385E44"/>
    <w:rsid w:val="0038618A"/>
    <w:rsid w:val="003861DF"/>
    <w:rsid w:val="00386274"/>
    <w:rsid w:val="00386449"/>
    <w:rsid w:val="003864DA"/>
    <w:rsid w:val="003868B3"/>
    <w:rsid w:val="00386B7A"/>
    <w:rsid w:val="00386D0F"/>
    <w:rsid w:val="00386F37"/>
    <w:rsid w:val="00386F6A"/>
    <w:rsid w:val="00387093"/>
    <w:rsid w:val="00387110"/>
    <w:rsid w:val="003873DC"/>
    <w:rsid w:val="003874D9"/>
    <w:rsid w:val="003874F2"/>
    <w:rsid w:val="003875E0"/>
    <w:rsid w:val="00387986"/>
    <w:rsid w:val="00387CA0"/>
    <w:rsid w:val="00387CAD"/>
    <w:rsid w:val="00390023"/>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B25"/>
    <w:rsid w:val="00391E13"/>
    <w:rsid w:val="00392292"/>
    <w:rsid w:val="003924B1"/>
    <w:rsid w:val="003925A2"/>
    <w:rsid w:val="00392734"/>
    <w:rsid w:val="0039275F"/>
    <w:rsid w:val="003927D2"/>
    <w:rsid w:val="00392989"/>
    <w:rsid w:val="00392BD7"/>
    <w:rsid w:val="00392D16"/>
    <w:rsid w:val="00392D6F"/>
    <w:rsid w:val="00392E96"/>
    <w:rsid w:val="00393302"/>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57A3"/>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D4"/>
    <w:rsid w:val="003A4555"/>
    <w:rsid w:val="003A4AE3"/>
    <w:rsid w:val="003A4B75"/>
    <w:rsid w:val="003A4BF7"/>
    <w:rsid w:val="003A4CE3"/>
    <w:rsid w:val="003A4D99"/>
    <w:rsid w:val="003A55AE"/>
    <w:rsid w:val="003A573F"/>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4BC"/>
    <w:rsid w:val="003B1596"/>
    <w:rsid w:val="003B1B3C"/>
    <w:rsid w:val="003B1C2B"/>
    <w:rsid w:val="003B1C94"/>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50F"/>
    <w:rsid w:val="003B47FA"/>
    <w:rsid w:val="003B485F"/>
    <w:rsid w:val="003B488A"/>
    <w:rsid w:val="003B4A34"/>
    <w:rsid w:val="003B4BFA"/>
    <w:rsid w:val="003B4C95"/>
    <w:rsid w:val="003B4FA0"/>
    <w:rsid w:val="003B5034"/>
    <w:rsid w:val="003B52CA"/>
    <w:rsid w:val="003B5547"/>
    <w:rsid w:val="003B5564"/>
    <w:rsid w:val="003B56D2"/>
    <w:rsid w:val="003B5745"/>
    <w:rsid w:val="003B5841"/>
    <w:rsid w:val="003B5A1E"/>
    <w:rsid w:val="003B5B1E"/>
    <w:rsid w:val="003B5C6A"/>
    <w:rsid w:val="003B5EE3"/>
    <w:rsid w:val="003B609B"/>
    <w:rsid w:val="003B6497"/>
    <w:rsid w:val="003B6597"/>
    <w:rsid w:val="003B6D38"/>
    <w:rsid w:val="003B7158"/>
    <w:rsid w:val="003B7171"/>
    <w:rsid w:val="003B7CCF"/>
    <w:rsid w:val="003C02E8"/>
    <w:rsid w:val="003C0343"/>
    <w:rsid w:val="003C0488"/>
    <w:rsid w:val="003C06D9"/>
    <w:rsid w:val="003C0A0F"/>
    <w:rsid w:val="003C0A78"/>
    <w:rsid w:val="003C105C"/>
    <w:rsid w:val="003C106E"/>
    <w:rsid w:val="003C11F5"/>
    <w:rsid w:val="003C1852"/>
    <w:rsid w:val="003C1AE0"/>
    <w:rsid w:val="003C1AE3"/>
    <w:rsid w:val="003C1DA3"/>
    <w:rsid w:val="003C212E"/>
    <w:rsid w:val="003C2453"/>
    <w:rsid w:val="003C254B"/>
    <w:rsid w:val="003C283C"/>
    <w:rsid w:val="003C290D"/>
    <w:rsid w:val="003C29AB"/>
    <w:rsid w:val="003C2FBB"/>
    <w:rsid w:val="003C3008"/>
    <w:rsid w:val="003C303E"/>
    <w:rsid w:val="003C32E3"/>
    <w:rsid w:val="003C342E"/>
    <w:rsid w:val="003C355F"/>
    <w:rsid w:val="003C35DC"/>
    <w:rsid w:val="003C39C5"/>
    <w:rsid w:val="003C3B04"/>
    <w:rsid w:val="003C3DDA"/>
    <w:rsid w:val="003C47C3"/>
    <w:rsid w:val="003C49B4"/>
    <w:rsid w:val="003C4BF5"/>
    <w:rsid w:val="003C4C03"/>
    <w:rsid w:val="003C4C39"/>
    <w:rsid w:val="003C4E29"/>
    <w:rsid w:val="003C5208"/>
    <w:rsid w:val="003C528D"/>
    <w:rsid w:val="003C583C"/>
    <w:rsid w:val="003C5E42"/>
    <w:rsid w:val="003C5F6F"/>
    <w:rsid w:val="003C620F"/>
    <w:rsid w:val="003C6248"/>
    <w:rsid w:val="003C6535"/>
    <w:rsid w:val="003C65F4"/>
    <w:rsid w:val="003C6647"/>
    <w:rsid w:val="003C6781"/>
    <w:rsid w:val="003C68D8"/>
    <w:rsid w:val="003C69BB"/>
    <w:rsid w:val="003C6BC9"/>
    <w:rsid w:val="003C7067"/>
    <w:rsid w:val="003C73CC"/>
    <w:rsid w:val="003C7734"/>
    <w:rsid w:val="003C78A5"/>
    <w:rsid w:val="003C7DFB"/>
    <w:rsid w:val="003D018E"/>
    <w:rsid w:val="003D09A3"/>
    <w:rsid w:val="003D0D44"/>
    <w:rsid w:val="003D1078"/>
    <w:rsid w:val="003D125C"/>
    <w:rsid w:val="003D1402"/>
    <w:rsid w:val="003D14B7"/>
    <w:rsid w:val="003D198E"/>
    <w:rsid w:val="003D1E36"/>
    <w:rsid w:val="003D1E3A"/>
    <w:rsid w:val="003D1E5E"/>
    <w:rsid w:val="003D2007"/>
    <w:rsid w:val="003D2036"/>
    <w:rsid w:val="003D231E"/>
    <w:rsid w:val="003D2359"/>
    <w:rsid w:val="003D270C"/>
    <w:rsid w:val="003D2A4B"/>
    <w:rsid w:val="003D2AE1"/>
    <w:rsid w:val="003D2AF4"/>
    <w:rsid w:val="003D2B44"/>
    <w:rsid w:val="003D2D0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27"/>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1AF"/>
    <w:rsid w:val="003D71FB"/>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17E"/>
    <w:rsid w:val="003E126B"/>
    <w:rsid w:val="003E141E"/>
    <w:rsid w:val="003E1502"/>
    <w:rsid w:val="003E15FD"/>
    <w:rsid w:val="003E16BF"/>
    <w:rsid w:val="003E1762"/>
    <w:rsid w:val="003E1A95"/>
    <w:rsid w:val="003E1AB7"/>
    <w:rsid w:val="003E1B4F"/>
    <w:rsid w:val="003E1BAA"/>
    <w:rsid w:val="003E1DCF"/>
    <w:rsid w:val="003E1F9E"/>
    <w:rsid w:val="003E2399"/>
    <w:rsid w:val="003E247A"/>
    <w:rsid w:val="003E25E2"/>
    <w:rsid w:val="003E262F"/>
    <w:rsid w:val="003E2C63"/>
    <w:rsid w:val="003E2C69"/>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AFB"/>
    <w:rsid w:val="003E4D98"/>
    <w:rsid w:val="003E50AD"/>
    <w:rsid w:val="003E5154"/>
    <w:rsid w:val="003E532D"/>
    <w:rsid w:val="003E55D8"/>
    <w:rsid w:val="003E565D"/>
    <w:rsid w:val="003E58DE"/>
    <w:rsid w:val="003E5A76"/>
    <w:rsid w:val="003E5D8D"/>
    <w:rsid w:val="003E5EFA"/>
    <w:rsid w:val="003E6027"/>
    <w:rsid w:val="003E6120"/>
    <w:rsid w:val="003E6487"/>
    <w:rsid w:val="003E655F"/>
    <w:rsid w:val="003E67A8"/>
    <w:rsid w:val="003E6A5F"/>
    <w:rsid w:val="003E6A6F"/>
    <w:rsid w:val="003E6B1B"/>
    <w:rsid w:val="003E6D1B"/>
    <w:rsid w:val="003E6D50"/>
    <w:rsid w:val="003E6E4B"/>
    <w:rsid w:val="003E6EB8"/>
    <w:rsid w:val="003E762D"/>
    <w:rsid w:val="003E76FB"/>
    <w:rsid w:val="003E7AB9"/>
    <w:rsid w:val="003F027D"/>
    <w:rsid w:val="003F02B7"/>
    <w:rsid w:val="003F031E"/>
    <w:rsid w:val="003F047D"/>
    <w:rsid w:val="003F048F"/>
    <w:rsid w:val="003F0515"/>
    <w:rsid w:val="003F05B1"/>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2F0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2FC"/>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A62"/>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799"/>
    <w:rsid w:val="0040591E"/>
    <w:rsid w:val="004059EC"/>
    <w:rsid w:val="00405C98"/>
    <w:rsid w:val="00405D9A"/>
    <w:rsid w:val="00405DEA"/>
    <w:rsid w:val="00405ECF"/>
    <w:rsid w:val="00405FB9"/>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D19"/>
    <w:rsid w:val="00407D57"/>
    <w:rsid w:val="0041016C"/>
    <w:rsid w:val="00410181"/>
    <w:rsid w:val="004103AE"/>
    <w:rsid w:val="0041044D"/>
    <w:rsid w:val="0041099B"/>
    <w:rsid w:val="00410A67"/>
    <w:rsid w:val="00410D28"/>
    <w:rsid w:val="00410DEA"/>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6CB"/>
    <w:rsid w:val="00414853"/>
    <w:rsid w:val="0041491E"/>
    <w:rsid w:val="00414A33"/>
    <w:rsid w:val="00414A42"/>
    <w:rsid w:val="00414AF9"/>
    <w:rsid w:val="00414B51"/>
    <w:rsid w:val="00414EA7"/>
    <w:rsid w:val="00415170"/>
    <w:rsid w:val="00415211"/>
    <w:rsid w:val="004154F2"/>
    <w:rsid w:val="00415523"/>
    <w:rsid w:val="004155F4"/>
    <w:rsid w:val="004156F1"/>
    <w:rsid w:val="00415700"/>
    <w:rsid w:val="004158E8"/>
    <w:rsid w:val="004158FB"/>
    <w:rsid w:val="00415F7E"/>
    <w:rsid w:val="00415FAD"/>
    <w:rsid w:val="00415FD4"/>
    <w:rsid w:val="00416137"/>
    <w:rsid w:val="0041616A"/>
    <w:rsid w:val="00416238"/>
    <w:rsid w:val="00416598"/>
    <w:rsid w:val="004165BA"/>
    <w:rsid w:val="00416653"/>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17FF1"/>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3FC5"/>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A7"/>
    <w:rsid w:val="00425EE2"/>
    <w:rsid w:val="00426017"/>
    <w:rsid w:val="004260F9"/>
    <w:rsid w:val="00426154"/>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8F1"/>
    <w:rsid w:val="00430AD3"/>
    <w:rsid w:val="00430D1F"/>
    <w:rsid w:val="0043110D"/>
    <w:rsid w:val="0043111B"/>
    <w:rsid w:val="00431243"/>
    <w:rsid w:val="004314B0"/>
    <w:rsid w:val="0043155F"/>
    <w:rsid w:val="00431D21"/>
    <w:rsid w:val="00431D8D"/>
    <w:rsid w:val="004321DB"/>
    <w:rsid w:val="004321E2"/>
    <w:rsid w:val="00432208"/>
    <w:rsid w:val="0043223F"/>
    <w:rsid w:val="004322BF"/>
    <w:rsid w:val="004322EF"/>
    <w:rsid w:val="004323A3"/>
    <w:rsid w:val="004323A7"/>
    <w:rsid w:val="00432484"/>
    <w:rsid w:val="00432A05"/>
    <w:rsid w:val="00432B62"/>
    <w:rsid w:val="00432E61"/>
    <w:rsid w:val="00432EF2"/>
    <w:rsid w:val="00432FC5"/>
    <w:rsid w:val="00433165"/>
    <w:rsid w:val="004332B3"/>
    <w:rsid w:val="00433456"/>
    <w:rsid w:val="00433580"/>
    <w:rsid w:val="004336A0"/>
    <w:rsid w:val="00433935"/>
    <w:rsid w:val="0043398C"/>
    <w:rsid w:val="00433EEB"/>
    <w:rsid w:val="004340E3"/>
    <w:rsid w:val="00434246"/>
    <w:rsid w:val="0043428A"/>
    <w:rsid w:val="00434357"/>
    <w:rsid w:val="00434452"/>
    <w:rsid w:val="00434574"/>
    <w:rsid w:val="0043462C"/>
    <w:rsid w:val="004346C3"/>
    <w:rsid w:val="00434745"/>
    <w:rsid w:val="00434896"/>
    <w:rsid w:val="00434ABD"/>
    <w:rsid w:val="00434AC4"/>
    <w:rsid w:val="00434CD9"/>
    <w:rsid w:val="00434D19"/>
    <w:rsid w:val="00435362"/>
    <w:rsid w:val="004354C0"/>
    <w:rsid w:val="0043575E"/>
    <w:rsid w:val="0043576E"/>
    <w:rsid w:val="0043577F"/>
    <w:rsid w:val="004359E7"/>
    <w:rsid w:val="00435DD5"/>
    <w:rsid w:val="004362A6"/>
    <w:rsid w:val="004362AF"/>
    <w:rsid w:val="00436480"/>
    <w:rsid w:val="00436536"/>
    <w:rsid w:val="004365F2"/>
    <w:rsid w:val="00436A77"/>
    <w:rsid w:val="00436ACE"/>
    <w:rsid w:val="00436E30"/>
    <w:rsid w:val="00437046"/>
    <w:rsid w:val="0043714F"/>
    <w:rsid w:val="004371B7"/>
    <w:rsid w:val="00437524"/>
    <w:rsid w:val="00437A15"/>
    <w:rsid w:val="00437A3E"/>
    <w:rsid w:val="00437B2B"/>
    <w:rsid w:val="00440376"/>
    <w:rsid w:val="00440462"/>
    <w:rsid w:val="00440470"/>
    <w:rsid w:val="00440581"/>
    <w:rsid w:val="004406FC"/>
    <w:rsid w:val="00440854"/>
    <w:rsid w:val="00440CC4"/>
    <w:rsid w:val="00440EC4"/>
    <w:rsid w:val="00441138"/>
    <w:rsid w:val="004411D4"/>
    <w:rsid w:val="0044122F"/>
    <w:rsid w:val="00441498"/>
    <w:rsid w:val="004415C0"/>
    <w:rsid w:val="004416D5"/>
    <w:rsid w:val="00441B7C"/>
    <w:rsid w:val="00441DD8"/>
    <w:rsid w:val="0044207E"/>
    <w:rsid w:val="004424B5"/>
    <w:rsid w:val="00442778"/>
    <w:rsid w:val="004428B6"/>
    <w:rsid w:val="00442F39"/>
    <w:rsid w:val="00443444"/>
    <w:rsid w:val="004435A0"/>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47E6C"/>
    <w:rsid w:val="00450078"/>
    <w:rsid w:val="004505F5"/>
    <w:rsid w:val="004507C9"/>
    <w:rsid w:val="004507EA"/>
    <w:rsid w:val="00450934"/>
    <w:rsid w:val="00450BED"/>
    <w:rsid w:val="00451142"/>
    <w:rsid w:val="004515B3"/>
    <w:rsid w:val="0045169F"/>
    <w:rsid w:val="004516CF"/>
    <w:rsid w:val="00451B33"/>
    <w:rsid w:val="00451B81"/>
    <w:rsid w:val="00451C4E"/>
    <w:rsid w:val="00451D24"/>
    <w:rsid w:val="00451E49"/>
    <w:rsid w:val="00451EBE"/>
    <w:rsid w:val="00451F6E"/>
    <w:rsid w:val="00452574"/>
    <w:rsid w:val="004525A6"/>
    <w:rsid w:val="0045273B"/>
    <w:rsid w:val="004529C3"/>
    <w:rsid w:val="00452B9E"/>
    <w:rsid w:val="00452BE8"/>
    <w:rsid w:val="00452C35"/>
    <w:rsid w:val="00452C55"/>
    <w:rsid w:val="004531D5"/>
    <w:rsid w:val="00453CE0"/>
    <w:rsid w:val="00453E0F"/>
    <w:rsid w:val="00453E41"/>
    <w:rsid w:val="00453E70"/>
    <w:rsid w:val="00453F67"/>
    <w:rsid w:val="00453F69"/>
    <w:rsid w:val="00454505"/>
    <w:rsid w:val="0045497F"/>
    <w:rsid w:val="004549D8"/>
    <w:rsid w:val="004557B9"/>
    <w:rsid w:val="00455A96"/>
    <w:rsid w:val="00455DEC"/>
    <w:rsid w:val="00455F5C"/>
    <w:rsid w:val="0045620F"/>
    <w:rsid w:val="004562F4"/>
    <w:rsid w:val="00456302"/>
    <w:rsid w:val="00456305"/>
    <w:rsid w:val="004563DD"/>
    <w:rsid w:val="00456665"/>
    <w:rsid w:val="00456945"/>
    <w:rsid w:val="00456A56"/>
    <w:rsid w:val="00456BC3"/>
    <w:rsid w:val="00456DEF"/>
    <w:rsid w:val="00456F09"/>
    <w:rsid w:val="0045701C"/>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25E"/>
    <w:rsid w:val="0046071C"/>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722"/>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77A"/>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933"/>
    <w:rsid w:val="00474A29"/>
    <w:rsid w:val="00474A86"/>
    <w:rsid w:val="00474C9A"/>
    <w:rsid w:val="00474CD0"/>
    <w:rsid w:val="0047524B"/>
    <w:rsid w:val="004752B9"/>
    <w:rsid w:val="004752DE"/>
    <w:rsid w:val="004755D2"/>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286"/>
    <w:rsid w:val="00482355"/>
    <w:rsid w:val="0048260E"/>
    <w:rsid w:val="004829FC"/>
    <w:rsid w:val="00482A0A"/>
    <w:rsid w:val="00482A6B"/>
    <w:rsid w:val="00482B18"/>
    <w:rsid w:val="00482C4F"/>
    <w:rsid w:val="00482C5A"/>
    <w:rsid w:val="004831DB"/>
    <w:rsid w:val="0048324E"/>
    <w:rsid w:val="0048341A"/>
    <w:rsid w:val="00483583"/>
    <w:rsid w:val="00483608"/>
    <w:rsid w:val="0048368F"/>
    <w:rsid w:val="00483C14"/>
    <w:rsid w:val="00483C67"/>
    <w:rsid w:val="00483E10"/>
    <w:rsid w:val="004840D1"/>
    <w:rsid w:val="0048435F"/>
    <w:rsid w:val="00485322"/>
    <w:rsid w:val="00485480"/>
    <w:rsid w:val="004854A7"/>
    <w:rsid w:val="00485680"/>
    <w:rsid w:val="004859C6"/>
    <w:rsid w:val="00485B13"/>
    <w:rsid w:val="00485E61"/>
    <w:rsid w:val="00485FBA"/>
    <w:rsid w:val="00485FDA"/>
    <w:rsid w:val="0048606F"/>
    <w:rsid w:val="0048641D"/>
    <w:rsid w:val="0048661E"/>
    <w:rsid w:val="00486682"/>
    <w:rsid w:val="004868A3"/>
    <w:rsid w:val="00486BCC"/>
    <w:rsid w:val="00486E43"/>
    <w:rsid w:val="00486F4F"/>
    <w:rsid w:val="004872AB"/>
    <w:rsid w:val="00487363"/>
    <w:rsid w:val="0048745C"/>
    <w:rsid w:val="00487529"/>
    <w:rsid w:val="004875A4"/>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2C"/>
    <w:rsid w:val="00492380"/>
    <w:rsid w:val="004925A2"/>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868"/>
    <w:rsid w:val="00495A69"/>
    <w:rsid w:val="00495AD9"/>
    <w:rsid w:val="00496538"/>
    <w:rsid w:val="00496716"/>
    <w:rsid w:val="00496760"/>
    <w:rsid w:val="00496789"/>
    <w:rsid w:val="0049690E"/>
    <w:rsid w:val="00496952"/>
    <w:rsid w:val="00496C71"/>
    <w:rsid w:val="00497056"/>
    <w:rsid w:val="004970D0"/>
    <w:rsid w:val="0049743D"/>
    <w:rsid w:val="004976E3"/>
    <w:rsid w:val="00497793"/>
    <w:rsid w:val="0049781D"/>
    <w:rsid w:val="004979B1"/>
    <w:rsid w:val="00497A84"/>
    <w:rsid w:val="00497D38"/>
    <w:rsid w:val="004A0362"/>
    <w:rsid w:val="004A0598"/>
    <w:rsid w:val="004A060F"/>
    <w:rsid w:val="004A0733"/>
    <w:rsid w:val="004A0C17"/>
    <w:rsid w:val="004A1258"/>
    <w:rsid w:val="004A1373"/>
    <w:rsid w:val="004A1B08"/>
    <w:rsid w:val="004A1BAF"/>
    <w:rsid w:val="004A1D15"/>
    <w:rsid w:val="004A1EA5"/>
    <w:rsid w:val="004A1EB7"/>
    <w:rsid w:val="004A207A"/>
    <w:rsid w:val="004A227C"/>
    <w:rsid w:val="004A2370"/>
    <w:rsid w:val="004A265C"/>
    <w:rsid w:val="004A2BE6"/>
    <w:rsid w:val="004A2F39"/>
    <w:rsid w:val="004A3067"/>
    <w:rsid w:val="004A3497"/>
    <w:rsid w:val="004A34B4"/>
    <w:rsid w:val="004A3915"/>
    <w:rsid w:val="004A3B54"/>
    <w:rsid w:val="004A3DA5"/>
    <w:rsid w:val="004A403A"/>
    <w:rsid w:val="004A40C3"/>
    <w:rsid w:val="004A4110"/>
    <w:rsid w:val="004A4370"/>
    <w:rsid w:val="004A46A4"/>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6FDD"/>
    <w:rsid w:val="004A715E"/>
    <w:rsid w:val="004A7870"/>
    <w:rsid w:val="004A7AA6"/>
    <w:rsid w:val="004A7B3A"/>
    <w:rsid w:val="004A7E1C"/>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675"/>
    <w:rsid w:val="004B292F"/>
    <w:rsid w:val="004B2B63"/>
    <w:rsid w:val="004B2C6C"/>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6FF5"/>
    <w:rsid w:val="004B7151"/>
    <w:rsid w:val="004B7365"/>
    <w:rsid w:val="004B73E9"/>
    <w:rsid w:val="004B7432"/>
    <w:rsid w:val="004B757C"/>
    <w:rsid w:val="004B759B"/>
    <w:rsid w:val="004B75B0"/>
    <w:rsid w:val="004B7735"/>
    <w:rsid w:val="004B77B2"/>
    <w:rsid w:val="004B79E7"/>
    <w:rsid w:val="004B7C12"/>
    <w:rsid w:val="004B7C3F"/>
    <w:rsid w:val="004B7DDD"/>
    <w:rsid w:val="004B7FC5"/>
    <w:rsid w:val="004C02B6"/>
    <w:rsid w:val="004C0482"/>
    <w:rsid w:val="004C06C3"/>
    <w:rsid w:val="004C0731"/>
    <w:rsid w:val="004C07AB"/>
    <w:rsid w:val="004C090F"/>
    <w:rsid w:val="004C0A3D"/>
    <w:rsid w:val="004C0BD4"/>
    <w:rsid w:val="004C0BEC"/>
    <w:rsid w:val="004C0D27"/>
    <w:rsid w:val="004C18A7"/>
    <w:rsid w:val="004C1957"/>
    <w:rsid w:val="004C1A88"/>
    <w:rsid w:val="004C1AE4"/>
    <w:rsid w:val="004C223A"/>
    <w:rsid w:val="004C2465"/>
    <w:rsid w:val="004C249C"/>
    <w:rsid w:val="004C28B0"/>
    <w:rsid w:val="004C2ACA"/>
    <w:rsid w:val="004C2D40"/>
    <w:rsid w:val="004C2F87"/>
    <w:rsid w:val="004C3958"/>
    <w:rsid w:val="004C3973"/>
    <w:rsid w:val="004C3A0F"/>
    <w:rsid w:val="004C3A74"/>
    <w:rsid w:val="004C3D28"/>
    <w:rsid w:val="004C3EE4"/>
    <w:rsid w:val="004C3FB6"/>
    <w:rsid w:val="004C41DE"/>
    <w:rsid w:val="004C4536"/>
    <w:rsid w:val="004C460F"/>
    <w:rsid w:val="004C462B"/>
    <w:rsid w:val="004C47E2"/>
    <w:rsid w:val="004C48E3"/>
    <w:rsid w:val="004C497A"/>
    <w:rsid w:val="004C4A97"/>
    <w:rsid w:val="004C4C50"/>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70"/>
    <w:rsid w:val="004D06C6"/>
    <w:rsid w:val="004D07C4"/>
    <w:rsid w:val="004D09CE"/>
    <w:rsid w:val="004D0A0D"/>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539"/>
    <w:rsid w:val="004D26ED"/>
    <w:rsid w:val="004D274C"/>
    <w:rsid w:val="004D29DB"/>
    <w:rsid w:val="004D2EFE"/>
    <w:rsid w:val="004D3154"/>
    <w:rsid w:val="004D31DF"/>
    <w:rsid w:val="004D329B"/>
    <w:rsid w:val="004D3419"/>
    <w:rsid w:val="004D375B"/>
    <w:rsid w:val="004D38C3"/>
    <w:rsid w:val="004D38D0"/>
    <w:rsid w:val="004D39D5"/>
    <w:rsid w:val="004D3FA9"/>
    <w:rsid w:val="004D3FAE"/>
    <w:rsid w:val="004D3FE2"/>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F"/>
    <w:rsid w:val="004D6F30"/>
    <w:rsid w:val="004D6F9B"/>
    <w:rsid w:val="004D7646"/>
    <w:rsid w:val="004D7854"/>
    <w:rsid w:val="004D7963"/>
    <w:rsid w:val="004D7C0A"/>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0FF"/>
    <w:rsid w:val="004E219F"/>
    <w:rsid w:val="004E23E1"/>
    <w:rsid w:val="004E240F"/>
    <w:rsid w:val="004E25B3"/>
    <w:rsid w:val="004E2682"/>
    <w:rsid w:val="004E271E"/>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335"/>
    <w:rsid w:val="004E6514"/>
    <w:rsid w:val="004E6518"/>
    <w:rsid w:val="004E675C"/>
    <w:rsid w:val="004E6A06"/>
    <w:rsid w:val="004E6B06"/>
    <w:rsid w:val="004E70F5"/>
    <w:rsid w:val="004E727D"/>
    <w:rsid w:val="004E73EC"/>
    <w:rsid w:val="004E74C9"/>
    <w:rsid w:val="004E77CE"/>
    <w:rsid w:val="004E7AEA"/>
    <w:rsid w:val="004F05DE"/>
    <w:rsid w:val="004F07A2"/>
    <w:rsid w:val="004F0B1C"/>
    <w:rsid w:val="004F1453"/>
    <w:rsid w:val="004F14E1"/>
    <w:rsid w:val="004F17C8"/>
    <w:rsid w:val="004F1851"/>
    <w:rsid w:val="004F1B26"/>
    <w:rsid w:val="004F1BF3"/>
    <w:rsid w:val="004F1C22"/>
    <w:rsid w:val="004F1D45"/>
    <w:rsid w:val="004F1E40"/>
    <w:rsid w:val="004F2281"/>
    <w:rsid w:val="004F23E3"/>
    <w:rsid w:val="004F27B2"/>
    <w:rsid w:val="004F29DC"/>
    <w:rsid w:val="004F2A09"/>
    <w:rsid w:val="004F2D6A"/>
    <w:rsid w:val="004F3098"/>
    <w:rsid w:val="004F30A7"/>
    <w:rsid w:val="004F3449"/>
    <w:rsid w:val="004F3982"/>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D0D"/>
    <w:rsid w:val="004F615E"/>
    <w:rsid w:val="004F61A4"/>
    <w:rsid w:val="004F6232"/>
    <w:rsid w:val="004F66D3"/>
    <w:rsid w:val="004F689F"/>
    <w:rsid w:val="004F6B46"/>
    <w:rsid w:val="004F6E24"/>
    <w:rsid w:val="004F7037"/>
    <w:rsid w:val="004F713F"/>
    <w:rsid w:val="004F723F"/>
    <w:rsid w:val="004F77AC"/>
    <w:rsid w:val="004F7B1B"/>
    <w:rsid w:val="004F7C78"/>
    <w:rsid w:val="00500036"/>
    <w:rsid w:val="005001D4"/>
    <w:rsid w:val="005001F0"/>
    <w:rsid w:val="00500434"/>
    <w:rsid w:val="005004DD"/>
    <w:rsid w:val="00500511"/>
    <w:rsid w:val="00500967"/>
    <w:rsid w:val="00500AD3"/>
    <w:rsid w:val="00500CB9"/>
    <w:rsid w:val="00500D01"/>
    <w:rsid w:val="00500DA1"/>
    <w:rsid w:val="00500DD9"/>
    <w:rsid w:val="0050101F"/>
    <w:rsid w:val="00501147"/>
    <w:rsid w:val="00501656"/>
    <w:rsid w:val="005017FE"/>
    <w:rsid w:val="00501880"/>
    <w:rsid w:val="00501D4A"/>
    <w:rsid w:val="00501D5F"/>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337"/>
    <w:rsid w:val="00506498"/>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6DE"/>
    <w:rsid w:val="0051184A"/>
    <w:rsid w:val="005119D9"/>
    <w:rsid w:val="00511BBC"/>
    <w:rsid w:val="00511DCF"/>
    <w:rsid w:val="00511DE2"/>
    <w:rsid w:val="00511ED6"/>
    <w:rsid w:val="00511F8F"/>
    <w:rsid w:val="00511FCF"/>
    <w:rsid w:val="00512066"/>
    <w:rsid w:val="00512073"/>
    <w:rsid w:val="005124B2"/>
    <w:rsid w:val="005124F4"/>
    <w:rsid w:val="00512890"/>
    <w:rsid w:val="00512D1D"/>
    <w:rsid w:val="00513378"/>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3A1"/>
    <w:rsid w:val="00515C8F"/>
    <w:rsid w:val="00515EFC"/>
    <w:rsid w:val="00516028"/>
    <w:rsid w:val="005160A2"/>
    <w:rsid w:val="00516165"/>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DAE"/>
    <w:rsid w:val="00520F69"/>
    <w:rsid w:val="00521400"/>
    <w:rsid w:val="0052171F"/>
    <w:rsid w:val="00521AF6"/>
    <w:rsid w:val="00521B33"/>
    <w:rsid w:val="00521B90"/>
    <w:rsid w:val="00521EFD"/>
    <w:rsid w:val="00522289"/>
    <w:rsid w:val="00522322"/>
    <w:rsid w:val="00522403"/>
    <w:rsid w:val="0052250E"/>
    <w:rsid w:val="00522510"/>
    <w:rsid w:val="005225C1"/>
    <w:rsid w:val="00522A65"/>
    <w:rsid w:val="00522B61"/>
    <w:rsid w:val="00522C94"/>
    <w:rsid w:val="00522CDC"/>
    <w:rsid w:val="0052302E"/>
    <w:rsid w:val="0052332F"/>
    <w:rsid w:val="005233FA"/>
    <w:rsid w:val="00523467"/>
    <w:rsid w:val="00523527"/>
    <w:rsid w:val="0052367E"/>
    <w:rsid w:val="00523ACD"/>
    <w:rsid w:val="00523C98"/>
    <w:rsid w:val="00523EF2"/>
    <w:rsid w:val="00523F23"/>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454"/>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44"/>
    <w:rsid w:val="0053488F"/>
    <w:rsid w:val="00534A43"/>
    <w:rsid w:val="00534FDA"/>
    <w:rsid w:val="005350F9"/>
    <w:rsid w:val="005352DF"/>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344"/>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920"/>
    <w:rsid w:val="00541A4F"/>
    <w:rsid w:val="00541B9E"/>
    <w:rsid w:val="00541D73"/>
    <w:rsid w:val="00541DD2"/>
    <w:rsid w:val="0054202C"/>
    <w:rsid w:val="005420C8"/>
    <w:rsid w:val="0054218F"/>
    <w:rsid w:val="0054251B"/>
    <w:rsid w:val="00542556"/>
    <w:rsid w:val="00542743"/>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4679"/>
    <w:rsid w:val="00544ADE"/>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C3C"/>
    <w:rsid w:val="00550D42"/>
    <w:rsid w:val="00550FEB"/>
    <w:rsid w:val="005510B8"/>
    <w:rsid w:val="0055119B"/>
    <w:rsid w:val="005511B3"/>
    <w:rsid w:val="005512D1"/>
    <w:rsid w:val="005513BA"/>
    <w:rsid w:val="005518C5"/>
    <w:rsid w:val="00551A0C"/>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531"/>
    <w:rsid w:val="00553903"/>
    <w:rsid w:val="00553930"/>
    <w:rsid w:val="00553E1D"/>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E"/>
    <w:rsid w:val="00563EAE"/>
    <w:rsid w:val="00563F9F"/>
    <w:rsid w:val="00564172"/>
    <w:rsid w:val="005641A6"/>
    <w:rsid w:val="005641DB"/>
    <w:rsid w:val="00564289"/>
    <w:rsid w:val="0056448E"/>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A57"/>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14"/>
    <w:rsid w:val="00573EFE"/>
    <w:rsid w:val="00573F2B"/>
    <w:rsid w:val="00574372"/>
    <w:rsid w:val="00574390"/>
    <w:rsid w:val="0057443F"/>
    <w:rsid w:val="00574690"/>
    <w:rsid w:val="00574A6C"/>
    <w:rsid w:val="00574F18"/>
    <w:rsid w:val="00575195"/>
    <w:rsid w:val="0057524B"/>
    <w:rsid w:val="00575374"/>
    <w:rsid w:val="00575394"/>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0A3"/>
    <w:rsid w:val="00577156"/>
    <w:rsid w:val="0057720C"/>
    <w:rsid w:val="005778B5"/>
    <w:rsid w:val="00577C43"/>
    <w:rsid w:val="005800A9"/>
    <w:rsid w:val="005800EB"/>
    <w:rsid w:val="00580151"/>
    <w:rsid w:val="0058042C"/>
    <w:rsid w:val="00580516"/>
    <w:rsid w:val="00580655"/>
    <w:rsid w:val="00580665"/>
    <w:rsid w:val="00580835"/>
    <w:rsid w:val="00580901"/>
    <w:rsid w:val="005809D0"/>
    <w:rsid w:val="00580FAD"/>
    <w:rsid w:val="005810EC"/>
    <w:rsid w:val="00581126"/>
    <w:rsid w:val="005811F4"/>
    <w:rsid w:val="0058125F"/>
    <w:rsid w:val="005812E6"/>
    <w:rsid w:val="00581311"/>
    <w:rsid w:val="00581480"/>
    <w:rsid w:val="005814D4"/>
    <w:rsid w:val="0058163C"/>
    <w:rsid w:val="00581714"/>
    <w:rsid w:val="005819E1"/>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B21"/>
    <w:rsid w:val="00583BD1"/>
    <w:rsid w:val="00583D76"/>
    <w:rsid w:val="00583F68"/>
    <w:rsid w:val="00583FAB"/>
    <w:rsid w:val="00584437"/>
    <w:rsid w:val="00584548"/>
    <w:rsid w:val="00584849"/>
    <w:rsid w:val="00584B1E"/>
    <w:rsid w:val="00584E28"/>
    <w:rsid w:val="00584F0E"/>
    <w:rsid w:val="00585073"/>
    <w:rsid w:val="00585AC1"/>
    <w:rsid w:val="00585CB4"/>
    <w:rsid w:val="00585DAF"/>
    <w:rsid w:val="00585DE6"/>
    <w:rsid w:val="00585E37"/>
    <w:rsid w:val="00585F8D"/>
    <w:rsid w:val="005863E3"/>
    <w:rsid w:val="005864C1"/>
    <w:rsid w:val="0058666F"/>
    <w:rsid w:val="00586789"/>
    <w:rsid w:val="00586934"/>
    <w:rsid w:val="00586A79"/>
    <w:rsid w:val="00586C79"/>
    <w:rsid w:val="00586F6B"/>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C0B"/>
    <w:rsid w:val="00593D92"/>
    <w:rsid w:val="00594131"/>
    <w:rsid w:val="005943DC"/>
    <w:rsid w:val="0059469D"/>
    <w:rsid w:val="00594822"/>
    <w:rsid w:val="005949F3"/>
    <w:rsid w:val="00594AA3"/>
    <w:rsid w:val="00594C9D"/>
    <w:rsid w:val="00594EC7"/>
    <w:rsid w:val="00594F57"/>
    <w:rsid w:val="0059509B"/>
    <w:rsid w:val="005953FA"/>
    <w:rsid w:val="00595B25"/>
    <w:rsid w:val="00595FDC"/>
    <w:rsid w:val="005960F6"/>
    <w:rsid w:val="005965CD"/>
    <w:rsid w:val="005967D3"/>
    <w:rsid w:val="005969F9"/>
    <w:rsid w:val="00596A51"/>
    <w:rsid w:val="00596BF6"/>
    <w:rsid w:val="00596D22"/>
    <w:rsid w:val="00596D2F"/>
    <w:rsid w:val="00596D47"/>
    <w:rsid w:val="00596FCD"/>
    <w:rsid w:val="00597223"/>
    <w:rsid w:val="00597387"/>
    <w:rsid w:val="00597486"/>
    <w:rsid w:val="00597536"/>
    <w:rsid w:val="005976ED"/>
    <w:rsid w:val="005977B5"/>
    <w:rsid w:val="00597879"/>
    <w:rsid w:val="00597DDF"/>
    <w:rsid w:val="005A0118"/>
    <w:rsid w:val="005A01ED"/>
    <w:rsid w:val="005A038C"/>
    <w:rsid w:val="005A0542"/>
    <w:rsid w:val="005A0741"/>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2F6C"/>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A7E3D"/>
    <w:rsid w:val="005B0765"/>
    <w:rsid w:val="005B088F"/>
    <w:rsid w:val="005B08D8"/>
    <w:rsid w:val="005B0D3F"/>
    <w:rsid w:val="005B0E8B"/>
    <w:rsid w:val="005B0F2F"/>
    <w:rsid w:val="005B1244"/>
    <w:rsid w:val="005B1539"/>
    <w:rsid w:val="005B15D3"/>
    <w:rsid w:val="005B1834"/>
    <w:rsid w:val="005B1A77"/>
    <w:rsid w:val="005B1DB6"/>
    <w:rsid w:val="005B1DC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1C4"/>
    <w:rsid w:val="005B441F"/>
    <w:rsid w:val="005B4664"/>
    <w:rsid w:val="005B46F7"/>
    <w:rsid w:val="005B4CC0"/>
    <w:rsid w:val="005B4D4C"/>
    <w:rsid w:val="005B4E68"/>
    <w:rsid w:val="005B4F05"/>
    <w:rsid w:val="005B509C"/>
    <w:rsid w:val="005B5136"/>
    <w:rsid w:val="005B5188"/>
    <w:rsid w:val="005B53F3"/>
    <w:rsid w:val="005B551F"/>
    <w:rsid w:val="005B562E"/>
    <w:rsid w:val="005B56E4"/>
    <w:rsid w:val="005B5814"/>
    <w:rsid w:val="005B5874"/>
    <w:rsid w:val="005B5886"/>
    <w:rsid w:val="005B5A23"/>
    <w:rsid w:val="005B5D5A"/>
    <w:rsid w:val="005B5DCD"/>
    <w:rsid w:val="005B6048"/>
    <w:rsid w:val="005B620A"/>
    <w:rsid w:val="005B63AA"/>
    <w:rsid w:val="005B6645"/>
    <w:rsid w:val="005B6663"/>
    <w:rsid w:val="005B679B"/>
    <w:rsid w:val="005B6B38"/>
    <w:rsid w:val="005B6B72"/>
    <w:rsid w:val="005B6C6B"/>
    <w:rsid w:val="005B7145"/>
    <w:rsid w:val="005B728A"/>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2A0"/>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DD9"/>
    <w:rsid w:val="005D2E35"/>
    <w:rsid w:val="005D2E4F"/>
    <w:rsid w:val="005D2FE3"/>
    <w:rsid w:val="005D3380"/>
    <w:rsid w:val="005D34F3"/>
    <w:rsid w:val="005D35E4"/>
    <w:rsid w:val="005D35F0"/>
    <w:rsid w:val="005D378C"/>
    <w:rsid w:val="005D39FC"/>
    <w:rsid w:val="005D3A68"/>
    <w:rsid w:val="005D3A74"/>
    <w:rsid w:val="005D3B30"/>
    <w:rsid w:val="005D3B74"/>
    <w:rsid w:val="005D3C83"/>
    <w:rsid w:val="005D4665"/>
    <w:rsid w:val="005D46BF"/>
    <w:rsid w:val="005D4737"/>
    <w:rsid w:val="005D492B"/>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94C"/>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C53"/>
    <w:rsid w:val="005E0E91"/>
    <w:rsid w:val="005E11B8"/>
    <w:rsid w:val="005E1767"/>
    <w:rsid w:val="005E192D"/>
    <w:rsid w:val="005E19E3"/>
    <w:rsid w:val="005E1B51"/>
    <w:rsid w:val="005E1C1A"/>
    <w:rsid w:val="005E1C7C"/>
    <w:rsid w:val="005E1E00"/>
    <w:rsid w:val="005E1E52"/>
    <w:rsid w:val="005E1EC4"/>
    <w:rsid w:val="005E21FD"/>
    <w:rsid w:val="005E22EE"/>
    <w:rsid w:val="005E2376"/>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04D"/>
    <w:rsid w:val="005E54DE"/>
    <w:rsid w:val="005E5AB3"/>
    <w:rsid w:val="005E5ACC"/>
    <w:rsid w:val="005E628F"/>
    <w:rsid w:val="005E62DF"/>
    <w:rsid w:val="005E69FB"/>
    <w:rsid w:val="005E6E59"/>
    <w:rsid w:val="005E6F7F"/>
    <w:rsid w:val="005E7018"/>
    <w:rsid w:val="005E711D"/>
    <w:rsid w:val="005E7162"/>
    <w:rsid w:val="005E72D5"/>
    <w:rsid w:val="005E75CF"/>
    <w:rsid w:val="005E7851"/>
    <w:rsid w:val="005E78D0"/>
    <w:rsid w:val="005E794F"/>
    <w:rsid w:val="005E7D07"/>
    <w:rsid w:val="005E7D9E"/>
    <w:rsid w:val="005E7F3F"/>
    <w:rsid w:val="005F0030"/>
    <w:rsid w:val="005F019E"/>
    <w:rsid w:val="005F02C0"/>
    <w:rsid w:val="005F073B"/>
    <w:rsid w:val="005F0803"/>
    <w:rsid w:val="005F0838"/>
    <w:rsid w:val="005F0A9E"/>
    <w:rsid w:val="005F0BA0"/>
    <w:rsid w:val="005F0CE0"/>
    <w:rsid w:val="005F0DB7"/>
    <w:rsid w:val="005F131A"/>
    <w:rsid w:val="005F142F"/>
    <w:rsid w:val="005F15A8"/>
    <w:rsid w:val="005F16DD"/>
    <w:rsid w:val="005F182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221"/>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1F"/>
    <w:rsid w:val="005F6D66"/>
    <w:rsid w:val="005F6E70"/>
    <w:rsid w:val="005F6E84"/>
    <w:rsid w:val="005F6FDC"/>
    <w:rsid w:val="005F70DA"/>
    <w:rsid w:val="005F7262"/>
    <w:rsid w:val="005F737B"/>
    <w:rsid w:val="005F75D8"/>
    <w:rsid w:val="005F75F5"/>
    <w:rsid w:val="005F7823"/>
    <w:rsid w:val="005F7AE2"/>
    <w:rsid w:val="005F7B50"/>
    <w:rsid w:val="00600300"/>
    <w:rsid w:val="00600304"/>
    <w:rsid w:val="006005A8"/>
    <w:rsid w:val="006009AB"/>
    <w:rsid w:val="00600B13"/>
    <w:rsid w:val="00600C29"/>
    <w:rsid w:val="00600CCA"/>
    <w:rsid w:val="00600F74"/>
    <w:rsid w:val="00601098"/>
    <w:rsid w:val="00601126"/>
    <w:rsid w:val="0060132F"/>
    <w:rsid w:val="00601900"/>
    <w:rsid w:val="0060191E"/>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98B"/>
    <w:rsid w:val="00604C0C"/>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9E"/>
    <w:rsid w:val="00607020"/>
    <w:rsid w:val="006071FB"/>
    <w:rsid w:val="0060755E"/>
    <w:rsid w:val="006078F8"/>
    <w:rsid w:val="00607A6C"/>
    <w:rsid w:val="00610405"/>
    <w:rsid w:val="00610AAD"/>
    <w:rsid w:val="00610B28"/>
    <w:rsid w:val="00610BCA"/>
    <w:rsid w:val="00610D3C"/>
    <w:rsid w:val="00610E7D"/>
    <w:rsid w:val="00611118"/>
    <w:rsid w:val="0061118F"/>
    <w:rsid w:val="0061125C"/>
    <w:rsid w:val="0061139E"/>
    <w:rsid w:val="0061145C"/>
    <w:rsid w:val="00611489"/>
    <w:rsid w:val="006116C5"/>
    <w:rsid w:val="00611776"/>
    <w:rsid w:val="00611A47"/>
    <w:rsid w:val="00611AA5"/>
    <w:rsid w:val="00611B07"/>
    <w:rsid w:val="00611B57"/>
    <w:rsid w:val="00611FBF"/>
    <w:rsid w:val="0061205C"/>
    <w:rsid w:val="006121CA"/>
    <w:rsid w:val="00612239"/>
    <w:rsid w:val="00612385"/>
    <w:rsid w:val="006127A7"/>
    <w:rsid w:val="00612D03"/>
    <w:rsid w:val="00613314"/>
    <w:rsid w:val="00613400"/>
    <w:rsid w:val="006134C3"/>
    <w:rsid w:val="00613579"/>
    <w:rsid w:val="00613B58"/>
    <w:rsid w:val="0061458B"/>
    <w:rsid w:val="00614906"/>
    <w:rsid w:val="006149C1"/>
    <w:rsid w:val="00614E83"/>
    <w:rsid w:val="00615183"/>
    <w:rsid w:val="00615216"/>
    <w:rsid w:val="006154E3"/>
    <w:rsid w:val="006154E9"/>
    <w:rsid w:val="0061575F"/>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EF6"/>
    <w:rsid w:val="00621F41"/>
    <w:rsid w:val="0062203B"/>
    <w:rsid w:val="00622060"/>
    <w:rsid w:val="006220D1"/>
    <w:rsid w:val="00622167"/>
    <w:rsid w:val="006222EA"/>
    <w:rsid w:val="006223FD"/>
    <w:rsid w:val="0062240B"/>
    <w:rsid w:val="00622662"/>
    <w:rsid w:val="006226A3"/>
    <w:rsid w:val="0062289D"/>
    <w:rsid w:val="00622D80"/>
    <w:rsid w:val="00622D89"/>
    <w:rsid w:val="00622E63"/>
    <w:rsid w:val="00622EC8"/>
    <w:rsid w:val="0062311A"/>
    <w:rsid w:val="00623434"/>
    <w:rsid w:val="00623974"/>
    <w:rsid w:val="0062397A"/>
    <w:rsid w:val="00623F0C"/>
    <w:rsid w:val="00623F18"/>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30320"/>
    <w:rsid w:val="006305F0"/>
    <w:rsid w:val="006307BD"/>
    <w:rsid w:val="00630905"/>
    <w:rsid w:val="00630C40"/>
    <w:rsid w:val="00630CC5"/>
    <w:rsid w:val="00630E3E"/>
    <w:rsid w:val="00630F11"/>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403"/>
    <w:rsid w:val="00636653"/>
    <w:rsid w:val="006366EF"/>
    <w:rsid w:val="00636712"/>
    <w:rsid w:val="00637212"/>
    <w:rsid w:val="006372FF"/>
    <w:rsid w:val="0063745E"/>
    <w:rsid w:val="0063753C"/>
    <w:rsid w:val="006378D4"/>
    <w:rsid w:val="00637A35"/>
    <w:rsid w:val="00637C87"/>
    <w:rsid w:val="00637C8A"/>
    <w:rsid w:val="00637E74"/>
    <w:rsid w:val="00637F15"/>
    <w:rsid w:val="00640292"/>
    <w:rsid w:val="006402D8"/>
    <w:rsid w:val="0064032B"/>
    <w:rsid w:val="00640440"/>
    <w:rsid w:val="00640465"/>
    <w:rsid w:val="00640AE1"/>
    <w:rsid w:val="00640E6D"/>
    <w:rsid w:val="00641324"/>
    <w:rsid w:val="0064134F"/>
    <w:rsid w:val="0064154E"/>
    <w:rsid w:val="00641A01"/>
    <w:rsid w:val="00641D8C"/>
    <w:rsid w:val="00641D8F"/>
    <w:rsid w:val="00642002"/>
    <w:rsid w:val="00642470"/>
    <w:rsid w:val="0064256C"/>
    <w:rsid w:val="00642675"/>
    <w:rsid w:val="00642AC6"/>
    <w:rsid w:val="00642B32"/>
    <w:rsid w:val="00643006"/>
    <w:rsid w:val="0064327A"/>
    <w:rsid w:val="00643377"/>
    <w:rsid w:val="00643846"/>
    <w:rsid w:val="00643A61"/>
    <w:rsid w:val="00644385"/>
    <w:rsid w:val="00644452"/>
    <w:rsid w:val="006446B0"/>
    <w:rsid w:val="006448FB"/>
    <w:rsid w:val="0064491F"/>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80"/>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CE"/>
    <w:rsid w:val="00653DAF"/>
    <w:rsid w:val="00653E87"/>
    <w:rsid w:val="00653F7F"/>
    <w:rsid w:val="00654034"/>
    <w:rsid w:val="0065419D"/>
    <w:rsid w:val="006545AD"/>
    <w:rsid w:val="0065481D"/>
    <w:rsid w:val="006549BE"/>
    <w:rsid w:val="00654F4A"/>
    <w:rsid w:val="00654F5A"/>
    <w:rsid w:val="00654F6F"/>
    <w:rsid w:val="00654FEA"/>
    <w:rsid w:val="0065509F"/>
    <w:rsid w:val="006550F5"/>
    <w:rsid w:val="006551CE"/>
    <w:rsid w:val="0065528C"/>
    <w:rsid w:val="0065557D"/>
    <w:rsid w:val="00655692"/>
    <w:rsid w:val="006556D9"/>
    <w:rsid w:val="00655897"/>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206E"/>
    <w:rsid w:val="006620D3"/>
    <w:rsid w:val="006623B3"/>
    <w:rsid w:val="0066244D"/>
    <w:rsid w:val="0066251F"/>
    <w:rsid w:val="006626A1"/>
    <w:rsid w:val="00662955"/>
    <w:rsid w:val="00662978"/>
    <w:rsid w:val="00662A99"/>
    <w:rsid w:val="00662A9B"/>
    <w:rsid w:val="00662B32"/>
    <w:rsid w:val="00662D46"/>
    <w:rsid w:val="00662D5F"/>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D1D"/>
    <w:rsid w:val="00665DDE"/>
    <w:rsid w:val="00665EAB"/>
    <w:rsid w:val="00665F4C"/>
    <w:rsid w:val="0066675C"/>
    <w:rsid w:val="00666F8A"/>
    <w:rsid w:val="00667064"/>
    <w:rsid w:val="0066718C"/>
    <w:rsid w:val="00667228"/>
    <w:rsid w:val="00667373"/>
    <w:rsid w:val="0066776B"/>
    <w:rsid w:val="0066792E"/>
    <w:rsid w:val="00667D82"/>
    <w:rsid w:val="00670498"/>
    <w:rsid w:val="006705C4"/>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05F"/>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DE"/>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8B"/>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D6"/>
    <w:rsid w:val="00690484"/>
    <w:rsid w:val="006905ED"/>
    <w:rsid w:val="006906E4"/>
    <w:rsid w:val="006907BD"/>
    <w:rsid w:val="00690B03"/>
    <w:rsid w:val="00690CB4"/>
    <w:rsid w:val="00690E22"/>
    <w:rsid w:val="006916B6"/>
    <w:rsid w:val="00691856"/>
    <w:rsid w:val="006918C0"/>
    <w:rsid w:val="0069194B"/>
    <w:rsid w:val="00691A2C"/>
    <w:rsid w:val="00691BD4"/>
    <w:rsid w:val="00691C15"/>
    <w:rsid w:val="00691D6D"/>
    <w:rsid w:val="00691EC1"/>
    <w:rsid w:val="00691F84"/>
    <w:rsid w:val="0069205D"/>
    <w:rsid w:val="00692066"/>
    <w:rsid w:val="00692470"/>
    <w:rsid w:val="00692597"/>
    <w:rsid w:val="006925A0"/>
    <w:rsid w:val="006926CF"/>
    <w:rsid w:val="00692A49"/>
    <w:rsid w:val="00692A59"/>
    <w:rsid w:val="00692BC9"/>
    <w:rsid w:val="00692D2A"/>
    <w:rsid w:val="00693361"/>
    <w:rsid w:val="00693401"/>
    <w:rsid w:val="00693520"/>
    <w:rsid w:val="00693608"/>
    <w:rsid w:val="00693C2E"/>
    <w:rsid w:val="00693D5B"/>
    <w:rsid w:val="00693E20"/>
    <w:rsid w:val="00693F47"/>
    <w:rsid w:val="00693F6D"/>
    <w:rsid w:val="0069409C"/>
    <w:rsid w:val="006943A7"/>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196"/>
    <w:rsid w:val="00697A1F"/>
    <w:rsid w:val="00697EC0"/>
    <w:rsid w:val="00697FE0"/>
    <w:rsid w:val="006A0077"/>
    <w:rsid w:val="006A0221"/>
    <w:rsid w:val="006A0354"/>
    <w:rsid w:val="006A04B4"/>
    <w:rsid w:val="006A0673"/>
    <w:rsid w:val="006A08DB"/>
    <w:rsid w:val="006A09E9"/>
    <w:rsid w:val="006A0AE3"/>
    <w:rsid w:val="006A0B3E"/>
    <w:rsid w:val="006A0C60"/>
    <w:rsid w:val="006A0D95"/>
    <w:rsid w:val="006A0E98"/>
    <w:rsid w:val="006A0FC9"/>
    <w:rsid w:val="006A0FFA"/>
    <w:rsid w:val="006A1285"/>
    <w:rsid w:val="006A1485"/>
    <w:rsid w:val="006A1622"/>
    <w:rsid w:val="006A164D"/>
    <w:rsid w:val="006A1843"/>
    <w:rsid w:val="006A1927"/>
    <w:rsid w:val="006A1C07"/>
    <w:rsid w:val="006A1DAA"/>
    <w:rsid w:val="006A1E2C"/>
    <w:rsid w:val="006A1EB4"/>
    <w:rsid w:val="006A1EB5"/>
    <w:rsid w:val="006A26B8"/>
    <w:rsid w:val="006A2760"/>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D21"/>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0E"/>
    <w:rsid w:val="006A7C21"/>
    <w:rsid w:val="006A7CE8"/>
    <w:rsid w:val="006A7E19"/>
    <w:rsid w:val="006A7F82"/>
    <w:rsid w:val="006B03A5"/>
    <w:rsid w:val="006B03DD"/>
    <w:rsid w:val="006B04D8"/>
    <w:rsid w:val="006B055E"/>
    <w:rsid w:val="006B05DC"/>
    <w:rsid w:val="006B0638"/>
    <w:rsid w:val="006B07BF"/>
    <w:rsid w:val="006B0B65"/>
    <w:rsid w:val="006B0D06"/>
    <w:rsid w:val="006B0EF4"/>
    <w:rsid w:val="006B10BF"/>
    <w:rsid w:val="006B1176"/>
    <w:rsid w:val="006B13DE"/>
    <w:rsid w:val="006B1483"/>
    <w:rsid w:val="006B15B7"/>
    <w:rsid w:val="006B19DF"/>
    <w:rsid w:val="006B1DE8"/>
    <w:rsid w:val="006B2195"/>
    <w:rsid w:val="006B2311"/>
    <w:rsid w:val="006B23CE"/>
    <w:rsid w:val="006B2772"/>
    <w:rsid w:val="006B2817"/>
    <w:rsid w:val="006B2843"/>
    <w:rsid w:val="006B28AC"/>
    <w:rsid w:val="006B2AE0"/>
    <w:rsid w:val="006B2D6E"/>
    <w:rsid w:val="006B3107"/>
    <w:rsid w:val="006B3117"/>
    <w:rsid w:val="006B360B"/>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82E"/>
    <w:rsid w:val="006B6932"/>
    <w:rsid w:val="006B6A50"/>
    <w:rsid w:val="006B6D81"/>
    <w:rsid w:val="006B7179"/>
    <w:rsid w:val="006B74A9"/>
    <w:rsid w:val="006B7882"/>
    <w:rsid w:val="006C0263"/>
    <w:rsid w:val="006C040E"/>
    <w:rsid w:val="006C043E"/>
    <w:rsid w:val="006C09CC"/>
    <w:rsid w:val="006C0A08"/>
    <w:rsid w:val="006C0A19"/>
    <w:rsid w:val="006C0A62"/>
    <w:rsid w:val="006C0AD9"/>
    <w:rsid w:val="006C0B6A"/>
    <w:rsid w:val="006C1257"/>
    <w:rsid w:val="006C12DA"/>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3045"/>
    <w:rsid w:val="006C3466"/>
    <w:rsid w:val="006C36F7"/>
    <w:rsid w:val="006C3803"/>
    <w:rsid w:val="006C38A6"/>
    <w:rsid w:val="006C3AA2"/>
    <w:rsid w:val="006C3C0C"/>
    <w:rsid w:val="006C3FB8"/>
    <w:rsid w:val="006C4245"/>
    <w:rsid w:val="006C45BC"/>
    <w:rsid w:val="006C464A"/>
    <w:rsid w:val="006C46DA"/>
    <w:rsid w:val="006C4D24"/>
    <w:rsid w:val="006C4E38"/>
    <w:rsid w:val="006C5363"/>
    <w:rsid w:val="006C587E"/>
    <w:rsid w:val="006C59F6"/>
    <w:rsid w:val="006C5E77"/>
    <w:rsid w:val="006C5F23"/>
    <w:rsid w:val="006C60F6"/>
    <w:rsid w:val="006C6787"/>
    <w:rsid w:val="006C6A3B"/>
    <w:rsid w:val="006C6B28"/>
    <w:rsid w:val="006C6FBB"/>
    <w:rsid w:val="006C708A"/>
    <w:rsid w:val="006C7102"/>
    <w:rsid w:val="006C7202"/>
    <w:rsid w:val="006C79E1"/>
    <w:rsid w:val="006C7BCE"/>
    <w:rsid w:val="006C7C4A"/>
    <w:rsid w:val="006D0366"/>
    <w:rsid w:val="006D0559"/>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06B"/>
    <w:rsid w:val="006D2125"/>
    <w:rsid w:val="006D26C1"/>
    <w:rsid w:val="006D2A73"/>
    <w:rsid w:val="006D3036"/>
    <w:rsid w:val="006D30D2"/>
    <w:rsid w:val="006D337C"/>
    <w:rsid w:val="006D33C7"/>
    <w:rsid w:val="006D33E7"/>
    <w:rsid w:val="006D36E8"/>
    <w:rsid w:val="006D3759"/>
    <w:rsid w:val="006D378D"/>
    <w:rsid w:val="006D37DC"/>
    <w:rsid w:val="006D3806"/>
    <w:rsid w:val="006D3A96"/>
    <w:rsid w:val="006D3DE4"/>
    <w:rsid w:val="006D417C"/>
    <w:rsid w:val="006D45FE"/>
    <w:rsid w:val="006D479B"/>
    <w:rsid w:val="006D4950"/>
    <w:rsid w:val="006D497C"/>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09D"/>
    <w:rsid w:val="006D7131"/>
    <w:rsid w:val="006D7288"/>
    <w:rsid w:val="006D736C"/>
    <w:rsid w:val="006D7786"/>
    <w:rsid w:val="006D7ABD"/>
    <w:rsid w:val="006D7B66"/>
    <w:rsid w:val="006E018D"/>
    <w:rsid w:val="006E01BD"/>
    <w:rsid w:val="006E0294"/>
    <w:rsid w:val="006E0608"/>
    <w:rsid w:val="006E06B6"/>
    <w:rsid w:val="006E0748"/>
    <w:rsid w:val="006E07A2"/>
    <w:rsid w:val="006E08C4"/>
    <w:rsid w:val="006E10AE"/>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1EA"/>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E79"/>
    <w:rsid w:val="006F202B"/>
    <w:rsid w:val="006F2184"/>
    <w:rsid w:val="006F2666"/>
    <w:rsid w:val="006F2759"/>
    <w:rsid w:val="006F27AE"/>
    <w:rsid w:val="006F28F1"/>
    <w:rsid w:val="006F2AEB"/>
    <w:rsid w:val="006F2B1E"/>
    <w:rsid w:val="006F30E7"/>
    <w:rsid w:val="006F3428"/>
    <w:rsid w:val="006F34E6"/>
    <w:rsid w:val="006F3629"/>
    <w:rsid w:val="006F3823"/>
    <w:rsid w:val="006F39CD"/>
    <w:rsid w:val="006F3B0D"/>
    <w:rsid w:val="006F3D72"/>
    <w:rsid w:val="006F4134"/>
    <w:rsid w:val="006F4232"/>
    <w:rsid w:val="006F4750"/>
    <w:rsid w:val="006F4A15"/>
    <w:rsid w:val="006F4BDE"/>
    <w:rsid w:val="006F4C34"/>
    <w:rsid w:val="006F4C95"/>
    <w:rsid w:val="006F4CBD"/>
    <w:rsid w:val="006F4DB9"/>
    <w:rsid w:val="006F4E93"/>
    <w:rsid w:val="006F4EC6"/>
    <w:rsid w:val="006F4F02"/>
    <w:rsid w:val="006F4F14"/>
    <w:rsid w:val="006F56A3"/>
    <w:rsid w:val="006F5D0C"/>
    <w:rsid w:val="006F5EA8"/>
    <w:rsid w:val="006F5ED4"/>
    <w:rsid w:val="006F5F78"/>
    <w:rsid w:val="006F6188"/>
    <w:rsid w:val="006F6224"/>
    <w:rsid w:val="006F655B"/>
    <w:rsid w:val="006F668C"/>
    <w:rsid w:val="006F67B1"/>
    <w:rsid w:val="006F68EB"/>
    <w:rsid w:val="006F6D1E"/>
    <w:rsid w:val="006F6DB5"/>
    <w:rsid w:val="006F6F9A"/>
    <w:rsid w:val="006F6FAF"/>
    <w:rsid w:val="006F7297"/>
    <w:rsid w:val="006F72AC"/>
    <w:rsid w:val="006F7412"/>
    <w:rsid w:val="006F76B7"/>
    <w:rsid w:val="006F7778"/>
    <w:rsid w:val="006F779D"/>
    <w:rsid w:val="006F7C0F"/>
    <w:rsid w:val="006F7D4E"/>
    <w:rsid w:val="006F7FAB"/>
    <w:rsid w:val="00700166"/>
    <w:rsid w:val="0070029A"/>
    <w:rsid w:val="0070060B"/>
    <w:rsid w:val="00700688"/>
    <w:rsid w:val="00700B59"/>
    <w:rsid w:val="00700C6A"/>
    <w:rsid w:val="00700CB6"/>
    <w:rsid w:val="007010AE"/>
    <w:rsid w:val="00701138"/>
    <w:rsid w:val="00701C7B"/>
    <w:rsid w:val="00701CC0"/>
    <w:rsid w:val="00702299"/>
    <w:rsid w:val="007022C7"/>
    <w:rsid w:val="007022DE"/>
    <w:rsid w:val="00702398"/>
    <w:rsid w:val="0070267D"/>
    <w:rsid w:val="007029FC"/>
    <w:rsid w:val="00702FA3"/>
    <w:rsid w:val="00703292"/>
    <w:rsid w:val="007032F0"/>
    <w:rsid w:val="0070333A"/>
    <w:rsid w:val="00703716"/>
    <w:rsid w:val="00703827"/>
    <w:rsid w:val="00703A3D"/>
    <w:rsid w:val="00703A97"/>
    <w:rsid w:val="00703B7D"/>
    <w:rsid w:val="00703C65"/>
    <w:rsid w:val="00703F18"/>
    <w:rsid w:val="00703FCD"/>
    <w:rsid w:val="00704222"/>
    <w:rsid w:val="007045A5"/>
    <w:rsid w:val="00704961"/>
    <w:rsid w:val="00704C43"/>
    <w:rsid w:val="00704C57"/>
    <w:rsid w:val="00704DF9"/>
    <w:rsid w:val="0070543C"/>
    <w:rsid w:val="00705735"/>
    <w:rsid w:val="00705A64"/>
    <w:rsid w:val="00705B29"/>
    <w:rsid w:val="00706070"/>
    <w:rsid w:val="00706160"/>
    <w:rsid w:val="007063A3"/>
    <w:rsid w:val="00706729"/>
    <w:rsid w:val="007067F0"/>
    <w:rsid w:val="007068A1"/>
    <w:rsid w:val="007069B7"/>
    <w:rsid w:val="00706C9E"/>
    <w:rsid w:val="00706CAB"/>
    <w:rsid w:val="007070EF"/>
    <w:rsid w:val="00707346"/>
    <w:rsid w:val="00707818"/>
    <w:rsid w:val="0070785D"/>
    <w:rsid w:val="007079E2"/>
    <w:rsid w:val="00707B2F"/>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A54"/>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08D"/>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14A7"/>
    <w:rsid w:val="007219E6"/>
    <w:rsid w:val="00721D3F"/>
    <w:rsid w:val="00721DEC"/>
    <w:rsid w:val="00721DF1"/>
    <w:rsid w:val="0072204E"/>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183"/>
    <w:rsid w:val="0072438A"/>
    <w:rsid w:val="007243F1"/>
    <w:rsid w:val="00724492"/>
    <w:rsid w:val="0072450A"/>
    <w:rsid w:val="0072466C"/>
    <w:rsid w:val="00724C4F"/>
    <w:rsid w:val="00725095"/>
    <w:rsid w:val="00725252"/>
    <w:rsid w:val="0072537A"/>
    <w:rsid w:val="00725566"/>
    <w:rsid w:val="00725670"/>
    <w:rsid w:val="00725810"/>
    <w:rsid w:val="0072599E"/>
    <w:rsid w:val="00725C6F"/>
    <w:rsid w:val="00725E79"/>
    <w:rsid w:val="00725F81"/>
    <w:rsid w:val="00726061"/>
    <w:rsid w:val="007260FE"/>
    <w:rsid w:val="0072643E"/>
    <w:rsid w:val="00726456"/>
    <w:rsid w:val="007264F7"/>
    <w:rsid w:val="0072656E"/>
    <w:rsid w:val="00726755"/>
    <w:rsid w:val="007268A0"/>
    <w:rsid w:val="007269E0"/>
    <w:rsid w:val="00726A65"/>
    <w:rsid w:val="00726BE3"/>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458"/>
    <w:rsid w:val="00733505"/>
    <w:rsid w:val="007335E0"/>
    <w:rsid w:val="0073375D"/>
    <w:rsid w:val="00733768"/>
    <w:rsid w:val="00733A30"/>
    <w:rsid w:val="00733AB8"/>
    <w:rsid w:val="00733D70"/>
    <w:rsid w:val="00733FF0"/>
    <w:rsid w:val="00734098"/>
    <w:rsid w:val="00734199"/>
    <w:rsid w:val="0073439E"/>
    <w:rsid w:val="007343D8"/>
    <w:rsid w:val="0073442F"/>
    <w:rsid w:val="007344D4"/>
    <w:rsid w:val="0073462F"/>
    <w:rsid w:val="0073473E"/>
    <w:rsid w:val="00734A89"/>
    <w:rsid w:val="00734B36"/>
    <w:rsid w:val="00734C0E"/>
    <w:rsid w:val="00734C4E"/>
    <w:rsid w:val="00734FBC"/>
    <w:rsid w:val="007351FC"/>
    <w:rsid w:val="007355DA"/>
    <w:rsid w:val="0073569E"/>
    <w:rsid w:val="00735856"/>
    <w:rsid w:val="00735906"/>
    <w:rsid w:val="0073599C"/>
    <w:rsid w:val="00735BCF"/>
    <w:rsid w:val="00735EE5"/>
    <w:rsid w:val="007360AD"/>
    <w:rsid w:val="00736347"/>
    <w:rsid w:val="00736CBC"/>
    <w:rsid w:val="00736D54"/>
    <w:rsid w:val="00736DCD"/>
    <w:rsid w:val="00736E72"/>
    <w:rsid w:val="00736E97"/>
    <w:rsid w:val="007370D8"/>
    <w:rsid w:val="007371BF"/>
    <w:rsid w:val="00737721"/>
    <w:rsid w:val="00737841"/>
    <w:rsid w:val="0073788D"/>
    <w:rsid w:val="00737A59"/>
    <w:rsid w:val="00737B22"/>
    <w:rsid w:val="00737DCD"/>
    <w:rsid w:val="00737F42"/>
    <w:rsid w:val="007400CF"/>
    <w:rsid w:val="007401B7"/>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0F99"/>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A41"/>
    <w:rsid w:val="00752CE1"/>
    <w:rsid w:val="00752D51"/>
    <w:rsid w:val="00752E35"/>
    <w:rsid w:val="00752EB9"/>
    <w:rsid w:val="00752F82"/>
    <w:rsid w:val="00753022"/>
    <w:rsid w:val="007534A5"/>
    <w:rsid w:val="007535DE"/>
    <w:rsid w:val="007537FE"/>
    <w:rsid w:val="00753C4F"/>
    <w:rsid w:val="00754047"/>
    <w:rsid w:val="00754099"/>
    <w:rsid w:val="00754176"/>
    <w:rsid w:val="00754675"/>
    <w:rsid w:val="00754955"/>
    <w:rsid w:val="00754BD9"/>
    <w:rsid w:val="00754F07"/>
    <w:rsid w:val="00754F8D"/>
    <w:rsid w:val="0075514A"/>
    <w:rsid w:val="00755449"/>
    <w:rsid w:val="007559F3"/>
    <w:rsid w:val="00755A57"/>
    <w:rsid w:val="00755BB5"/>
    <w:rsid w:val="00755CE1"/>
    <w:rsid w:val="00755E6D"/>
    <w:rsid w:val="0075604E"/>
    <w:rsid w:val="00756559"/>
    <w:rsid w:val="007565B5"/>
    <w:rsid w:val="007567A8"/>
    <w:rsid w:val="00756911"/>
    <w:rsid w:val="00756937"/>
    <w:rsid w:val="00756A12"/>
    <w:rsid w:val="00756BFC"/>
    <w:rsid w:val="00756C6B"/>
    <w:rsid w:val="0075711B"/>
    <w:rsid w:val="00757121"/>
    <w:rsid w:val="0075720E"/>
    <w:rsid w:val="007574C6"/>
    <w:rsid w:val="007574CC"/>
    <w:rsid w:val="007578F4"/>
    <w:rsid w:val="00757AD8"/>
    <w:rsid w:val="0076013E"/>
    <w:rsid w:val="00760313"/>
    <w:rsid w:val="007603FC"/>
    <w:rsid w:val="0076059A"/>
    <w:rsid w:val="00760817"/>
    <w:rsid w:val="007608FB"/>
    <w:rsid w:val="00760A45"/>
    <w:rsid w:val="007610C7"/>
    <w:rsid w:val="00761724"/>
    <w:rsid w:val="00761C6D"/>
    <w:rsid w:val="00761D09"/>
    <w:rsid w:val="00761D7E"/>
    <w:rsid w:val="00762401"/>
    <w:rsid w:val="007624EA"/>
    <w:rsid w:val="0076274F"/>
    <w:rsid w:val="00762A4F"/>
    <w:rsid w:val="00762D0E"/>
    <w:rsid w:val="00762ECB"/>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C1A"/>
    <w:rsid w:val="00765D8D"/>
    <w:rsid w:val="00765F0D"/>
    <w:rsid w:val="00766A73"/>
    <w:rsid w:val="00766B37"/>
    <w:rsid w:val="00766DB2"/>
    <w:rsid w:val="00766E24"/>
    <w:rsid w:val="007673D1"/>
    <w:rsid w:val="007674B6"/>
    <w:rsid w:val="00767955"/>
    <w:rsid w:val="00767A7B"/>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8D"/>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6F9A"/>
    <w:rsid w:val="00777164"/>
    <w:rsid w:val="007772A5"/>
    <w:rsid w:val="007773C1"/>
    <w:rsid w:val="0077740F"/>
    <w:rsid w:val="0077756A"/>
    <w:rsid w:val="00777665"/>
    <w:rsid w:val="0077780E"/>
    <w:rsid w:val="00777F34"/>
    <w:rsid w:val="00780058"/>
    <w:rsid w:val="0078008D"/>
    <w:rsid w:val="007800DF"/>
    <w:rsid w:val="0078029E"/>
    <w:rsid w:val="007808FC"/>
    <w:rsid w:val="00780A75"/>
    <w:rsid w:val="00780A94"/>
    <w:rsid w:val="00780B9E"/>
    <w:rsid w:val="00780DCB"/>
    <w:rsid w:val="007810B4"/>
    <w:rsid w:val="007810B6"/>
    <w:rsid w:val="00781280"/>
    <w:rsid w:val="0078131B"/>
    <w:rsid w:val="00781512"/>
    <w:rsid w:val="00781A40"/>
    <w:rsid w:val="00781B8F"/>
    <w:rsid w:val="00781D9F"/>
    <w:rsid w:val="00781EA2"/>
    <w:rsid w:val="00781FDE"/>
    <w:rsid w:val="007820D6"/>
    <w:rsid w:val="00782474"/>
    <w:rsid w:val="0078258B"/>
    <w:rsid w:val="007828D3"/>
    <w:rsid w:val="0078293F"/>
    <w:rsid w:val="00782A08"/>
    <w:rsid w:val="00782B7D"/>
    <w:rsid w:val="00782E29"/>
    <w:rsid w:val="0078323B"/>
    <w:rsid w:val="00783749"/>
    <w:rsid w:val="007837E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6CE"/>
    <w:rsid w:val="007847AB"/>
    <w:rsid w:val="00784A73"/>
    <w:rsid w:val="00784BB5"/>
    <w:rsid w:val="00785200"/>
    <w:rsid w:val="0078526D"/>
    <w:rsid w:val="007853B7"/>
    <w:rsid w:val="0078556A"/>
    <w:rsid w:val="00785667"/>
    <w:rsid w:val="00785759"/>
    <w:rsid w:val="00785887"/>
    <w:rsid w:val="00785BD8"/>
    <w:rsid w:val="00785E9A"/>
    <w:rsid w:val="007866E8"/>
    <w:rsid w:val="007866F5"/>
    <w:rsid w:val="0078670A"/>
    <w:rsid w:val="00786B3C"/>
    <w:rsid w:val="00786D50"/>
    <w:rsid w:val="00787440"/>
    <w:rsid w:val="0078753F"/>
    <w:rsid w:val="0078765A"/>
    <w:rsid w:val="00787668"/>
    <w:rsid w:val="007876AF"/>
    <w:rsid w:val="007878B5"/>
    <w:rsid w:val="00787F56"/>
    <w:rsid w:val="00787FDF"/>
    <w:rsid w:val="0079010B"/>
    <w:rsid w:val="0079020A"/>
    <w:rsid w:val="00790697"/>
    <w:rsid w:val="0079070C"/>
    <w:rsid w:val="00790B6F"/>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6FAB"/>
    <w:rsid w:val="00797030"/>
    <w:rsid w:val="00797051"/>
    <w:rsid w:val="007970BD"/>
    <w:rsid w:val="00797484"/>
    <w:rsid w:val="00797CA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B85"/>
    <w:rsid w:val="007A1C67"/>
    <w:rsid w:val="007A1D01"/>
    <w:rsid w:val="007A1D34"/>
    <w:rsid w:val="007A1D54"/>
    <w:rsid w:val="007A2060"/>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5AD"/>
    <w:rsid w:val="007A3854"/>
    <w:rsid w:val="007A3886"/>
    <w:rsid w:val="007A3A54"/>
    <w:rsid w:val="007A3A57"/>
    <w:rsid w:val="007A3ADD"/>
    <w:rsid w:val="007A3B13"/>
    <w:rsid w:val="007A3C64"/>
    <w:rsid w:val="007A3FFF"/>
    <w:rsid w:val="007A419C"/>
    <w:rsid w:val="007A42AF"/>
    <w:rsid w:val="007A4934"/>
    <w:rsid w:val="007A49B2"/>
    <w:rsid w:val="007A4B5F"/>
    <w:rsid w:val="007A4DE9"/>
    <w:rsid w:val="007A4F01"/>
    <w:rsid w:val="007A4FFD"/>
    <w:rsid w:val="007A50A6"/>
    <w:rsid w:val="007A54C2"/>
    <w:rsid w:val="007A56F4"/>
    <w:rsid w:val="007A57EF"/>
    <w:rsid w:val="007A5AE5"/>
    <w:rsid w:val="007A5BC6"/>
    <w:rsid w:val="007A60FC"/>
    <w:rsid w:val="007A644C"/>
    <w:rsid w:val="007A67B1"/>
    <w:rsid w:val="007A6F19"/>
    <w:rsid w:val="007A6F41"/>
    <w:rsid w:val="007A7395"/>
    <w:rsid w:val="007A78C5"/>
    <w:rsid w:val="007A7D6B"/>
    <w:rsid w:val="007A7DA0"/>
    <w:rsid w:val="007A7F9B"/>
    <w:rsid w:val="007B009F"/>
    <w:rsid w:val="007B00B6"/>
    <w:rsid w:val="007B04AA"/>
    <w:rsid w:val="007B0593"/>
    <w:rsid w:val="007B0DFC"/>
    <w:rsid w:val="007B10F0"/>
    <w:rsid w:val="007B125D"/>
    <w:rsid w:val="007B15C5"/>
    <w:rsid w:val="007B1640"/>
    <w:rsid w:val="007B1825"/>
    <w:rsid w:val="007B1868"/>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5020"/>
    <w:rsid w:val="007B5356"/>
    <w:rsid w:val="007B57EA"/>
    <w:rsid w:val="007B5A70"/>
    <w:rsid w:val="007B5D16"/>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B66"/>
    <w:rsid w:val="007B7D58"/>
    <w:rsid w:val="007B7E41"/>
    <w:rsid w:val="007C019C"/>
    <w:rsid w:val="007C0285"/>
    <w:rsid w:val="007C02CB"/>
    <w:rsid w:val="007C0652"/>
    <w:rsid w:val="007C0830"/>
    <w:rsid w:val="007C09ED"/>
    <w:rsid w:val="007C1371"/>
    <w:rsid w:val="007C18F6"/>
    <w:rsid w:val="007C19B4"/>
    <w:rsid w:val="007C1A33"/>
    <w:rsid w:val="007C1DAC"/>
    <w:rsid w:val="007C1ECF"/>
    <w:rsid w:val="007C2331"/>
    <w:rsid w:val="007C281E"/>
    <w:rsid w:val="007C2838"/>
    <w:rsid w:val="007C2987"/>
    <w:rsid w:val="007C2E41"/>
    <w:rsid w:val="007C2E88"/>
    <w:rsid w:val="007C3518"/>
    <w:rsid w:val="007C37A7"/>
    <w:rsid w:val="007C3925"/>
    <w:rsid w:val="007C3A12"/>
    <w:rsid w:val="007C3C1F"/>
    <w:rsid w:val="007C3C2F"/>
    <w:rsid w:val="007C3D03"/>
    <w:rsid w:val="007C3D10"/>
    <w:rsid w:val="007C4117"/>
    <w:rsid w:val="007C43BC"/>
    <w:rsid w:val="007C4447"/>
    <w:rsid w:val="007C47F8"/>
    <w:rsid w:val="007C4884"/>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8BE"/>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4EC"/>
    <w:rsid w:val="007D3564"/>
    <w:rsid w:val="007D3A13"/>
    <w:rsid w:val="007D3BCB"/>
    <w:rsid w:val="007D3D2F"/>
    <w:rsid w:val="007D3D77"/>
    <w:rsid w:val="007D3F56"/>
    <w:rsid w:val="007D3FA2"/>
    <w:rsid w:val="007D408E"/>
    <w:rsid w:val="007D4152"/>
    <w:rsid w:val="007D4236"/>
    <w:rsid w:val="007D42CA"/>
    <w:rsid w:val="007D43F9"/>
    <w:rsid w:val="007D465A"/>
    <w:rsid w:val="007D4DD3"/>
    <w:rsid w:val="007D4DFD"/>
    <w:rsid w:val="007D4E85"/>
    <w:rsid w:val="007D4EEE"/>
    <w:rsid w:val="007D4F76"/>
    <w:rsid w:val="007D51DD"/>
    <w:rsid w:val="007D5B59"/>
    <w:rsid w:val="007D5C46"/>
    <w:rsid w:val="007D5EF7"/>
    <w:rsid w:val="007D5F31"/>
    <w:rsid w:val="007D5F82"/>
    <w:rsid w:val="007D6003"/>
    <w:rsid w:val="007D61DF"/>
    <w:rsid w:val="007D6242"/>
    <w:rsid w:val="007D67A5"/>
    <w:rsid w:val="007D68E5"/>
    <w:rsid w:val="007D6988"/>
    <w:rsid w:val="007D6BA4"/>
    <w:rsid w:val="007D6C5F"/>
    <w:rsid w:val="007D6CA4"/>
    <w:rsid w:val="007D709D"/>
    <w:rsid w:val="007D72B3"/>
    <w:rsid w:val="007D73A1"/>
    <w:rsid w:val="007D7578"/>
    <w:rsid w:val="007D75ED"/>
    <w:rsid w:val="007D7636"/>
    <w:rsid w:val="007D7826"/>
    <w:rsid w:val="007D7A38"/>
    <w:rsid w:val="007D7AE0"/>
    <w:rsid w:val="007D7ED5"/>
    <w:rsid w:val="007D7F40"/>
    <w:rsid w:val="007E00E3"/>
    <w:rsid w:val="007E03AE"/>
    <w:rsid w:val="007E0538"/>
    <w:rsid w:val="007E07A3"/>
    <w:rsid w:val="007E09C3"/>
    <w:rsid w:val="007E0AD5"/>
    <w:rsid w:val="007E0E8A"/>
    <w:rsid w:val="007E0F29"/>
    <w:rsid w:val="007E11D4"/>
    <w:rsid w:val="007E1463"/>
    <w:rsid w:val="007E179A"/>
    <w:rsid w:val="007E18C7"/>
    <w:rsid w:val="007E1B4E"/>
    <w:rsid w:val="007E1BBA"/>
    <w:rsid w:val="007E1EE0"/>
    <w:rsid w:val="007E20CB"/>
    <w:rsid w:val="007E217F"/>
    <w:rsid w:val="007E2247"/>
    <w:rsid w:val="007E2273"/>
    <w:rsid w:val="007E2389"/>
    <w:rsid w:val="007E2654"/>
    <w:rsid w:val="007E2988"/>
    <w:rsid w:val="007E2A20"/>
    <w:rsid w:val="007E2AEF"/>
    <w:rsid w:val="007E2B97"/>
    <w:rsid w:val="007E2C10"/>
    <w:rsid w:val="007E2F9E"/>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A"/>
    <w:rsid w:val="007E779C"/>
    <w:rsid w:val="007E78DF"/>
    <w:rsid w:val="007E7A5E"/>
    <w:rsid w:val="007E7CF4"/>
    <w:rsid w:val="007E7D83"/>
    <w:rsid w:val="007E7DDC"/>
    <w:rsid w:val="007F02AB"/>
    <w:rsid w:val="007F0394"/>
    <w:rsid w:val="007F04ED"/>
    <w:rsid w:val="007F0C23"/>
    <w:rsid w:val="007F0D2F"/>
    <w:rsid w:val="007F0FC7"/>
    <w:rsid w:val="007F100A"/>
    <w:rsid w:val="007F1450"/>
    <w:rsid w:val="007F1587"/>
    <w:rsid w:val="007F1984"/>
    <w:rsid w:val="007F19DA"/>
    <w:rsid w:val="007F1AD1"/>
    <w:rsid w:val="007F1B06"/>
    <w:rsid w:val="007F1C37"/>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350"/>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298"/>
    <w:rsid w:val="008007AD"/>
    <w:rsid w:val="00800971"/>
    <w:rsid w:val="00800C63"/>
    <w:rsid w:val="00800DCE"/>
    <w:rsid w:val="00800E35"/>
    <w:rsid w:val="0080104E"/>
    <w:rsid w:val="00801057"/>
    <w:rsid w:val="00801209"/>
    <w:rsid w:val="00801352"/>
    <w:rsid w:val="008017DF"/>
    <w:rsid w:val="00801BB8"/>
    <w:rsid w:val="00801D17"/>
    <w:rsid w:val="008021B3"/>
    <w:rsid w:val="00802234"/>
    <w:rsid w:val="00802394"/>
    <w:rsid w:val="00802398"/>
    <w:rsid w:val="00802591"/>
    <w:rsid w:val="00802738"/>
    <w:rsid w:val="00802A96"/>
    <w:rsid w:val="00802AE9"/>
    <w:rsid w:val="00802B93"/>
    <w:rsid w:val="00802BEF"/>
    <w:rsid w:val="00802D99"/>
    <w:rsid w:val="00802FA7"/>
    <w:rsid w:val="0080335A"/>
    <w:rsid w:val="00803A14"/>
    <w:rsid w:val="00803C6D"/>
    <w:rsid w:val="00803CB2"/>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788"/>
    <w:rsid w:val="008079EF"/>
    <w:rsid w:val="00807AA8"/>
    <w:rsid w:val="00807ED5"/>
    <w:rsid w:val="00807EFC"/>
    <w:rsid w:val="00810600"/>
    <w:rsid w:val="008108FD"/>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AEE"/>
    <w:rsid w:val="00812B71"/>
    <w:rsid w:val="00812DDB"/>
    <w:rsid w:val="008130BD"/>
    <w:rsid w:val="00813245"/>
    <w:rsid w:val="008133E2"/>
    <w:rsid w:val="008136E8"/>
    <w:rsid w:val="00813718"/>
    <w:rsid w:val="00813780"/>
    <w:rsid w:val="00813915"/>
    <w:rsid w:val="008139DC"/>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54"/>
    <w:rsid w:val="00822EA7"/>
    <w:rsid w:val="00823018"/>
    <w:rsid w:val="008234C1"/>
    <w:rsid w:val="008235DD"/>
    <w:rsid w:val="00823862"/>
    <w:rsid w:val="00823B0B"/>
    <w:rsid w:val="00824012"/>
    <w:rsid w:val="00824265"/>
    <w:rsid w:val="008243F3"/>
    <w:rsid w:val="00824557"/>
    <w:rsid w:val="0082459A"/>
    <w:rsid w:val="0082459B"/>
    <w:rsid w:val="00824706"/>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9FE"/>
    <w:rsid w:val="00826A47"/>
    <w:rsid w:val="00826A99"/>
    <w:rsid w:val="00826E41"/>
    <w:rsid w:val="00826FED"/>
    <w:rsid w:val="008272DD"/>
    <w:rsid w:val="00827A7E"/>
    <w:rsid w:val="00827E94"/>
    <w:rsid w:val="008302D7"/>
    <w:rsid w:val="0083040A"/>
    <w:rsid w:val="008307DB"/>
    <w:rsid w:val="00830D6F"/>
    <w:rsid w:val="0083102D"/>
    <w:rsid w:val="0083103A"/>
    <w:rsid w:val="00831706"/>
    <w:rsid w:val="008317FF"/>
    <w:rsid w:val="008319E2"/>
    <w:rsid w:val="00831B47"/>
    <w:rsid w:val="00831E42"/>
    <w:rsid w:val="00831ED4"/>
    <w:rsid w:val="00831F7C"/>
    <w:rsid w:val="0083244A"/>
    <w:rsid w:val="008324A9"/>
    <w:rsid w:val="0083266E"/>
    <w:rsid w:val="00832AD1"/>
    <w:rsid w:val="00832D67"/>
    <w:rsid w:val="00833006"/>
    <w:rsid w:val="0083309F"/>
    <w:rsid w:val="00833127"/>
    <w:rsid w:val="008331B0"/>
    <w:rsid w:val="008337FE"/>
    <w:rsid w:val="00833A21"/>
    <w:rsid w:val="00833BEC"/>
    <w:rsid w:val="00833DB2"/>
    <w:rsid w:val="00834030"/>
    <w:rsid w:val="00834176"/>
    <w:rsid w:val="008341CC"/>
    <w:rsid w:val="00834663"/>
    <w:rsid w:val="00834681"/>
    <w:rsid w:val="00834863"/>
    <w:rsid w:val="008349E3"/>
    <w:rsid w:val="00834C87"/>
    <w:rsid w:val="00834F8B"/>
    <w:rsid w:val="00834F9F"/>
    <w:rsid w:val="008350E4"/>
    <w:rsid w:val="00835328"/>
    <w:rsid w:val="00835486"/>
    <w:rsid w:val="008356FF"/>
    <w:rsid w:val="0083582D"/>
    <w:rsid w:val="008358C5"/>
    <w:rsid w:val="008359CB"/>
    <w:rsid w:val="00835A30"/>
    <w:rsid w:val="00835CA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1D"/>
    <w:rsid w:val="008406EF"/>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77"/>
    <w:rsid w:val="008446C1"/>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5EB"/>
    <w:rsid w:val="00846752"/>
    <w:rsid w:val="0084682A"/>
    <w:rsid w:val="00846A19"/>
    <w:rsid w:val="00847280"/>
    <w:rsid w:val="00847476"/>
    <w:rsid w:val="00847754"/>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4F2"/>
    <w:rsid w:val="00851646"/>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3F97"/>
    <w:rsid w:val="00854004"/>
    <w:rsid w:val="008541D5"/>
    <w:rsid w:val="00854540"/>
    <w:rsid w:val="008548BB"/>
    <w:rsid w:val="00854A24"/>
    <w:rsid w:val="00854BE9"/>
    <w:rsid w:val="00854E6D"/>
    <w:rsid w:val="00854F06"/>
    <w:rsid w:val="00854FF8"/>
    <w:rsid w:val="00855335"/>
    <w:rsid w:val="0085566E"/>
    <w:rsid w:val="0085598D"/>
    <w:rsid w:val="00855C20"/>
    <w:rsid w:val="00855DE6"/>
    <w:rsid w:val="00855E77"/>
    <w:rsid w:val="008562CD"/>
    <w:rsid w:val="00856A50"/>
    <w:rsid w:val="00856A80"/>
    <w:rsid w:val="00856CCA"/>
    <w:rsid w:val="00856DBF"/>
    <w:rsid w:val="00856E39"/>
    <w:rsid w:val="0085706B"/>
    <w:rsid w:val="008571A3"/>
    <w:rsid w:val="008576D4"/>
    <w:rsid w:val="00857707"/>
    <w:rsid w:val="00857FAF"/>
    <w:rsid w:val="00860481"/>
    <w:rsid w:val="0086076F"/>
    <w:rsid w:val="0086086E"/>
    <w:rsid w:val="00860DA0"/>
    <w:rsid w:val="00860E10"/>
    <w:rsid w:val="0086117E"/>
    <w:rsid w:val="00861338"/>
    <w:rsid w:val="0086136A"/>
    <w:rsid w:val="00861491"/>
    <w:rsid w:val="00861522"/>
    <w:rsid w:val="00861562"/>
    <w:rsid w:val="008615B0"/>
    <w:rsid w:val="0086180E"/>
    <w:rsid w:val="00862013"/>
    <w:rsid w:val="00862310"/>
    <w:rsid w:val="0086280D"/>
    <w:rsid w:val="00862D83"/>
    <w:rsid w:val="0086347B"/>
    <w:rsid w:val="00863EE8"/>
    <w:rsid w:val="008640D3"/>
    <w:rsid w:val="00864114"/>
    <w:rsid w:val="0086413D"/>
    <w:rsid w:val="00864665"/>
    <w:rsid w:val="008646B2"/>
    <w:rsid w:val="008647F0"/>
    <w:rsid w:val="0086486F"/>
    <w:rsid w:val="008648E0"/>
    <w:rsid w:val="00864A67"/>
    <w:rsid w:val="00865024"/>
    <w:rsid w:val="0086506C"/>
    <w:rsid w:val="00865206"/>
    <w:rsid w:val="008656AC"/>
    <w:rsid w:val="008658CE"/>
    <w:rsid w:val="00865AC4"/>
    <w:rsid w:val="00865AFD"/>
    <w:rsid w:val="008668A9"/>
    <w:rsid w:val="008668EE"/>
    <w:rsid w:val="00866985"/>
    <w:rsid w:val="00866A97"/>
    <w:rsid w:val="00866AE2"/>
    <w:rsid w:val="00866BBC"/>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D37"/>
    <w:rsid w:val="00867F1C"/>
    <w:rsid w:val="00867F44"/>
    <w:rsid w:val="00867F75"/>
    <w:rsid w:val="0087004D"/>
    <w:rsid w:val="008700D2"/>
    <w:rsid w:val="00870702"/>
    <w:rsid w:val="00870A20"/>
    <w:rsid w:val="00870BEB"/>
    <w:rsid w:val="00870CF5"/>
    <w:rsid w:val="00870E19"/>
    <w:rsid w:val="00870E8D"/>
    <w:rsid w:val="00871412"/>
    <w:rsid w:val="0087169D"/>
    <w:rsid w:val="00871AE7"/>
    <w:rsid w:val="00871C0A"/>
    <w:rsid w:val="00871C5E"/>
    <w:rsid w:val="00871D4A"/>
    <w:rsid w:val="00871E65"/>
    <w:rsid w:val="008721BB"/>
    <w:rsid w:val="00872319"/>
    <w:rsid w:val="00872525"/>
    <w:rsid w:val="00872680"/>
    <w:rsid w:val="00872795"/>
    <w:rsid w:val="00872B34"/>
    <w:rsid w:val="00872B7D"/>
    <w:rsid w:val="00872C26"/>
    <w:rsid w:val="00872D76"/>
    <w:rsid w:val="00872FE1"/>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7F0"/>
    <w:rsid w:val="00876E6B"/>
    <w:rsid w:val="00876EF8"/>
    <w:rsid w:val="00876FB6"/>
    <w:rsid w:val="0087712A"/>
    <w:rsid w:val="00877704"/>
    <w:rsid w:val="00877863"/>
    <w:rsid w:val="00877D86"/>
    <w:rsid w:val="00877F7B"/>
    <w:rsid w:val="0088010B"/>
    <w:rsid w:val="008803A6"/>
    <w:rsid w:val="008804A7"/>
    <w:rsid w:val="008804D1"/>
    <w:rsid w:val="00880539"/>
    <w:rsid w:val="00880678"/>
    <w:rsid w:val="008807F6"/>
    <w:rsid w:val="00880A96"/>
    <w:rsid w:val="00880A99"/>
    <w:rsid w:val="00880DD7"/>
    <w:rsid w:val="00881227"/>
    <w:rsid w:val="00881354"/>
    <w:rsid w:val="00881437"/>
    <w:rsid w:val="0088182F"/>
    <w:rsid w:val="00881923"/>
    <w:rsid w:val="008819D2"/>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65"/>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599"/>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D"/>
    <w:rsid w:val="008947EF"/>
    <w:rsid w:val="008948B6"/>
    <w:rsid w:val="008948EE"/>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0E3"/>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0E"/>
    <w:rsid w:val="008A0080"/>
    <w:rsid w:val="008A00BF"/>
    <w:rsid w:val="008A0213"/>
    <w:rsid w:val="008A03F5"/>
    <w:rsid w:val="008A0475"/>
    <w:rsid w:val="008A06C1"/>
    <w:rsid w:val="008A091C"/>
    <w:rsid w:val="008A0B4F"/>
    <w:rsid w:val="008A0C1B"/>
    <w:rsid w:val="008A0E3A"/>
    <w:rsid w:val="008A0EB0"/>
    <w:rsid w:val="008A170C"/>
    <w:rsid w:val="008A1893"/>
    <w:rsid w:val="008A18B8"/>
    <w:rsid w:val="008A1BEF"/>
    <w:rsid w:val="008A1D10"/>
    <w:rsid w:val="008A2130"/>
    <w:rsid w:val="008A21AC"/>
    <w:rsid w:val="008A255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B57"/>
    <w:rsid w:val="008A7EC9"/>
    <w:rsid w:val="008B0122"/>
    <w:rsid w:val="008B0255"/>
    <w:rsid w:val="008B05B1"/>
    <w:rsid w:val="008B09B6"/>
    <w:rsid w:val="008B0BD1"/>
    <w:rsid w:val="008B1351"/>
    <w:rsid w:val="008B140D"/>
    <w:rsid w:val="008B1707"/>
    <w:rsid w:val="008B1ABF"/>
    <w:rsid w:val="008B1AF6"/>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24F"/>
    <w:rsid w:val="008B4440"/>
    <w:rsid w:val="008B45AF"/>
    <w:rsid w:val="008B485D"/>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4C1"/>
    <w:rsid w:val="008C162A"/>
    <w:rsid w:val="008C19C0"/>
    <w:rsid w:val="008C1BBF"/>
    <w:rsid w:val="008C1D4B"/>
    <w:rsid w:val="008C1D78"/>
    <w:rsid w:val="008C218D"/>
    <w:rsid w:val="008C2467"/>
    <w:rsid w:val="008C258E"/>
    <w:rsid w:val="008C29EC"/>
    <w:rsid w:val="008C29FE"/>
    <w:rsid w:val="008C2CAA"/>
    <w:rsid w:val="008C2F9F"/>
    <w:rsid w:val="008C32C7"/>
    <w:rsid w:val="008C32F7"/>
    <w:rsid w:val="008C348A"/>
    <w:rsid w:val="008C3524"/>
    <w:rsid w:val="008C37EF"/>
    <w:rsid w:val="008C39E1"/>
    <w:rsid w:val="008C3BDC"/>
    <w:rsid w:val="008C3EA8"/>
    <w:rsid w:val="008C42C7"/>
    <w:rsid w:val="008C4894"/>
    <w:rsid w:val="008C48F1"/>
    <w:rsid w:val="008C4920"/>
    <w:rsid w:val="008C4B6F"/>
    <w:rsid w:val="008C5408"/>
    <w:rsid w:val="008C54EB"/>
    <w:rsid w:val="008C5D0A"/>
    <w:rsid w:val="008C5F9C"/>
    <w:rsid w:val="008C602B"/>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154"/>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64A"/>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19"/>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280"/>
    <w:rsid w:val="008D6AD1"/>
    <w:rsid w:val="008D6B3B"/>
    <w:rsid w:val="008D6CE2"/>
    <w:rsid w:val="008D6CFF"/>
    <w:rsid w:val="008D6EC8"/>
    <w:rsid w:val="008D6F54"/>
    <w:rsid w:val="008D712D"/>
    <w:rsid w:val="008D744B"/>
    <w:rsid w:val="008D75BB"/>
    <w:rsid w:val="008D78FA"/>
    <w:rsid w:val="008D7BBE"/>
    <w:rsid w:val="008D7C6F"/>
    <w:rsid w:val="008E0433"/>
    <w:rsid w:val="008E0487"/>
    <w:rsid w:val="008E05E2"/>
    <w:rsid w:val="008E0B5B"/>
    <w:rsid w:val="008E0CF5"/>
    <w:rsid w:val="008E0EF9"/>
    <w:rsid w:val="008E10A7"/>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4C60"/>
    <w:rsid w:val="008E4D8B"/>
    <w:rsid w:val="008E4E75"/>
    <w:rsid w:val="008E5015"/>
    <w:rsid w:val="008E5187"/>
    <w:rsid w:val="008E52CD"/>
    <w:rsid w:val="008E579B"/>
    <w:rsid w:val="008E57DC"/>
    <w:rsid w:val="008E5A7E"/>
    <w:rsid w:val="008E5BDA"/>
    <w:rsid w:val="008E5E12"/>
    <w:rsid w:val="008E613F"/>
    <w:rsid w:val="008E637C"/>
    <w:rsid w:val="008E64A9"/>
    <w:rsid w:val="008E665C"/>
    <w:rsid w:val="008E6692"/>
    <w:rsid w:val="008E6B75"/>
    <w:rsid w:val="008E6D0E"/>
    <w:rsid w:val="008E7080"/>
    <w:rsid w:val="008E7153"/>
    <w:rsid w:val="008E72D8"/>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770"/>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6CC"/>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8D9"/>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1E3"/>
    <w:rsid w:val="008F71E8"/>
    <w:rsid w:val="008F7239"/>
    <w:rsid w:val="008F72B5"/>
    <w:rsid w:val="008F74EA"/>
    <w:rsid w:val="008F76F9"/>
    <w:rsid w:val="008F783E"/>
    <w:rsid w:val="008F78EE"/>
    <w:rsid w:val="008F7A8B"/>
    <w:rsid w:val="008F7B73"/>
    <w:rsid w:val="008F7C85"/>
    <w:rsid w:val="008F7CAE"/>
    <w:rsid w:val="008F7D00"/>
    <w:rsid w:val="008F7D16"/>
    <w:rsid w:val="008F7D64"/>
    <w:rsid w:val="00900118"/>
    <w:rsid w:val="0090014E"/>
    <w:rsid w:val="009002A3"/>
    <w:rsid w:val="00900704"/>
    <w:rsid w:val="00900713"/>
    <w:rsid w:val="0090086D"/>
    <w:rsid w:val="0090090A"/>
    <w:rsid w:val="00900962"/>
    <w:rsid w:val="009009E3"/>
    <w:rsid w:val="00901505"/>
    <w:rsid w:val="00901588"/>
    <w:rsid w:val="009016D5"/>
    <w:rsid w:val="0090170C"/>
    <w:rsid w:val="009018EF"/>
    <w:rsid w:val="00901975"/>
    <w:rsid w:val="009019FF"/>
    <w:rsid w:val="00901A66"/>
    <w:rsid w:val="00901BE5"/>
    <w:rsid w:val="00901FBB"/>
    <w:rsid w:val="00902403"/>
    <w:rsid w:val="00902409"/>
    <w:rsid w:val="00902B68"/>
    <w:rsid w:val="00902DCD"/>
    <w:rsid w:val="00902EAB"/>
    <w:rsid w:val="009033F3"/>
    <w:rsid w:val="00903457"/>
    <w:rsid w:val="00903552"/>
    <w:rsid w:val="009035AE"/>
    <w:rsid w:val="00903855"/>
    <w:rsid w:val="00903882"/>
    <w:rsid w:val="0090403F"/>
    <w:rsid w:val="00904198"/>
    <w:rsid w:val="009047FD"/>
    <w:rsid w:val="009048DB"/>
    <w:rsid w:val="009049AD"/>
    <w:rsid w:val="00904AF1"/>
    <w:rsid w:val="00904BDC"/>
    <w:rsid w:val="00904CA1"/>
    <w:rsid w:val="00904CCD"/>
    <w:rsid w:val="00904E27"/>
    <w:rsid w:val="00904EA1"/>
    <w:rsid w:val="00904F21"/>
    <w:rsid w:val="00905006"/>
    <w:rsid w:val="00905212"/>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8B6"/>
    <w:rsid w:val="00914954"/>
    <w:rsid w:val="00914B89"/>
    <w:rsid w:val="00914BE6"/>
    <w:rsid w:val="00914C59"/>
    <w:rsid w:val="00914C92"/>
    <w:rsid w:val="00914E5C"/>
    <w:rsid w:val="00915014"/>
    <w:rsid w:val="009152A1"/>
    <w:rsid w:val="009152E7"/>
    <w:rsid w:val="00915395"/>
    <w:rsid w:val="009157BF"/>
    <w:rsid w:val="0091580D"/>
    <w:rsid w:val="0091594D"/>
    <w:rsid w:val="00915A88"/>
    <w:rsid w:val="00916062"/>
    <w:rsid w:val="009160C6"/>
    <w:rsid w:val="0091650F"/>
    <w:rsid w:val="00916809"/>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28"/>
    <w:rsid w:val="00920ED1"/>
    <w:rsid w:val="00920FBC"/>
    <w:rsid w:val="00921020"/>
    <w:rsid w:val="009217AD"/>
    <w:rsid w:val="00921879"/>
    <w:rsid w:val="00921948"/>
    <w:rsid w:val="00921BE8"/>
    <w:rsid w:val="00921BE9"/>
    <w:rsid w:val="00921C4E"/>
    <w:rsid w:val="00921D7B"/>
    <w:rsid w:val="00921DAC"/>
    <w:rsid w:val="00921F0C"/>
    <w:rsid w:val="00921F25"/>
    <w:rsid w:val="00921FE3"/>
    <w:rsid w:val="00921FF2"/>
    <w:rsid w:val="00922012"/>
    <w:rsid w:val="00922013"/>
    <w:rsid w:val="009220F7"/>
    <w:rsid w:val="00922357"/>
    <w:rsid w:val="009225F3"/>
    <w:rsid w:val="00922829"/>
    <w:rsid w:val="00922F34"/>
    <w:rsid w:val="00923017"/>
    <w:rsid w:val="00923187"/>
    <w:rsid w:val="009231A1"/>
    <w:rsid w:val="009231CF"/>
    <w:rsid w:val="00923321"/>
    <w:rsid w:val="00923406"/>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8A9"/>
    <w:rsid w:val="00925E2F"/>
    <w:rsid w:val="00925F18"/>
    <w:rsid w:val="009262AB"/>
    <w:rsid w:val="00926346"/>
    <w:rsid w:val="00926409"/>
    <w:rsid w:val="009264BF"/>
    <w:rsid w:val="009265BE"/>
    <w:rsid w:val="00926776"/>
    <w:rsid w:val="00926D8A"/>
    <w:rsid w:val="00927213"/>
    <w:rsid w:val="00927270"/>
    <w:rsid w:val="0092734F"/>
    <w:rsid w:val="0092739A"/>
    <w:rsid w:val="00927404"/>
    <w:rsid w:val="009274A6"/>
    <w:rsid w:val="009274D2"/>
    <w:rsid w:val="0092796C"/>
    <w:rsid w:val="00927AB1"/>
    <w:rsid w:val="00927E30"/>
    <w:rsid w:val="00927FF1"/>
    <w:rsid w:val="009300B4"/>
    <w:rsid w:val="00930243"/>
    <w:rsid w:val="009303D4"/>
    <w:rsid w:val="00930D61"/>
    <w:rsid w:val="00930DC1"/>
    <w:rsid w:val="00930E7F"/>
    <w:rsid w:val="00930FF2"/>
    <w:rsid w:val="00931032"/>
    <w:rsid w:val="00931054"/>
    <w:rsid w:val="00931057"/>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87E"/>
    <w:rsid w:val="00934A32"/>
    <w:rsid w:val="00934B8F"/>
    <w:rsid w:val="00934D92"/>
    <w:rsid w:val="009358CF"/>
    <w:rsid w:val="00935C1F"/>
    <w:rsid w:val="00935D2E"/>
    <w:rsid w:val="00935EE5"/>
    <w:rsid w:val="00936006"/>
    <w:rsid w:val="009367A7"/>
    <w:rsid w:val="009369E1"/>
    <w:rsid w:val="00936B07"/>
    <w:rsid w:val="00936BAF"/>
    <w:rsid w:val="00936F5C"/>
    <w:rsid w:val="00936F7D"/>
    <w:rsid w:val="009371DB"/>
    <w:rsid w:val="00937257"/>
    <w:rsid w:val="00937487"/>
    <w:rsid w:val="009378C5"/>
    <w:rsid w:val="0093799F"/>
    <w:rsid w:val="009379E9"/>
    <w:rsid w:val="00937C43"/>
    <w:rsid w:val="00937FD8"/>
    <w:rsid w:val="0094001D"/>
    <w:rsid w:val="00940144"/>
    <w:rsid w:val="00940159"/>
    <w:rsid w:val="0094016C"/>
    <w:rsid w:val="0094034F"/>
    <w:rsid w:val="009405F9"/>
    <w:rsid w:val="00940790"/>
    <w:rsid w:val="00940918"/>
    <w:rsid w:val="009409E5"/>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70E"/>
    <w:rsid w:val="00944857"/>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47F92"/>
    <w:rsid w:val="00947FE2"/>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860"/>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646"/>
    <w:rsid w:val="00955771"/>
    <w:rsid w:val="009559FC"/>
    <w:rsid w:val="00955BDB"/>
    <w:rsid w:val="00955C5A"/>
    <w:rsid w:val="00955CF5"/>
    <w:rsid w:val="00955E49"/>
    <w:rsid w:val="0095610B"/>
    <w:rsid w:val="00956153"/>
    <w:rsid w:val="0095633A"/>
    <w:rsid w:val="009565CE"/>
    <w:rsid w:val="00956926"/>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6EF"/>
    <w:rsid w:val="009607CF"/>
    <w:rsid w:val="00960947"/>
    <w:rsid w:val="009609E7"/>
    <w:rsid w:val="00960B29"/>
    <w:rsid w:val="00960CD7"/>
    <w:rsid w:val="00960D03"/>
    <w:rsid w:val="00960E5C"/>
    <w:rsid w:val="00961583"/>
    <w:rsid w:val="00961594"/>
    <w:rsid w:val="009615AF"/>
    <w:rsid w:val="009615F2"/>
    <w:rsid w:val="00961665"/>
    <w:rsid w:val="0096171D"/>
    <w:rsid w:val="00961776"/>
    <w:rsid w:val="009621BC"/>
    <w:rsid w:val="00962814"/>
    <w:rsid w:val="0096284F"/>
    <w:rsid w:val="00962861"/>
    <w:rsid w:val="00962865"/>
    <w:rsid w:val="009628D6"/>
    <w:rsid w:val="009629FF"/>
    <w:rsid w:val="00962B03"/>
    <w:rsid w:val="00962C01"/>
    <w:rsid w:val="00962DFB"/>
    <w:rsid w:val="00963975"/>
    <w:rsid w:val="00963D73"/>
    <w:rsid w:val="00963FA8"/>
    <w:rsid w:val="009642CE"/>
    <w:rsid w:val="0096455C"/>
    <w:rsid w:val="009647B2"/>
    <w:rsid w:val="0096487C"/>
    <w:rsid w:val="0096487D"/>
    <w:rsid w:val="009648EA"/>
    <w:rsid w:val="00964D6E"/>
    <w:rsid w:val="00964F73"/>
    <w:rsid w:val="00964FAF"/>
    <w:rsid w:val="009650E2"/>
    <w:rsid w:val="009651A3"/>
    <w:rsid w:val="009651E2"/>
    <w:rsid w:val="00965636"/>
    <w:rsid w:val="009656CF"/>
    <w:rsid w:val="00965E1A"/>
    <w:rsid w:val="00965F54"/>
    <w:rsid w:val="009660D2"/>
    <w:rsid w:val="00966509"/>
    <w:rsid w:val="00966861"/>
    <w:rsid w:val="00966974"/>
    <w:rsid w:val="00966BCF"/>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282"/>
    <w:rsid w:val="009725C2"/>
    <w:rsid w:val="009726EC"/>
    <w:rsid w:val="00972713"/>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746"/>
    <w:rsid w:val="00982B17"/>
    <w:rsid w:val="00982BB9"/>
    <w:rsid w:val="00982BDC"/>
    <w:rsid w:val="00982C9B"/>
    <w:rsid w:val="00983085"/>
    <w:rsid w:val="009830FD"/>
    <w:rsid w:val="0098338F"/>
    <w:rsid w:val="0098361E"/>
    <w:rsid w:val="0098374F"/>
    <w:rsid w:val="009837AC"/>
    <w:rsid w:val="00983A22"/>
    <w:rsid w:val="00983AA7"/>
    <w:rsid w:val="00983D5E"/>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9CA"/>
    <w:rsid w:val="00985A06"/>
    <w:rsid w:val="00985BCB"/>
    <w:rsid w:val="00985D9F"/>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3AF"/>
    <w:rsid w:val="0099056C"/>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07F"/>
    <w:rsid w:val="009942FD"/>
    <w:rsid w:val="00994354"/>
    <w:rsid w:val="00994355"/>
    <w:rsid w:val="009943C5"/>
    <w:rsid w:val="00994468"/>
    <w:rsid w:val="0099453F"/>
    <w:rsid w:val="00994676"/>
    <w:rsid w:val="00994856"/>
    <w:rsid w:val="00994B9D"/>
    <w:rsid w:val="00994E5F"/>
    <w:rsid w:val="00994E7E"/>
    <w:rsid w:val="00994E96"/>
    <w:rsid w:val="00994FC1"/>
    <w:rsid w:val="00995030"/>
    <w:rsid w:val="009957F9"/>
    <w:rsid w:val="00995F82"/>
    <w:rsid w:val="00995F85"/>
    <w:rsid w:val="00996189"/>
    <w:rsid w:val="009965DB"/>
    <w:rsid w:val="00996671"/>
    <w:rsid w:val="009966A8"/>
    <w:rsid w:val="00996883"/>
    <w:rsid w:val="009968C7"/>
    <w:rsid w:val="00996B9A"/>
    <w:rsid w:val="00996CC6"/>
    <w:rsid w:val="00996D66"/>
    <w:rsid w:val="00996E07"/>
    <w:rsid w:val="00996F4B"/>
    <w:rsid w:val="00997034"/>
    <w:rsid w:val="00997050"/>
    <w:rsid w:val="0099710C"/>
    <w:rsid w:val="00997527"/>
    <w:rsid w:val="00997598"/>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5A"/>
    <w:rsid w:val="009A3B8C"/>
    <w:rsid w:val="009A3BD3"/>
    <w:rsid w:val="009A3C94"/>
    <w:rsid w:val="009A3FA6"/>
    <w:rsid w:val="009A3FCB"/>
    <w:rsid w:val="009A405E"/>
    <w:rsid w:val="009A4314"/>
    <w:rsid w:val="009A4411"/>
    <w:rsid w:val="009A4483"/>
    <w:rsid w:val="009A47F7"/>
    <w:rsid w:val="009A48BD"/>
    <w:rsid w:val="009A4A2F"/>
    <w:rsid w:val="009A4C4A"/>
    <w:rsid w:val="009A539D"/>
    <w:rsid w:val="009A53A9"/>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06"/>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606"/>
    <w:rsid w:val="009B3883"/>
    <w:rsid w:val="009B416D"/>
    <w:rsid w:val="009B4296"/>
    <w:rsid w:val="009B43D4"/>
    <w:rsid w:val="009B43DE"/>
    <w:rsid w:val="009B4652"/>
    <w:rsid w:val="009B4663"/>
    <w:rsid w:val="009B469F"/>
    <w:rsid w:val="009B4A64"/>
    <w:rsid w:val="009B4A6F"/>
    <w:rsid w:val="009B4C2E"/>
    <w:rsid w:val="009B4F81"/>
    <w:rsid w:val="009B5248"/>
    <w:rsid w:val="009B5449"/>
    <w:rsid w:val="009B54BA"/>
    <w:rsid w:val="009B5605"/>
    <w:rsid w:val="009B575B"/>
    <w:rsid w:val="009B584B"/>
    <w:rsid w:val="009B588E"/>
    <w:rsid w:val="009B6188"/>
    <w:rsid w:val="009B623A"/>
    <w:rsid w:val="009B66D7"/>
    <w:rsid w:val="009B671C"/>
    <w:rsid w:val="009B6B7F"/>
    <w:rsid w:val="009B6B86"/>
    <w:rsid w:val="009B70AD"/>
    <w:rsid w:val="009B768E"/>
    <w:rsid w:val="009B7709"/>
    <w:rsid w:val="009B77E4"/>
    <w:rsid w:val="009B7D4B"/>
    <w:rsid w:val="009B7F25"/>
    <w:rsid w:val="009C0057"/>
    <w:rsid w:val="009C01A1"/>
    <w:rsid w:val="009C03E0"/>
    <w:rsid w:val="009C07A4"/>
    <w:rsid w:val="009C093C"/>
    <w:rsid w:val="009C0C52"/>
    <w:rsid w:val="009C0E98"/>
    <w:rsid w:val="009C1042"/>
    <w:rsid w:val="009C13A7"/>
    <w:rsid w:val="009C13FA"/>
    <w:rsid w:val="009C1703"/>
    <w:rsid w:val="009C1719"/>
    <w:rsid w:val="009C1795"/>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7AF"/>
    <w:rsid w:val="009C392C"/>
    <w:rsid w:val="009C3B52"/>
    <w:rsid w:val="009C41C7"/>
    <w:rsid w:val="009C41FB"/>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0"/>
    <w:rsid w:val="009C636A"/>
    <w:rsid w:val="009C63C9"/>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A"/>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40AB"/>
    <w:rsid w:val="009D4650"/>
    <w:rsid w:val="009D46FC"/>
    <w:rsid w:val="009D478E"/>
    <w:rsid w:val="009D4CFB"/>
    <w:rsid w:val="009D4E07"/>
    <w:rsid w:val="009D5341"/>
    <w:rsid w:val="009D5721"/>
    <w:rsid w:val="009D59EE"/>
    <w:rsid w:val="009D5A0F"/>
    <w:rsid w:val="009D60D0"/>
    <w:rsid w:val="009D6499"/>
    <w:rsid w:val="009D6578"/>
    <w:rsid w:val="009D6BC8"/>
    <w:rsid w:val="009D718F"/>
    <w:rsid w:val="009D71CD"/>
    <w:rsid w:val="009D748E"/>
    <w:rsid w:val="009D75D4"/>
    <w:rsid w:val="009D79A9"/>
    <w:rsid w:val="009D7B4F"/>
    <w:rsid w:val="009D7D6D"/>
    <w:rsid w:val="009E001C"/>
    <w:rsid w:val="009E044D"/>
    <w:rsid w:val="009E0AEF"/>
    <w:rsid w:val="009E0BFF"/>
    <w:rsid w:val="009E0C49"/>
    <w:rsid w:val="009E0D61"/>
    <w:rsid w:val="009E0DDC"/>
    <w:rsid w:val="009E1313"/>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07"/>
    <w:rsid w:val="009E51C0"/>
    <w:rsid w:val="009E54D7"/>
    <w:rsid w:val="009E5594"/>
    <w:rsid w:val="009E559C"/>
    <w:rsid w:val="009E55E1"/>
    <w:rsid w:val="009E56DB"/>
    <w:rsid w:val="009E591E"/>
    <w:rsid w:val="009E5C95"/>
    <w:rsid w:val="009E5E6E"/>
    <w:rsid w:val="009E616F"/>
    <w:rsid w:val="009E6173"/>
    <w:rsid w:val="009E6361"/>
    <w:rsid w:val="009E653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5CE"/>
    <w:rsid w:val="009F161C"/>
    <w:rsid w:val="009F1628"/>
    <w:rsid w:val="009F1C7E"/>
    <w:rsid w:val="009F1CFC"/>
    <w:rsid w:val="009F1EB8"/>
    <w:rsid w:val="009F1FAF"/>
    <w:rsid w:val="009F1FE5"/>
    <w:rsid w:val="009F1FED"/>
    <w:rsid w:val="009F20B8"/>
    <w:rsid w:val="009F21DC"/>
    <w:rsid w:val="009F2422"/>
    <w:rsid w:val="009F24E4"/>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6376"/>
    <w:rsid w:val="009F6486"/>
    <w:rsid w:val="009F6528"/>
    <w:rsid w:val="009F670D"/>
    <w:rsid w:val="009F677E"/>
    <w:rsid w:val="009F6AF1"/>
    <w:rsid w:val="009F6C9A"/>
    <w:rsid w:val="009F6CD3"/>
    <w:rsid w:val="009F6D88"/>
    <w:rsid w:val="009F6D9E"/>
    <w:rsid w:val="009F6EDA"/>
    <w:rsid w:val="009F6F37"/>
    <w:rsid w:val="009F6FCB"/>
    <w:rsid w:val="009F75BD"/>
    <w:rsid w:val="009F7A6D"/>
    <w:rsid w:val="009F7DAF"/>
    <w:rsid w:val="009F7ECE"/>
    <w:rsid w:val="00A000D5"/>
    <w:rsid w:val="00A004A1"/>
    <w:rsid w:val="00A004E5"/>
    <w:rsid w:val="00A00578"/>
    <w:rsid w:val="00A00669"/>
    <w:rsid w:val="00A00676"/>
    <w:rsid w:val="00A0097A"/>
    <w:rsid w:val="00A00D36"/>
    <w:rsid w:val="00A00D79"/>
    <w:rsid w:val="00A01211"/>
    <w:rsid w:val="00A0133E"/>
    <w:rsid w:val="00A016AF"/>
    <w:rsid w:val="00A016EB"/>
    <w:rsid w:val="00A017F5"/>
    <w:rsid w:val="00A01A87"/>
    <w:rsid w:val="00A01EDE"/>
    <w:rsid w:val="00A020B9"/>
    <w:rsid w:val="00A0231C"/>
    <w:rsid w:val="00A02447"/>
    <w:rsid w:val="00A02533"/>
    <w:rsid w:val="00A02598"/>
    <w:rsid w:val="00A0285A"/>
    <w:rsid w:val="00A02905"/>
    <w:rsid w:val="00A0296C"/>
    <w:rsid w:val="00A02982"/>
    <w:rsid w:val="00A02B4F"/>
    <w:rsid w:val="00A02C85"/>
    <w:rsid w:val="00A02DED"/>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5102"/>
    <w:rsid w:val="00A0521D"/>
    <w:rsid w:val="00A053DF"/>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87B"/>
    <w:rsid w:val="00A1093D"/>
    <w:rsid w:val="00A10956"/>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2E5E"/>
    <w:rsid w:val="00A13082"/>
    <w:rsid w:val="00A130C0"/>
    <w:rsid w:val="00A13152"/>
    <w:rsid w:val="00A132A7"/>
    <w:rsid w:val="00A134B7"/>
    <w:rsid w:val="00A13693"/>
    <w:rsid w:val="00A13850"/>
    <w:rsid w:val="00A13870"/>
    <w:rsid w:val="00A13913"/>
    <w:rsid w:val="00A1391E"/>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07"/>
    <w:rsid w:val="00A15AAF"/>
    <w:rsid w:val="00A15C68"/>
    <w:rsid w:val="00A15D11"/>
    <w:rsid w:val="00A160D6"/>
    <w:rsid w:val="00A16505"/>
    <w:rsid w:val="00A16562"/>
    <w:rsid w:val="00A166D1"/>
    <w:rsid w:val="00A16710"/>
    <w:rsid w:val="00A167A4"/>
    <w:rsid w:val="00A16839"/>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499"/>
    <w:rsid w:val="00A225AA"/>
    <w:rsid w:val="00A22A66"/>
    <w:rsid w:val="00A22D81"/>
    <w:rsid w:val="00A2310D"/>
    <w:rsid w:val="00A2318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162"/>
    <w:rsid w:val="00A26273"/>
    <w:rsid w:val="00A263E3"/>
    <w:rsid w:val="00A26568"/>
    <w:rsid w:val="00A26673"/>
    <w:rsid w:val="00A266D3"/>
    <w:rsid w:val="00A26732"/>
    <w:rsid w:val="00A267F1"/>
    <w:rsid w:val="00A26AA3"/>
    <w:rsid w:val="00A26B29"/>
    <w:rsid w:val="00A26B85"/>
    <w:rsid w:val="00A26BD6"/>
    <w:rsid w:val="00A26D34"/>
    <w:rsid w:val="00A2700A"/>
    <w:rsid w:val="00A27082"/>
    <w:rsid w:val="00A270D5"/>
    <w:rsid w:val="00A271DF"/>
    <w:rsid w:val="00A27298"/>
    <w:rsid w:val="00A272C3"/>
    <w:rsid w:val="00A2770B"/>
    <w:rsid w:val="00A2770E"/>
    <w:rsid w:val="00A27729"/>
    <w:rsid w:val="00A27D0C"/>
    <w:rsid w:val="00A27E01"/>
    <w:rsid w:val="00A27FD2"/>
    <w:rsid w:val="00A3018F"/>
    <w:rsid w:val="00A30279"/>
    <w:rsid w:val="00A30853"/>
    <w:rsid w:val="00A308E5"/>
    <w:rsid w:val="00A3098F"/>
    <w:rsid w:val="00A30C01"/>
    <w:rsid w:val="00A30C83"/>
    <w:rsid w:val="00A30D9F"/>
    <w:rsid w:val="00A30DC4"/>
    <w:rsid w:val="00A30F30"/>
    <w:rsid w:val="00A31001"/>
    <w:rsid w:val="00A3140D"/>
    <w:rsid w:val="00A31490"/>
    <w:rsid w:val="00A31E6B"/>
    <w:rsid w:val="00A31F69"/>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4DC"/>
    <w:rsid w:val="00A34784"/>
    <w:rsid w:val="00A34BD3"/>
    <w:rsid w:val="00A35203"/>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DF6"/>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0BF"/>
    <w:rsid w:val="00A42202"/>
    <w:rsid w:val="00A422DF"/>
    <w:rsid w:val="00A4237B"/>
    <w:rsid w:val="00A423C8"/>
    <w:rsid w:val="00A42485"/>
    <w:rsid w:val="00A4278E"/>
    <w:rsid w:val="00A429C1"/>
    <w:rsid w:val="00A42A0E"/>
    <w:rsid w:val="00A42D00"/>
    <w:rsid w:val="00A42E5C"/>
    <w:rsid w:val="00A438CB"/>
    <w:rsid w:val="00A438E9"/>
    <w:rsid w:val="00A4390B"/>
    <w:rsid w:val="00A43B97"/>
    <w:rsid w:val="00A43ED0"/>
    <w:rsid w:val="00A44027"/>
    <w:rsid w:val="00A440E4"/>
    <w:rsid w:val="00A44589"/>
    <w:rsid w:val="00A44D13"/>
    <w:rsid w:val="00A44D8A"/>
    <w:rsid w:val="00A44F34"/>
    <w:rsid w:val="00A45510"/>
    <w:rsid w:val="00A45883"/>
    <w:rsid w:val="00A45CA7"/>
    <w:rsid w:val="00A45F8E"/>
    <w:rsid w:val="00A460DD"/>
    <w:rsid w:val="00A46227"/>
    <w:rsid w:val="00A46328"/>
    <w:rsid w:val="00A464CD"/>
    <w:rsid w:val="00A46547"/>
    <w:rsid w:val="00A466A0"/>
    <w:rsid w:val="00A468DA"/>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0AD"/>
    <w:rsid w:val="00A52149"/>
    <w:rsid w:val="00A521A0"/>
    <w:rsid w:val="00A52640"/>
    <w:rsid w:val="00A52792"/>
    <w:rsid w:val="00A52874"/>
    <w:rsid w:val="00A52AE8"/>
    <w:rsid w:val="00A52EBA"/>
    <w:rsid w:val="00A52FC7"/>
    <w:rsid w:val="00A533F1"/>
    <w:rsid w:val="00A5372A"/>
    <w:rsid w:val="00A53ABC"/>
    <w:rsid w:val="00A53BBC"/>
    <w:rsid w:val="00A53D2E"/>
    <w:rsid w:val="00A53D7F"/>
    <w:rsid w:val="00A53E71"/>
    <w:rsid w:val="00A54045"/>
    <w:rsid w:val="00A543DA"/>
    <w:rsid w:val="00A54791"/>
    <w:rsid w:val="00A54E3C"/>
    <w:rsid w:val="00A54E61"/>
    <w:rsid w:val="00A54FA6"/>
    <w:rsid w:val="00A55155"/>
    <w:rsid w:val="00A55197"/>
    <w:rsid w:val="00A55226"/>
    <w:rsid w:val="00A552D7"/>
    <w:rsid w:val="00A55573"/>
    <w:rsid w:val="00A556C5"/>
    <w:rsid w:val="00A557AF"/>
    <w:rsid w:val="00A557B3"/>
    <w:rsid w:val="00A558F9"/>
    <w:rsid w:val="00A55AA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59A"/>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4E3"/>
    <w:rsid w:val="00A6578F"/>
    <w:rsid w:val="00A65858"/>
    <w:rsid w:val="00A65929"/>
    <w:rsid w:val="00A65991"/>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54"/>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A43"/>
    <w:rsid w:val="00A73C4C"/>
    <w:rsid w:val="00A73CAD"/>
    <w:rsid w:val="00A740EA"/>
    <w:rsid w:val="00A74364"/>
    <w:rsid w:val="00A75012"/>
    <w:rsid w:val="00A75018"/>
    <w:rsid w:val="00A751B3"/>
    <w:rsid w:val="00A75533"/>
    <w:rsid w:val="00A759FF"/>
    <w:rsid w:val="00A75CB6"/>
    <w:rsid w:val="00A75E0E"/>
    <w:rsid w:val="00A761B7"/>
    <w:rsid w:val="00A761F7"/>
    <w:rsid w:val="00A7622D"/>
    <w:rsid w:val="00A76810"/>
    <w:rsid w:val="00A76DD6"/>
    <w:rsid w:val="00A76DF0"/>
    <w:rsid w:val="00A76EAC"/>
    <w:rsid w:val="00A76F42"/>
    <w:rsid w:val="00A76FF4"/>
    <w:rsid w:val="00A7706F"/>
    <w:rsid w:val="00A77405"/>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7E"/>
    <w:rsid w:val="00A81CA4"/>
    <w:rsid w:val="00A81CE3"/>
    <w:rsid w:val="00A81D8E"/>
    <w:rsid w:val="00A81F8D"/>
    <w:rsid w:val="00A82381"/>
    <w:rsid w:val="00A823D7"/>
    <w:rsid w:val="00A82495"/>
    <w:rsid w:val="00A82644"/>
    <w:rsid w:val="00A8275A"/>
    <w:rsid w:val="00A8277B"/>
    <w:rsid w:val="00A82D25"/>
    <w:rsid w:val="00A82DD6"/>
    <w:rsid w:val="00A8337B"/>
    <w:rsid w:val="00A83507"/>
    <w:rsid w:val="00A83521"/>
    <w:rsid w:val="00A838F6"/>
    <w:rsid w:val="00A83A20"/>
    <w:rsid w:val="00A83B97"/>
    <w:rsid w:val="00A83EC2"/>
    <w:rsid w:val="00A83F77"/>
    <w:rsid w:val="00A83FD6"/>
    <w:rsid w:val="00A842F2"/>
    <w:rsid w:val="00A8468B"/>
    <w:rsid w:val="00A84B8B"/>
    <w:rsid w:val="00A84E1E"/>
    <w:rsid w:val="00A84E25"/>
    <w:rsid w:val="00A84F91"/>
    <w:rsid w:val="00A8513D"/>
    <w:rsid w:val="00A85599"/>
    <w:rsid w:val="00A857FC"/>
    <w:rsid w:val="00A85845"/>
    <w:rsid w:val="00A85A70"/>
    <w:rsid w:val="00A85A87"/>
    <w:rsid w:val="00A85DBF"/>
    <w:rsid w:val="00A86151"/>
    <w:rsid w:val="00A86357"/>
    <w:rsid w:val="00A8635B"/>
    <w:rsid w:val="00A8649B"/>
    <w:rsid w:val="00A868FE"/>
    <w:rsid w:val="00A86B99"/>
    <w:rsid w:val="00A86BAD"/>
    <w:rsid w:val="00A86D8B"/>
    <w:rsid w:val="00A873CC"/>
    <w:rsid w:val="00A8758C"/>
    <w:rsid w:val="00A878C6"/>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0CD"/>
    <w:rsid w:val="00A9221F"/>
    <w:rsid w:val="00A9226E"/>
    <w:rsid w:val="00A922C1"/>
    <w:rsid w:val="00A92448"/>
    <w:rsid w:val="00A926CD"/>
    <w:rsid w:val="00A927D4"/>
    <w:rsid w:val="00A9288E"/>
    <w:rsid w:val="00A92919"/>
    <w:rsid w:val="00A92968"/>
    <w:rsid w:val="00A929CB"/>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A87"/>
    <w:rsid w:val="00A96E67"/>
    <w:rsid w:val="00A97091"/>
    <w:rsid w:val="00A971B1"/>
    <w:rsid w:val="00A9721B"/>
    <w:rsid w:val="00A974EF"/>
    <w:rsid w:val="00A97536"/>
    <w:rsid w:val="00A97995"/>
    <w:rsid w:val="00A97CF9"/>
    <w:rsid w:val="00A97E54"/>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9DE"/>
    <w:rsid w:val="00AB0BBB"/>
    <w:rsid w:val="00AB0D14"/>
    <w:rsid w:val="00AB0F3B"/>
    <w:rsid w:val="00AB14F8"/>
    <w:rsid w:val="00AB1706"/>
    <w:rsid w:val="00AB171A"/>
    <w:rsid w:val="00AB18D2"/>
    <w:rsid w:val="00AB1A68"/>
    <w:rsid w:val="00AB1F76"/>
    <w:rsid w:val="00AB1F83"/>
    <w:rsid w:val="00AB20EE"/>
    <w:rsid w:val="00AB2283"/>
    <w:rsid w:val="00AB25F9"/>
    <w:rsid w:val="00AB2644"/>
    <w:rsid w:val="00AB2727"/>
    <w:rsid w:val="00AB2803"/>
    <w:rsid w:val="00AB2957"/>
    <w:rsid w:val="00AB2CBB"/>
    <w:rsid w:val="00AB33A9"/>
    <w:rsid w:val="00AB34F3"/>
    <w:rsid w:val="00AB3899"/>
    <w:rsid w:val="00AB3AF0"/>
    <w:rsid w:val="00AB3B2D"/>
    <w:rsid w:val="00AB4169"/>
    <w:rsid w:val="00AB4182"/>
    <w:rsid w:val="00AB4191"/>
    <w:rsid w:val="00AB4229"/>
    <w:rsid w:val="00AB4247"/>
    <w:rsid w:val="00AB42B7"/>
    <w:rsid w:val="00AB469D"/>
    <w:rsid w:val="00AB47EA"/>
    <w:rsid w:val="00AB4CE8"/>
    <w:rsid w:val="00AB4E35"/>
    <w:rsid w:val="00AB503A"/>
    <w:rsid w:val="00AB51A6"/>
    <w:rsid w:val="00AB533B"/>
    <w:rsid w:val="00AB536E"/>
    <w:rsid w:val="00AB5517"/>
    <w:rsid w:val="00AB5666"/>
    <w:rsid w:val="00AB56A2"/>
    <w:rsid w:val="00AB586A"/>
    <w:rsid w:val="00AB5A99"/>
    <w:rsid w:val="00AB5AF2"/>
    <w:rsid w:val="00AB6248"/>
    <w:rsid w:val="00AB6269"/>
    <w:rsid w:val="00AB64BA"/>
    <w:rsid w:val="00AB656E"/>
    <w:rsid w:val="00AB659C"/>
    <w:rsid w:val="00AB65E7"/>
    <w:rsid w:val="00AB6BAD"/>
    <w:rsid w:val="00AB6C24"/>
    <w:rsid w:val="00AB6E89"/>
    <w:rsid w:val="00AB70EA"/>
    <w:rsid w:val="00AB7373"/>
    <w:rsid w:val="00AB78CB"/>
    <w:rsid w:val="00AB795E"/>
    <w:rsid w:val="00AB79EA"/>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E52"/>
    <w:rsid w:val="00AC1EB7"/>
    <w:rsid w:val="00AC2039"/>
    <w:rsid w:val="00AC2564"/>
    <w:rsid w:val="00AC2587"/>
    <w:rsid w:val="00AC2A68"/>
    <w:rsid w:val="00AC2AB2"/>
    <w:rsid w:val="00AC2AD7"/>
    <w:rsid w:val="00AC2CDB"/>
    <w:rsid w:val="00AC2DF2"/>
    <w:rsid w:val="00AC323A"/>
    <w:rsid w:val="00AC3479"/>
    <w:rsid w:val="00AC34BC"/>
    <w:rsid w:val="00AC35A7"/>
    <w:rsid w:val="00AC3886"/>
    <w:rsid w:val="00AC3B24"/>
    <w:rsid w:val="00AC424E"/>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CE4"/>
    <w:rsid w:val="00AC6DD6"/>
    <w:rsid w:val="00AC6F13"/>
    <w:rsid w:val="00AC6F37"/>
    <w:rsid w:val="00AC6FAA"/>
    <w:rsid w:val="00AC6FFF"/>
    <w:rsid w:val="00AC7581"/>
    <w:rsid w:val="00AC766E"/>
    <w:rsid w:val="00AC7CD6"/>
    <w:rsid w:val="00AD01BD"/>
    <w:rsid w:val="00AD075D"/>
    <w:rsid w:val="00AD0884"/>
    <w:rsid w:val="00AD08A9"/>
    <w:rsid w:val="00AD0AE1"/>
    <w:rsid w:val="00AD11EB"/>
    <w:rsid w:val="00AD132B"/>
    <w:rsid w:val="00AD185E"/>
    <w:rsid w:val="00AD18C2"/>
    <w:rsid w:val="00AD1AA4"/>
    <w:rsid w:val="00AD1C69"/>
    <w:rsid w:val="00AD1C6F"/>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6F17"/>
    <w:rsid w:val="00AD7078"/>
    <w:rsid w:val="00AD70A8"/>
    <w:rsid w:val="00AD7197"/>
    <w:rsid w:val="00AD722C"/>
    <w:rsid w:val="00AD7231"/>
    <w:rsid w:val="00AD7CD8"/>
    <w:rsid w:val="00AD7F89"/>
    <w:rsid w:val="00AE00A3"/>
    <w:rsid w:val="00AE01C1"/>
    <w:rsid w:val="00AE02D0"/>
    <w:rsid w:val="00AE02EA"/>
    <w:rsid w:val="00AE044B"/>
    <w:rsid w:val="00AE0533"/>
    <w:rsid w:val="00AE0B50"/>
    <w:rsid w:val="00AE0BA3"/>
    <w:rsid w:val="00AE0C39"/>
    <w:rsid w:val="00AE0C7A"/>
    <w:rsid w:val="00AE0E95"/>
    <w:rsid w:val="00AE1110"/>
    <w:rsid w:val="00AE1129"/>
    <w:rsid w:val="00AE1180"/>
    <w:rsid w:val="00AE1277"/>
    <w:rsid w:val="00AE158B"/>
    <w:rsid w:val="00AE18AA"/>
    <w:rsid w:val="00AE207E"/>
    <w:rsid w:val="00AE20A0"/>
    <w:rsid w:val="00AE2333"/>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C69"/>
    <w:rsid w:val="00AE4CAE"/>
    <w:rsid w:val="00AE4DB8"/>
    <w:rsid w:val="00AE4DC6"/>
    <w:rsid w:val="00AE4DD6"/>
    <w:rsid w:val="00AE506A"/>
    <w:rsid w:val="00AE516A"/>
    <w:rsid w:val="00AE51B8"/>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6D2E"/>
    <w:rsid w:val="00AE6FB5"/>
    <w:rsid w:val="00AE7161"/>
    <w:rsid w:val="00AE71B2"/>
    <w:rsid w:val="00AE73BA"/>
    <w:rsid w:val="00AE7432"/>
    <w:rsid w:val="00AE74C7"/>
    <w:rsid w:val="00AE7809"/>
    <w:rsid w:val="00AE7B0C"/>
    <w:rsid w:val="00AE7BA9"/>
    <w:rsid w:val="00AE7BB3"/>
    <w:rsid w:val="00AE7C07"/>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7E4"/>
    <w:rsid w:val="00AF1831"/>
    <w:rsid w:val="00AF1838"/>
    <w:rsid w:val="00AF18CA"/>
    <w:rsid w:val="00AF2557"/>
    <w:rsid w:val="00AF258F"/>
    <w:rsid w:val="00AF2771"/>
    <w:rsid w:val="00AF2779"/>
    <w:rsid w:val="00AF2A52"/>
    <w:rsid w:val="00AF2D48"/>
    <w:rsid w:val="00AF2F5C"/>
    <w:rsid w:val="00AF2FD1"/>
    <w:rsid w:val="00AF3341"/>
    <w:rsid w:val="00AF371D"/>
    <w:rsid w:val="00AF3DF5"/>
    <w:rsid w:val="00AF3E50"/>
    <w:rsid w:val="00AF3FA2"/>
    <w:rsid w:val="00AF458C"/>
    <w:rsid w:val="00AF4610"/>
    <w:rsid w:val="00AF469D"/>
    <w:rsid w:val="00AF48C3"/>
    <w:rsid w:val="00AF4A1C"/>
    <w:rsid w:val="00AF4CB2"/>
    <w:rsid w:val="00AF4D04"/>
    <w:rsid w:val="00AF52EA"/>
    <w:rsid w:val="00AF5542"/>
    <w:rsid w:val="00AF57D9"/>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042"/>
    <w:rsid w:val="00B00731"/>
    <w:rsid w:val="00B00966"/>
    <w:rsid w:val="00B00A4E"/>
    <w:rsid w:val="00B00A91"/>
    <w:rsid w:val="00B00AFE"/>
    <w:rsid w:val="00B00B2D"/>
    <w:rsid w:val="00B00FA5"/>
    <w:rsid w:val="00B012D8"/>
    <w:rsid w:val="00B01403"/>
    <w:rsid w:val="00B01447"/>
    <w:rsid w:val="00B014C8"/>
    <w:rsid w:val="00B016B4"/>
    <w:rsid w:val="00B01843"/>
    <w:rsid w:val="00B01A3C"/>
    <w:rsid w:val="00B01BC6"/>
    <w:rsid w:val="00B01C05"/>
    <w:rsid w:val="00B01EAA"/>
    <w:rsid w:val="00B0206C"/>
    <w:rsid w:val="00B0217B"/>
    <w:rsid w:val="00B0222A"/>
    <w:rsid w:val="00B02374"/>
    <w:rsid w:val="00B023AF"/>
    <w:rsid w:val="00B02463"/>
    <w:rsid w:val="00B02769"/>
    <w:rsid w:val="00B02906"/>
    <w:rsid w:val="00B02949"/>
    <w:rsid w:val="00B02962"/>
    <w:rsid w:val="00B029C5"/>
    <w:rsid w:val="00B02AB2"/>
    <w:rsid w:val="00B02D0F"/>
    <w:rsid w:val="00B03048"/>
    <w:rsid w:val="00B03313"/>
    <w:rsid w:val="00B035D2"/>
    <w:rsid w:val="00B03632"/>
    <w:rsid w:val="00B036D8"/>
    <w:rsid w:val="00B03979"/>
    <w:rsid w:val="00B03BAB"/>
    <w:rsid w:val="00B04116"/>
    <w:rsid w:val="00B04265"/>
    <w:rsid w:val="00B04492"/>
    <w:rsid w:val="00B046A6"/>
    <w:rsid w:val="00B048D5"/>
    <w:rsid w:val="00B0496A"/>
    <w:rsid w:val="00B04F72"/>
    <w:rsid w:val="00B0523F"/>
    <w:rsid w:val="00B052CB"/>
    <w:rsid w:val="00B0540C"/>
    <w:rsid w:val="00B05452"/>
    <w:rsid w:val="00B055D3"/>
    <w:rsid w:val="00B0560A"/>
    <w:rsid w:val="00B05641"/>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DED"/>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C0C"/>
    <w:rsid w:val="00B14DE6"/>
    <w:rsid w:val="00B14E68"/>
    <w:rsid w:val="00B14EA6"/>
    <w:rsid w:val="00B151C2"/>
    <w:rsid w:val="00B1522E"/>
    <w:rsid w:val="00B1536C"/>
    <w:rsid w:val="00B15473"/>
    <w:rsid w:val="00B1552C"/>
    <w:rsid w:val="00B15554"/>
    <w:rsid w:val="00B15558"/>
    <w:rsid w:val="00B157E4"/>
    <w:rsid w:val="00B1597A"/>
    <w:rsid w:val="00B159CB"/>
    <w:rsid w:val="00B15A87"/>
    <w:rsid w:val="00B15A90"/>
    <w:rsid w:val="00B15B34"/>
    <w:rsid w:val="00B15CB7"/>
    <w:rsid w:val="00B15CC5"/>
    <w:rsid w:val="00B15FE0"/>
    <w:rsid w:val="00B16052"/>
    <w:rsid w:val="00B1615C"/>
    <w:rsid w:val="00B1616A"/>
    <w:rsid w:val="00B16238"/>
    <w:rsid w:val="00B16337"/>
    <w:rsid w:val="00B16363"/>
    <w:rsid w:val="00B16403"/>
    <w:rsid w:val="00B16651"/>
    <w:rsid w:val="00B16916"/>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426"/>
    <w:rsid w:val="00B20434"/>
    <w:rsid w:val="00B20748"/>
    <w:rsid w:val="00B2091D"/>
    <w:rsid w:val="00B20C4E"/>
    <w:rsid w:val="00B20E17"/>
    <w:rsid w:val="00B20F8F"/>
    <w:rsid w:val="00B21033"/>
    <w:rsid w:val="00B210AC"/>
    <w:rsid w:val="00B211F8"/>
    <w:rsid w:val="00B21486"/>
    <w:rsid w:val="00B217A3"/>
    <w:rsid w:val="00B21905"/>
    <w:rsid w:val="00B21C75"/>
    <w:rsid w:val="00B21CED"/>
    <w:rsid w:val="00B21F14"/>
    <w:rsid w:val="00B226A4"/>
    <w:rsid w:val="00B226CE"/>
    <w:rsid w:val="00B22AB3"/>
    <w:rsid w:val="00B22B24"/>
    <w:rsid w:val="00B22BC8"/>
    <w:rsid w:val="00B22C81"/>
    <w:rsid w:val="00B22D45"/>
    <w:rsid w:val="00B22FB8"/>
    <w:rsid w:val="00B230B8"/>
    <w:rsid w:val="00B23183"/>
    <w:rsid w:val="00B234D9"/>
    <w:rsid w:val="00B23950"/>
    <w:rsid w:val="00B23ACB"/>
    <w:rsid w:val="00B23B96"/>
    <w:rsid w:val="00B23C8E"/>
    <w:rsid w:val="00B23E58"/>
    <w:rsid w:val="00B23E80"/>
    <w:rsid w:val="00B23EF1"/>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5C"/>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14"/>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0BD"/>
    <w:rsid w:val="00B353C7"/>
    <w:rsid w:val="00B35510"/>
    <w:rsid w:val="00B357A5"/>
    <w:rsid w:val="00B358B3"/>
    <w:rsid w:val="00B358B9"/>
    <w:rsid w:val="00B35E55"/>
    <w:rsid w:val="00B36100"/>
    <w:rsid w:val="00B36577"/>
    <w:rsid w:val="00B36583"/>
    <w:rsid w:val="00B36856"/>
    <w:rsid w:val="00B36B72"/>
    <w:rsid w:val="00B36DA6"/>
    <w:rsid w:val="00B371CE"/>
    <w:rsid w:val="00B37291"/>
    <w:rsid w:val="00B37316"/>
    <w:rsid w:val="00B3749C"/>
    <w:rsid w:val="00B3750F"/>
    <w:rsid w:val="00B378DC"/>
    <w:rsid w:val="00B37A0E"/>
    <w:rsid w:val="00B37AF1"/>
    <w:rsid w:val="00B37C04"/>
    <w:rsid w:val="00B37EAC"/>
    <w:rsid w:val="00B37F6E"/>
    <w:rsid w:val="00B400CF"/>
    <w:rsid w:val="00B4025D"/>
    <w:rsid w:val="00B4044E"/>
    <w:rsid w:val="00B40559"/>
    <w:rsid w:val="00B40651"/>
    <w:rsid w:val="00B4072A"/>
    <w:rsid w:val="00B408BD"/>
    <w:rsid w:val="00B40954"/>
    <w:rsid w:val="00B40B41"/>
    <w:rsid w:val="00B40F88"/>
    <w:rsid w:val="00B40FF1"/>
    <w:rsid w:val="00B41192"/>
    <w:rsid w:val="00B412FB"/>
    <w:rsid w:val="00B412FD"/>
    <w:rsid w:val="00B413F9"/>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44"/>
    <w:rsid w:val="00B437C0"/>
    <w:rsid w:val="00B43BCB"/>
    <w:rsid w:val="00B43CFF"/>
    <w:rsid w:val="00B43F00"/>
    <w:rsid w:val="00B4407A"/>
    <w:rsid w:val="00B44481"/>
    <w:rsid w:val="00B444FE"/>
    <w:rsid w:val="00B44773"/>
    <w:rsid w:val="00B44777"/>
    <w:rsid w:val="00B447A3"/>
    <w:rsid w:val="00B447C0"/>
    <w:rsid w:val="00B44B82"/>
    <w:rsid w:val="00B44C0B"/>
    <w:rsid w:val="00B451F9"/>
    <w:rsid w:val="00B452F7"/>
    <w:rsid w:val="00B45A43"/>
    <w:rsid w:val="00B45C96"/>
    <w:rsid w:val="00B45FCB"/>
    <w:rsid w:val="00B46165"/>
    <w:rsid w:val="00B4699E"/>
    <w:rsid w:val="00B46CB6"/>
    <w:rsid w:val="00B476D4"/>
    <w:rsid w:val="00B476F7"/>
    <w:rsid w:val="00B4776B"/>
    <w:rsid w:val="00B47796"/>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B1B"/>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1E4"/>
    <w:rsid w:val="00B54207"/>
    <w:rsid w:val="00B54507"/>
    <w:rsid w:val="00B547A1"/>
    <w:rsid w:val="00B548EC"/>
    <w:rsid w:val="00B549F1"/>
    <w:rsid w:val="00B54FDF"/>
    <w:rsid w:val="00B550C3"/>
    <w:rsid w:val="00B5512E"/>
    <w:rsid w:val="00B5513F"/>
    <w:rsid w:val="00B5534A"/>
    <w:rsid w:val="00B5540E"/>
    <w:rsid w:val="00B55609"/>
    <w:rsid w:val="00B5581D"/>
    <w:rsid w:val="00B55948"/>
    <w:rsid w:val="00B55A6C"/>
    <w:rsid w:val="00B55E90"/>
    <w:rsid w:val="00B561E5"/>
    <w:rsid w:val="00B562D5"/>
    <w:rsid w:val="00B563CA"/>
    <w:rsid w:val="00B56784"/>
    <w:rsid w:val="00B56888"/>
    <w:rsid w:val="00B569ED"/>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503"/>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3C4"/>
    <w:rsid w:val="00B67735"/>
    <w:rsid w:val="00B67837"/>
    <w:rsid w:val="00B678C6"/>
    <w:rsid w:val="00B67C2A"/>
    <w:rsid w:val="00B67D71"/>
    <w:rsid w:val="00B67E22"/>
    <w:rsid w:val="00B67FC5"/>
    <w:rsid w:val="00B703ED"/>
    <w:rsid w:val="00B70406"/>
    <w:rsid w:val="00B70686"/>
    <w:rsid w:val="00B70AF7"/>
    <w:rsid w:val="00B70B2B"/>
    <w:rsid w:val="00B70B58"/>
    <w:rsid w:val="00B70B59"/>
    <w:rsid w:val="00B70B7B"/>
    <w:rsid w:val="00B70F71"/>
    <w:rsid w:val="00B71209"/>
    <w:rsid w:val="00B7156D"/>
    <w:rsid w:val="00B7190A"/>
    <w:rsid w:val="00B71ABF"/>
    <w:rsid w:val="00B71BEF"/>
    <w:rsid w:val="00B71CE5"/>
    <w:rsid w:val="00B71F84"/>
    <w:rsid w:val="00B72065"/>
    <w:rsid w:val="00B72124"/>
    <w:rsid w:val="00B72142"/>
    <w:rsid w:val="00B722C2"/>
    <w:rsid w:val="00B72432"/>
    <w:rsid w:val="00B72984"/>
    <w:rsid w:val="00B72991"/>
    <w:rsid w:val="00B72B8E"/>
    <w:rsid w:val="00B72B99"/>
    <w:rsid w:val="00B72BC4"/>
    <w:rsid w:val="00B72C45"/>
    <w:rsid w:val="00B72DFD"/>
    <w:rsid w:val="00B72ED6"/>
    <w:rsid w:val="00B72F27"/>
    <w:rsid w:val="00B7319E"/>
    <w:rsid w:val="00B734CB"/>
    <w:rsid w:val="00B73504"/>
    <w:rsid w:val="00B7359F"/>
    <w:rsid w:val="00B736F5"/>
    <w:rsid w:val="00B73771"/>
    <w:rsid w:val="00B73A36"/>
    <w:rsid w:val="00B73BDA"/>
    <w:rsid w:val="00B73C48"/>
    <w:rsid w:val="00B744A2"/>
    <w:rsid w:val="00B745AA"/>
    <w:rsid w:val="00B74728"/>
    <w:rsid w:val="00B74888"/>
    <w:rsid w:val="00B74ABD"/>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BA0"/>
    <w:rsid w:val="00B80D1A"/>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2AC6"/>
    <w:rsid w:val="00B831E1"/>
    <w:rsid w:val="00B839B1"/>
    <w:rsid w:val="00B8450E"/>
    <w:rsid w:val="00B846F1"/>
    <w:rsid w:val="00B8476F"/>
    <w:rsid w:val="00B852E0"/>
    <w:rsid w:val="00B8586C"/>
    <w:rsid w:val="00B858C2"/>
    <w:rsid w:val="00B85A66"/>
    <w:rsid w:val="00B85A71"/>
    <w:rsid w:val="00B85B10"/>
    <w:rsid w:val="00B85EE3"/>
    <w:rsid w:val="00B86280"/>
    <w:rsid w:val="00B863E1"/>
    <w:rsid w:val="00B866EE"/>
    <w:rsid w:val="00B86981"/>
    <w:rsid w:val="00B869AC"/>
    <w:rsid w:val="00B86B8E"/>
    <w:rsid w:val="00B86DC0"/>
    <w:rsid w:val="00B8707A"/>
    <w:rsid w:val="00B870A6"/>
    <w:rsid w:val="00B8711E"/>
    <w:rsid w:val="00B87145"/>
    <w:rsid w:val="00B8735C"/>
    <w:rsid w:val="00B87413"/>
    <w:rsid w:val="00B874C3"/>
    <w:rsid w:val="00B87656"/>
    <w:rsid w:val="00B878A9"/>
    <w:rsid w:val="00B879AB"/>
    <w:rsid w:val="00B87A3C"/>
    <w:rsid w:val="00B901C7"/>
    <w:rsid w:val="00B90563"/>
    <w:rsid w:val="00B90925"/>
    <w:rsid w:val="00B90F52"/>
    <w:rsid w:val="00B90F96"/>
    <w:rsid w:val="00B90FE8"/>
    <w:rsid w:val="00B9107B"/>
    <w:rsid w:val="00B91203"/>
    <w:rsid w:val="00B912BC"/>
    <w:rsid w:val="00B91302"/>
    <w:rsid w:val="00B9136C"/>
    <w:rsid w:val="00B91467"/>
    <w:rsid w:val="00B915F7"/>
    <w:rsid w:val="00B917BD"/>
    <w:rsid w:val="00B919EC"/>
    <w:rsid w:val="00B91C52"/>
    <w:rsid w:val="00B91CA4"/>
    <w:rsid w:val="00B91F27"/>
    <w:rsid w:val="00B923F0"/>
    <w:rsid w:val="00B924A2"/>
    <w:rsid w:val="00B92742"/>
    <w:rsid w:val="00B9279C"/>
    <w:rsid w:val="00B92873"/>
    <w:rsid w:val="00B9289C"/>
    <w:rsid w:val="00B92B50"/>
    <w:rsid w:val="00B92B65"/>
    <w:rsid w:val="00B92BA4"/>
    <w:rsid w:val="00B92D97"/>
    <w:rsid w:val="00B93573"/>
    <w:rsid w:val="00B93599"/>
    <w:rsid w:val="00B93838"/>
    <w:rsid w:val="00B93891"/>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98"/>
    <w:rsid w:val="00BA0C6F"/>
    <w:rsid w:val="00BA0C93"/>
    <w:rsid w:val="00BA0CD7"/>
    <w:rsid w:val="00BA120B"/>
    <w:rsid w:val="00BA15F9"/>
    <w:rsid w:val="00BA164E"/>
    <w:rsid w:val="00BA1875"/>
    <w:rsid w:val="00BA18C1"/>
    <w:rsid w:val="00BA20A0"/>
    <w:rsid w:val="00BA20AB"/>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66"/>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06"/>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3C0"/>
    <w:rsid w:val="00BB34C5"/>
    <w:rsid w:val="00BB3551"/>
    <w:rsid w:val="00BB36F0"/>
    <w:rsid w:val="00BB3B19"/>
    <w:rsid w:val="00BB3D4B"/>
    <w:rsid w:val="00BB3D97"/>
    <w:rsid w:val="00BB489C"/>
    <w:rsid w:val="00BB4906"/>
    <w:rsid w:val="00BB4DF6"/>
    <w:rsid w:val="00BB522D"/>
    <w:rsid w:val="00BB52B2"/>
    <w:rsid w:val="00BB52DA"/>
    <w:rsid w:val="00BB5305"/>
    <w:rsid w:val="00BB5481"/>
    <w:rsid w:val="00BB57C0"/>
    <w:rsid w:val="00BB57C7"/>
    <w:rsid w:val="00BB59F1"/>
    <w:rsid w:val="00BB5B9B"/>
    <w:rsid w:val="00BB5BE5"/>
    <w:rsid w:val="00BB5D56"/>
    <w:rsid w:val="00BB5F42"/>
    <w:rsid w:val="00BB624A"/>
    <w:rsid w:val="00BB6401"/>
    <w:rsid w:val="00BB649B"/>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478"/>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F86"/>
    <w:rsid w:val="00BD0FF5"/>
    <w:rsid w:val="00BD1021"/>
    <w:rsid w:val="00BD113E"/>
    <w:rsid w:val="00BD1198"/>
    <w:rsid w:val="00BD1235"/>
    <w:rsid w:val="00BD153B"/>
    <w:rsid w:val="00BD1C3D"/>
    <w:rsid w:val="00BD1CFD"/>
    <w:rsid w:val="00BD1F82"/>
    <w:rsid w:val="00BD22EA"/>
    <w:rsid w:val="00BD2A96"/>
    <w:rsid w:val="00BD2B9F"/>
    <w:rsid w:val="00BD2BBC"/>
    <w:rsid w:val="00BD2E98"/>
    <w:rsid w:val="00BD3249"/>
    <w:rsid w:val="00BD3266"/>
    <w:rsid w:val="00BD3831"/>
    <w:rsid w:val="00BD38D6"/>
    <w:rsid w:val="00BD40B7"/>
    <w:rsid w:val="00BD4247"/>
    <w:rsid w:val="00BD43BD"/>
    <w:rsid w:val="00BD490E"/>
    <w:rsid w:val="00BD4939"/>
    <w:rsid w:val="00BD4C99"/>
    <w:rsid w:val="00BD4E59"/>
    <w:rsid w:val="00BD5374"/>
    <w:rsid w:val="00BD54C7"/>
    <w:rsid w:val="00BD551B"/>
    <w:rsid w:val="00BD578C"/>
    <w:rsid w:val="00BD58D6"/>
    <w:rsid w:val="00BD59F0"/>
    <w:rsid w:val="00BD5B87"/>
    <w:rsid w:val="00BD5B89"/>
    <w:rsid w:val="00BD5BD5"/>
    <w:rsid w:val="00BD5BEA"/>
    <w:rsid w:val="00BD5C14"/>
    <w:rsid w:val="00BD5C5D"/>
    <w:rsid w:val="00BD5FBA"/>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282E"/>
    <w:rsid w:val="00BE2B94"/>
    <w:rsid w:val="00BE3040"/>
    <w:rsid w:val="00BE3173"/>
    <w:rsid w:val="00BE3490"/>
    <w:rsid w:val="00BE35B9"/>
    <w:rsid w:val="00BE37FE"/>
    <w:rsid w:val="00BE3822"/>
    <w:rsid w:val="00BE38BD"/>
    <w:rsid w:val="00BE3938"/>
    <w:rsid w:val="00BE39BD"/>
    <w:rsid w:val="00BE3B8A"/>
    <w:rsid w:val="00BE408F"/>
    <w:rsid w:val="00BE450C"/>
    <w:rsid w:val="00BE4734"/>
    <w:rsid w:val="00BE4912"/>
    <w:rsid w:val="00BE4A9B"/>
    <w:rsid w:val="00BE4BF8"/>
    <w:rsid w:val="00BE507F"/>
    <w:rsid w:val="00BE539C"/>
    <w:rsid w:val="00BE53EA"/>
    <w:rsid w:val="00BE53F1"/>
    <w:rsid w:val="00BE56C5"/>
    <w:rsid w:val="00BE589E"/>
    <w:rsid w:val="00BE58BD"/>
    <w:rsid w:val="00BE5922"/>
    <w:rsid w:val="00BE5D7F"/>
    <w:rsid w:val="00BE5FB3"/>
    <w:rsid w:val="00BE60DA"/>
    <w:rsid w:val="00BE63AD"/>
    <w:rsid w:val="00BE654F"/>
    <w:rsid w:val="00BE6600"/>
    <w:rsid w:val="00BE666E"/>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6CA"/>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875"/>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01"/>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29"/>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CE"/>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A13"/>
    <w:rsid w:val="00C20D45"/>
    <w:rsid w:val="00C2130C"/>
    <w:rsid w:val="00C2180C"/>
    <w:rsid w:val="00C21EA7"/>
    <w:rsid w:val="00C22066"/>
    <w:rsid w:val="00C2207B"/>
    <w:rsid w:val="00C2214B"/>
    <w:rsid w:val="00C223ED"/>
    <w:rsid w:val="00C22515"/>
    <w:rsid w:val="00C225AF"/>
    <w:rsid w:val="00C22B49"/>
    <w:rsid w:val="00C22D45"/>
    <w:rsid w:val="00C23069"/>
    <w:rsid w:val="00C23084"/>
    <w:rsid w:val="00C23601"/>
    <w:rsid w:val="00C23627"/>
    <w:rsid w:val="00C236C0"/>
    <w:rsid w:val="00C23710"/>
    <w:rsid w:val="00C23C13"/>
    <w:rsid w:val="00C23D0A"/>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677"/>
    <w:rsid w:val="00C25BD0"/>
    <w:rsid w:val="00C25E2B"/>
    <w:rsid w:val="00C2606E"/>
    <w:rsid w:val="00C261BA"/>
    <w:rsid w:val="00C2623F"/>
    <w:rsid w:val="00C263B9"/>
    <w:rsid w:val="00C2655A"/>
    <w:rsid w:val="00C2667D"/>
    <w:rsid w:val="00C2685C"/>
    <w:rsid w:val="00C26921"/>
    <w:rsid w:val="00C26B2A"/>
    <w:rsid w:val="00C26F1C"/>
    <w:rsid w:val="00C26F72"/>
    <w:rsid w:val="00C2727C"/>
    <w:rsid w:val="00C27641"/>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2EE3"/>
    <w:rsid w:val="00C33012"/>
    <w:rsid w:val="00C332F0"/>
    <w:rsid w:val="00C335FF"/>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D97"/>
    <w:rsid w:val="00C35F5C"/>
    <w:rsid w:val="00C3603C"/>
    <w:rsid w:val="00C3604C"/>
    <w:rsid w:val="00C362AE"/>
    <w:rsid w:val="00C3652B"/>
    <w:rsid w:val="00C36602"/>
    <w:rsid w:val="00C3666E"/>
    <w:rsid w:val="00C36985"/>
    <w:rsid w:val="00C369D6"/>
    <w:rsid w:val="00C36DAF"/>
    <w:rsid w:val="00C36EF4"/>
    <w:rsid w:val="00C36F23"/>
    <w:rsid w:val="00C370FF"/>
    <w:rsid w:val="00C3755D"/>
    <w:rsid w:val="00C379C6"/>
    <w:rsid w:val="00C37C0D"/>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D2"/>
    <w:rsid w:val="00C430AE"/>
    <w:rsid w:val="00C43321"/>
    <w:rsid w:val="00C434C2"/>
    <w:rsid w:val="00C4395D"/>
    <w:rsid w:val="00C43963"/>
    <w:rsid w:val="00C43AE0"/>
    <w:rsid w:val="00C43B5E"/>
    <w:rsid w:val="00C441C0"/>
    <w:rsid w:val="00C442D1"/>
    <w:rsid w:val="00C44305"/>
    <w:rsid w:val="00C4433D"/>
    <w:rsid w:val="00C445D0"/>
    <w:rsid w:val="00C449D7"/>
    <w:rsid w:val="00C44DAC"/>
    <w:rsid w:val="00C44DF0"/>
    <w:rsid w:val="00C44F3D"/>
    <w:rsid w:val="00C453F3"/>
    <w:rsid w:val="00C458E5"/>
    <w:rsid w:val="00C45A2B"/>
    <w:rsid w:val="00C45CD5"/>
    <w:rsid w:val="00C45E65"/>
    <w:rsid w:val="00C45ECD"/>
    <w:rsid w:val="00C45F76"/>
    <w:rsid w:val="00C46024"/>
    <w:rsid w:val="00C4610B"/>
    <w:rsid w:val="00C46195"/>
    <w:rsid w:val="00C46656"/>
    <w:rsid w:val="00C467D8"/>
    <w:rsid w:val="00C46932"/>
    <w:rsid w:val="00C46A18"/>
    <w:rsid w:val="00C46C3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4DE"/>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5B1"/>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B16"/>
    <w:rsid w:val="00C57D2B"/>
    <w:rsid w:val="00C57E78"/>
    <w:rsid w:val="00C600CB"/>
    <w:rsid w:val="00C600E0"/>
    <w:rsid w:val="00C60788"/>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2988"/>
    <w:rsid w:val="00C6316B"/>
    <w:rsid w:val="00C63375"/>
    <w:rsid w:val="00C63439"/>
    <w:rsid w:val="00C63E8D"/>
    <w:rsid w:val="00C63FAA"/>
    <w:rsid w:val="00C6416C"/>
    <w:rsid w:val="00C64A03"/>
    <w:rsid w:val="00C64B15"/>
    <w:rsid w:val="00C64C01"/>
    <w:rsid w:val="00C64D78"/>
    <w:rsid w:val="00C64DBB"/>
    <w:rsid w:val="00C6500F"/>
    <w:rsid w:val="00C650CB"/>
    <w:rsid w:val="00C65237"/>
    <w:rsid w:val="00C65367"/>
    <w:rsid w:val="00C65740"/>
    <w:rsid w:val="00C65992"/>
    <w:rsid w:val="00C659A7"/>
    <w:rsid w:val="00C65BCB"/>
    <w:rsid w:val="00C65C52"/>
    <w:rsid w:val="00C663C7"/>
    <w:rsid w:val="00C66453"/>
    <w:rsid w:val="00C664F3"/>
    <w:rsid w:val="00C6652A"/>
    <w:rsid w:val="00C66760"/>
    <w:rsid w:val="00C6679F"/>
    <w:rsid w:val="00C669FD"/>
    <w:rsid w:val="00C66BE7"/>
    <w:rsid w:val="00C66C84"/>
    <w:rsid w:val="00C66D1C"/>
    <w:rsid w:val="00C671B1"/>
    <w:rsid w:val="00C67260"/>
    <w:rsid w:val="00C6747E"/>
    <w:rsid w:val="00C6764F"/>
    <w:rsid w:val="00C677A8"/>
    <w:rsid w:val="00C679EE"/>
    <w:rsid w:val="00C67C5B"/>
    <w:rsid w:val="00C67D01"/>
    <w:rsid w:val="00C67D72"/>
    <w:rsid w:val="00C67FEE"/>
    <w:rsid w:val="00C7002A"/>
    <w:rsid w:val="00C7005A"/>
    <w:rsid w:val="00C701DE"/>
    <w:rsid w:val="00C70250"/>
    <w:rsid w:val="00C703A0"/>
    <w:rsid w:val="00C704E9"/>
    <w:rsid w:val="00C705EE"/>
    <w:rsid w:val="00C70C58"/>
    <w:rsid w:val="00C70D9B"/>
    <w:rsid w:val="00C70F23"/>
    <w:rsid w:val="00C70F54"/>
    <w:rsid w:val="00C70FA2"/>
    <w:rsid w:val="00C711FE"/>
    <w:rsid w:val="00C71396"/>
    <w:rsid w:val="00C71E2B"/>
    <w:rsid w:val="00C7202C"/>
    <w:rsid w:val="00C72058"/>
    <w:rsid w:val="00C720DD"/>
    <w:rsid w:val="00C725E1"/>
    <w:rsid w:val="00C728B5"/>
    <w:rsid w:val="00C7290D"/>
    <w:rsid w:val="00C73171"/>
    <w:rsid w:val="00C73901"/>
    <w:rsid w:val="00C73B14"/>
    <w:rsid w:val="00C73D86"/>
    <w:rsid w:val="00C73D9F"/>
    <w:rsid w:val="00C740DD"/>
    <w:rsid w:val="00C742D7"/>
    <w:rsid w:val="00C74721"/>
    <w:rsid w:val="00C747A5"/>
    <w:rsid w:val="00C7480F"/>
    <w:rsid w:val="00C74B4A"/>
    <w:rsid w:val="00C74BCC"/>
    <w:rsid w:val="00C74C2E"/>
    <w:rsid w:val="00C75194"/>
    <w:rsid w:val="00C75437"/>
    <w:rsid w:val="00C7544A"/>
    <w:rsid w:val="00C75649"/>
    <w:rsid w:val="00C7575F"/>
    <w:rsid w:val="00C758E8"/>
    <w:rsid w:val="00C75A58"/>
    <w:rsid w:val="00C75B62"/>
    <w:rsid w:val="00C75BC0"/>
    <w:rsid w:val="00C75C8B"/>
    <w:rsid w:val="00C75CD2"/>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3B6"/>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8E3"/>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04"/>
    <w:rsid w:val="00C84AD2"/>
    <w:rsid w:val="00C84DEA"/>
    <w:rsid w:val="00C84E94"/>
    <w:rsid w:val="00C84ED2"/>
    <w:rsid w:val="00C8507A"/>
    <w:rsid w:val="00C850EF"/>
    <w:rsid w:val="00C8516E"/>
    <w:rsid w:val="00C854AD"/>
    <w:rsid w:val="00C855CA"/>
    <w:rsid w:val="00C85D1B"/>
    <w:rsid w:val="00C85FDC"/>
    <w:rsid w:val="00C8606B"/>
    <w:rsid w:val="00C8610B"/>
    <w:rsid w:val="00C864C2"/>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1C8"/>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B58"/>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E"/>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32D"/>
    <w:rsid w:val="00CA459C"/>
    <w:rsid w:val="00CA4649"/>
    <w:rsid w:val="00CA4672"/>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6E01"/>
    <w:rsid w:val="00CA7227"/>
    <w:rsid w:val="00CA745D"/>
    <w:rsid w:val="00CA75A9"/>
    <w:rsid w:val="00CA781E"/>
    <w:rsid w:val="00CA783B"/>
    <w:rsid w:val="00CA793C"/>
    <w:rsid w:val="00CA7B54"/>
    <w:rsid w:val="00CA7BA9"/>
    <w:rsid w:val="00CA7D5C"/>
    <w:rsid w:val="00CA7D82"/>
    <w:rsid w:val="00CB00C5"/>
    <w:rsid w:val="00CB035B"/>
    <w:rsid w:val="00CB06A4"/>
    <w:rsid w:val="00CB0A6C"/>
    <w:rsid w:val="00CB0BE4"/>
    <w:rsid w:val="00CB0F7B"/>
    <w:rsid w:val="00CB14C3"/>
    <w:rsid w:val="00CB1B03"/>
    <w:rsid w:val="00CB1E1D"/>
    <w:rsid w:val="00CB232B"/>
    <w:rsid w:val="00CB2A94"/>
    <w:rsid w:val="00CB2B1B"/>
    <w:rsid w:val="00CB2B32"/>
    <w:rsid w:val="00CB2DF2"/>
    <w:rsid w:val="00CB2F9D"/>
    <w:rsid w:val="00CB2F9E"/>
    <w:rsid w:val="00CB361B"/>
    <w:rsid w:val="00CB365F"/>
    <w:rsid w:val="00CB3AD7"/>
    <w:rsid w:val="00CB3BAC"/>
    <w:rsid w:val="00CB3CC8"/>
    <w:rsid w:val="00CB3EA2"/>
    <w:rsid w:val="00CB4139"/>
    <w:rsid w:val="00CB4173"/>
    <w:rsid w:val="00CB4225"/>
    <w:rsid w:val="00CB47FF"/>
    <w:rsid w:val="00CB490D"/>
    <w:rsid w:val="00CB4914"/>
    <w:rsid w:val="00CB4AB4"/>
    <w:rsid w:val="00CB552F"/>
    <w:rsid w:val="00CB5753"/>
    <w:rsid w:val="00CB5801"/>
    <w:rsid w:val="00CB591E"/>
    <w:rsid w:val="00CB5A66"/>
    <w:rsid w:val="00CB5B6F"/>
    <w:rsid w:val="00CB5C85"/>
    <w:rsid w:val="00CB6196"/>
    <w:rsid w:val="00CB6240"/>
    <w:rsid w:val="00CB65FA"/>
    <w:rsid w:val="00CB667C"/>
    <w:rsid w:val="00CB6CE2"/>
    <w:rsid w:val="00CB6E00"/>
    <w:rsid w:val="00CB6E2A"/>
    <w:rsid w:val="00CB6F9A"/>
    <w:rsid w:val="00CB7048"/>
    <w:rsid w:val="00CB7690"/>
    <w:rsid w:val="00CB79C2"/>
    <w:rsid w:val="00CB7C67"/>
    <w:rsid w:val="00CC0204"/>
    <w:rsid w:val="00CC0436"/>
    <w:rsid w:val="00CC0780"/>
    <w:rsid w:val="00CC0985"/>
    <w:rsid w:val="00CC09E4"/>
    <w:rsid w:val="00CC0ADB"/>
    <w:rsid w:val="00CC0AFE"/>
    <w:rsid w:val="00CC0B9A"/>
    <w:rsid w:val="00CC0DB6"/>
    <w:rsid w:val="00CC0F15"/>
    <w:rsid w:val="00CC140A"/>
    <w:rsid w:val="00CC14C7"/>
    <w:rsid w:val="00CC17E3"/>
    <w:rsid w:val="00CC26D2"/>
    <w:rsid w:val="00CC30C0"/>
    <w:rsid w:val="00CC3669"/>
    <w:rsid w:val="00CC36BB"/>
    <w:rsid w:val="00CC36F3"/>
    <w:rsid w:val="00CC3CDD"/>
    <w:rsid w:val="00CC3DBE"/>
    <w:rsid w:val="00CC3DE2"/>
    <w:rsid w:val="00CC4249"/>
    <w:rsid w:val="00CC4343"/>
    <w:rsid w:val="00CC4395"/>
    <w:rsid w:val="00CC4595"/>
    <w:rsid w:val="00CC488C"/>
    <w:rsid w:val="00CC49C6"/>
    <w:rsid w:val="00CC4A63"/>
    <w:rsid w:val="00CC4DF2"/>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7E8"/>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407"/>
    <w:rsid w:val="00CD1770"/>
    <w:rsid w:val="00CD1C69"/>
    <w:rsid w:val="00CD1CE4"/>
    <w:rsid w:val="00CD1F3E"/>
    <w:rsid w:val="00CD1FCC"/>
    <w:rsid w:val="00CD2111"/>
    <w:rsid w:val="00CD21CC"/>
    <w:rsid w:val="00CD258E"/>
    <w:rsid w:val="00CD28E8"/>
    <w:rsid w:val="00CD2D88"/>
    <w:rsid w:val="00CD32AE"/>
    <w:rsid w:val="00CD3594"/>
    <w:rsid w:val="00CD3E98"/>
    <w:rsid w:val="00CD4073"/>
    <w:rsid w:val="00CD4131"/>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60A"/>
    <w:rsid w:val="00CD67E0"/>
    <w:rsid w:val="00CD6818"/>
    <w:rsid w:val="00CD6B02"/>
    <w:rsid w:val="00CD6F97"/>
    <w:rsid w:val="00CD6FBF"/>
    <w:rsid w:val="00CD7714"/>
    <w:rsid w:val="00CD7835"/>
    <w:rsid w:val="00CD7857"/>
    <w:rsid w:val="00CD7A47"/>
    <w:rsid w:val="00CD7AEC"/>
    <w:rsid w:val="00CD7EAC"/>
    <w:rsid w:val="00CE063D"/>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ADC"/>
    <w:rsid w:val="00CE2B0E"/>
    <w:rsid w:val="00CE2D37"/>
    <w:rsid w:val="00CE311D"/>
    <w:rsid w:val="00CE3268"/>
    <w:rsid w:val="00CE335E"/>
    <w:rsid w:val="00CE37B9"/>
    <w:rsid w:val="00CE38BA"/>
    <w:rsid w:val="00CE3AD4"/>
    <w:rsid w:val="00CE3B3B"/>
    <w:rsid w:val="00CE3C4B"/>
    <w:rsid w:val="00CE3C4E"/>
    <w:rsid w:val="00CE3E4D"/>
    <w:rsid w:val="00CE3F2E"/>
    <w:rsid w:val="00CE4050"/>
    <w:rsid w:val="00CE4088"/>
    <w:rsid w:val="00CE4172"/>
    <w:rsid w:val="00CE4975"/>
    <w:rsid w:val="00CE4E15"/>
    <w:rsid w:val="00CE5061"/>
    <w:rsid w:val="00CE53FF"/>
    <w:rsid w:val="00CE577A"/>
    <w:rsid w:val="00CE598F"/>
    <w:rsid w:val="00CE5C4D"/>
    <w:rsid w:val="00CE5CFD"/>
    <w:rsid w:val="00CE5D60"/>
    <w:rsid w:val="00CE5D9A"/>
    <w:rsid w:val="00CE61F1"/>
    <w:rsid w:val="00CE6384"/>
    <w:rsid w:val="00CE646A"/>
    <w:rsid w:val="00CE68CC"/>
    <w:rsid w:val="00CE6954"/>
    <w:rsid w:val="00CE6A02"/>
    <w:rsid w:val="00CE6A06"/>
    <w:rsid w:val="00CE6A59"/>
    <w:rsid w:val="00CE6A7C"/>
    <w:rsid w:val="00CE6D46"/>
    <w:rsid w:val="00CE716D"/>
    <w:rsid w:val="00CE71F8"/>
    <w:rsid w:val="00CE75FC"/>
    <w:rsid w:val="00CE7C33"/>
    <w:rsid w:val="00CE7DA6"/>
    <w:rsid w:val="00CF0184"/>
    <w:rsid w:val="00CF022A"/>
    <w:rsid w:val="00CF023C"/>
    <w:rsid w:val="00CF0270"/>
    <w:rsid w:val="00CF02D2"/>
    <w:rsid w:val="00CF0456"/>
    <w:rsid w:val="00CF05D5"/>
    <w:rsid w:val="00CF08D7"/>
    <w:rsid w:val="00CF09FD"/>
    <w:rsid w:val="00CF0E14"/>
    <w:rsid w:val="00CF0F2E"/>
    <w:rsid w:val="00CF1148"/>
    <w:rsid w:val="00CF1291"/>
    <w:rsid w:val="00CF130E"/>
    <w:rsid w:val="00CF148D"/>
    <w:rsid w:val="00CF17BC"/>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A47"/>
    <w:rsid w:val="00CF4C61"/>
    <w:rsid w:val="00CF4FB4"/>
    <w:rsid w:val="00CF5099"/>
    <w:rsid w:val="00CF50DF"/>
    <w:rsid w:val="00CF5108"/>
    <w:rsid w:val="00CF52CD"/>
    <w:rsid w:val="00CF542E"/>
    <w:rsid w:val="00CF5530"/>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7B"/>
    <w:rsid w:val="00D01A1B"/>
    <w:rsid w:val="00D01D45"/>
    <w:rsid w:val="00D01F1B"/>
    <w:rsid w:val="00D0216E"/>
    <w:rsid w:val="00D022D7"/>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506"/>
    <w:rsid w:val="00D10628"/>
    <w:rsid w:val="00D1074D"/>
    <w:rsid w:val="00D10B09"/>
    <w:rsid w:val="00D10BE3"/>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7"/>
    <w:rsid w:val="00D130AC"/>
    <w:rsid w:val="00D134D5"/>
    <w:rsid w:val="00D13971"/>
    <w:rsid w:val="00D13A69"/>
    <w:rsid w:val="00D13B19"/>
    <w:rsid w:val="00D13C4E"/>
    <w:rsid w:val="00D13E9B"/>
    <w:rsid w:val="00D13F31"/>
    <w:rsid w:val="00D13F56"/>
    <w:rsid w:val="00D13FBC"/>
    <w:rsid w:val="00D14209"/>
    <w:rsid w:val="00D14255"/>
    <w:rsid w:val="00D14383"/>
    <w:rsid w:val="00D143C4"/>
    <w:rsid w:val="00D145E2"/>
    <w:rsid w:val="00D146AC"/>
    <w:rsid w:val="00D146EA"/>
    <w:rsid w:val="00D14885"/>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8CA"/>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350"/>
    <w:rsid w:val="00D244FE"/>
    <w:rsid w:val="00D246FD"/>
    <w:rsid w:val="00D247C4"/>
    <w:rsid w:val="00D24879"/>
    <w:rsid w:val="00D2489F"/>
    <w:rsid w:val="00D2492C"/>
    <w:rsid w:val="00D24942"/>
    <w:rsid w:val="00D24AD3"/>
    <w:rsid w:val="00D24B5E"/>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1E"/>
    <w:rsid w:val="00D27339"/>
    <w:rsid w:val="00D27445"/>
    <w:rsid w:val="00D2752A"/>
    <w:rsid w:val="00D27651"/>
    <w:rsid w:val="00D276AC"/>
    <w:rsid w:val="00D27975"/>
    <w:rsid w:val="00D27F19"/>
    <w:rsid w:val="00D3012A"/>
    <w:rsid w:val="00D302DC"/>
    <w:rsid w:val="00D303E6"/>
    <w:rsid w:val="00D304AA"/>
    <w:rsid w:val="00D30621"/>
    <w:rsid w:val="00D30624"/>
    <w:rsid w:val="00D30A22"/>
    <w:rsid w:val="00D30B20"/>
    <w:rsid w:val="00D30F34"/>
    <w:rsid w:val="00D31127"/>
    <w:rsid w:val="00D317EF"/>
    <w:rsid w:val="00D3184A"/>
    <w:rsid w:val="00D318B2"/>
    <w:rsid w:val="00D318F1"/>
    <w:rsid w:val="00D31B6A"/>
    <w:rsid w:val="00D31DA0"/>
    <w:rsid w:val="00D31F35"/>
    <w:rsid w:val="00D32006"/>
    <w:rsid w:val="00D322E2"/>
    <w:rsid w:val="00D326B5"/>
    <w:rsid w:val="00D32737"/>
    <w:rsid w:val="00D329AB"/>
    <w:rsid w:val="00D32BC5"/>
    <w:rsid w:val="00D32C3F"/>
    <w:rsid w:val="00D3309B"/>
    <w:rsid w:val="00D331DC"/>
    <w:rsid w:val="00D33687"/>
    <w:rsid w:val="00D336D6"/>
    <w:rsid w:val="00D3384E"/>
    <w:rsid w:val="00D33DF0"/>
    <w:rsid w:val="00D33F48"/>
    <w:rsid w:val="00D3426B"/>
    <w:rsid w:val="00D345F7"/>
    <w:rsid w:val="00D34689"/>
    <w:rsid w:val="00D34693"/>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74C"/>
    <w:rsid w:val="00D36879"/>
    <w:rsid w:val="00D36BCA"/>
    <w:rsid w:val="00D36C1E"/>
    <w:rsid w:val="00D36D8D"/>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7CC"/>
    <w:rsid w:val="00D41BB2"/>
    <w:rsid w:val="00D41F4F"/>
    <w:rsid w:val="00D42293"/>
    <w:rsid w:val="00D4264D"/>
    <w:rsid w:val="00D42716"/>
    <w:rsid w:val="00D42928"/>
    <w:rsid w:val="00D42C35"/>
    <w:rsid w:val="00D42CD2"/>
    <w:rsid w:val="00D42DD5"/>
    <w:rsid w:val="00D430D6"/>
    <w:rsid w:val="00D436FC"/>
    <w:rsid w:val="00D43866"/>
    <w:rsid w:val="00D43C3D"/>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304"/>
    <w:rsid w:val="00D46357"/>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1A07"/>
    <w:rsid w:val="00D520DF"/>
    <w:rsid w:val="00D52288"/>
    <w:rsid w:val="00D523AC"/>
    <w:rsid w:val="00D52A0F"/>
    <w:rsid w:val="00D52AB4"/>
    <w:rsid w:val="00D52DA0"/>
    <w:rsid w:val="00D52DBB"/>
    <w:rsid w:val="00D530AF"/>
    <w:rsid w:val="00D535EB"/>
    <w:rsid w:val="00D536B9"/>
    <w:rsid w:val="00D53799"/>
    <w:rsid w:val="00D537A2"/>
    <w:rsid w:val="00D5389D"/>
    <w:rsid w:val="00D53A69"/>
    <w:rsid w:val="00D53CA3"/>
    <w:rsid w:val="00D53DC5"/>
    <w:rsid w:val="00D53E1D"/>
    <w:rsid w:val="00D540F8"/>
    <w:rsid w:val="00D541A5"/>
    <w:rsid w:val="00D542EB"/>
    <w:rsid w:val="00D543B2"/>
    <w:rsid w:val="00D543D6"/>
    <w:rsid w:val="00D54653"/>
    <w:rsid w:val="00D54700"/>
    <w:rsid w:val="00D54B8A"/>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F2"/>
    <w:rsid w:val="00D60446"/>
    <w:rsid w:val="00D60786"/>
    <w:rsid w:val="00D6083F"/>
    <w:rsid w:val="00D60B05"/>
    <w:rsid w:val="00D60B7D"/>
    <w:rsid w:val="00D60C6C"/>
    <w:rsid w:val="00D6113A"/>
    <w:rsid w:val="00D61199"/>
    <w:rsid w:val="00D613B0"/>
    <w:rsid w:val="00D617C4"/>
    <w:rsid w:val="00D6188F"/>
    <w:rsid w:val="00D61929"/>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4"/>
    <w:rsid w:val="00D6358A"/>
    <w:rsid w:val="00D63638"/>
    <w:rsid w:val="00D63714"/>
    <w:rsid w:val="00D63748"/>
    <w:rsid w:val="00D6398A"/>
    <w:rsid w:val="00D63B0D"/>
    <w:rsid w:val="00D63D2A"/>
    <w:rsid w:val="00D63E41"/>
    <w:rsid w:val="00D6416A"/>
    <w:rsid w:val="00D64269"/>
    <w:rsid w:val="00D642EC"/>
    <w:rsid w:val="00D6438F"/>
    <w:rsid w:val="00D643B7"/>
    <w:rsid w:val="00D64592"/>
    <w:rsid w:val="00D64ABB"/>
    <w:rsid w:val="00D64B81"/>
    <w:rsid w:val="00D64C1C"/>
    <w:rsid w:val="00D64EB0"/>
    <w:rsid w:val="00D65110"/>
    <w:rsid w:val="00D6511A"/>
    <w:rsid w:val="00D655CA"/>
    <w:rsid w:val="00D6594F"/>
    <w:rsid w:val="00D65C2C"/>
    <w:rsid w:val="00D65DD2"/>
    <w:rsid w:val="00D65F42"/>
    <w:rsid w:val="00D65FC1"/>
    <w:rsid w:val="00D66682"/>
    <w:rsid w:val="00D66DFF"/>
    <w:rsid w:val="00D66F53"/>
    <w:rsid w:val="00D671C0"/>
    <w:rsid w:val="00D67351"/>
    <w:rsid w:val="00D67499"/>
    <w:rsid w:val="00D679D8"/>
    <w:rsid w:val="00D67BBA"/>
    <w:rsid w:val="00D67C2C"/>
    <w:rsid w:val="00D7039E"/>
    <w:rsid w:val="00D704DC"/>
    <w:rsid w:val="00D706AE"/>
    <w:rsid w:val="00D7072F"/>
    <w:rsid w:val="00D70735"/>
    <w:rsid w:val="00D709D1"/>
    <w:rsid w:val="00D7118A"/>
    <w:rsid w:val="00D714E9"/>
    <w:rsid w:val="00D715BB"/>
    <w:rsid w:val="00D71B52"/>
    <w:rsid w:val="00D71CD6"/>
    <w:rsid w:val="00D71CF6"/>
    <w:rsid w:val="00D71E08"/>
    <w:rsid w:val="00D71F3E"/>
    <w:rsid w:val="00D72210"/>
    <w:rsid w:val="00D722DE"/>
    <w:rsid w:val="00D729D4"/>
    <w:rsid w:val="00D72B65"/>
    <w:rsid w:val="00D72D75"/>
    <w:rsid w:val="00D72FEE"/>
    <w:rsid w:val="00D7327E"/>
    <w:rsid w:val="00D73621"/>
    <w:rsid w:val="00D7365F"/>
    <w:rsid w:val="00D73912"/>
    <w:rsid w:val="00D73A9A"/>
    <w:rsid w:val="00D73AB5"/>
    <w:rsid w:val="00D73B7B"/>
    <w:rsid w:val="00D744A7"/>
    <w:rsid w:val="00D74539"/>
    <w:rsid w:val="00D74626"/>
    <w:rsid w:val="00D74657"/>
    <w:rsid w:val="00D747C7"/>
    <w:rsid w:val="00D74836"/>
    <w:rsid w:val="00D74A66"/>
    <w:rsid w:val="00D74C31"/>
    <w:rsid w:val="00D74C68"/>
    <w:rsid w:val="00D74CFF"/>
    <w:rsid w:val="00D74EAB"/>
    <w:rsid w:val="00D7574B"/>
    <w:rsid w:val="00D759F4"/>
    <w:rsid w:val="00D760D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07"/>
    <w:rsid w:val="00D82810"/>
    <w:rsid w:val="00D8286A"/>
    <w:rsid w:val="00D82BA7"/>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C4"/>
    <w:rsid w:val="00D878F2"/>
    <w:rsid w:val="00D87962"/>
    <w:rsid w:val="00D87DC9"/>
    <w:rsid w:val="00D87F0B"/>
    <w:rsid w:val="00D900AD"/>
    <w:rsid w:val="00D90156"/>
    <w:rsid w:val="00D90639"/>
    <w:rsid w:val="00D907D7"/>
    <w:rsid w:val="00D90B6B"/>
    <w:rsid w:val="00D90DD2"/>
    <w:rsid w:val="00D90E5A"/>
    <w:rsid w:val="00D90F86"/>
    <w:rsid w:val="00D91483"/>
    <w:rsid w:val="00D91677"/>
    <w:rsid w:val="00D91891"/>
    <w:rsid w:val="00D91C57"/>
    <w:rsid w:val="00D91D1C"/>
    <w:rsid w:val="00D92093"/>
    <w:rsid w:val="00D924A0"/>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AA8"/>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F4D"/>
    <w:rsid w:val="00D9769B"/>
    <w:rsid w:val="00D978FE"/>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703"/>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7A6"/>
    <w:rsid w:val="00DB37F9"/>
    <w:rsid w:val="00DB3CF5"/>
    <w:rsid w:val="00DB3E1D"/>
    <w:rsid w:val="00DB3E74"/>
    <w:rsid w:val="00DB4106"/>
    <w:rsid w:val="00DB41EA"/>
    <w:rsid w:val="00DB42A0"/>
    <w:rsid w:val="00DB4315"/>
    <w:rsid w:val="00DB47F2"/>
    <w:rsid w:val="00DB4B1F"/>
    <w:rsid w:val="00DB4DBB"/>
    <w:rsid w:val="00DB508F"/>
    <w:rsid w:val="00DB523B"/>
    <w:rsid w:val="00DB5481"/>
    <w:rsid w:val="00DB5489"/>
    <w:rsid w:val="00DB5738"/>
    <w:rsid w:val="00DB592B"/>
    <w:rsid w:val="00DB5E30"/>
    <w:rsid w:val="00DB60D1"/>
    <w:rsid w:val="00DB6541"/>
    <w:rsid w:val="00DB6BD1"/>
    <w:rsid w:val="00DB6FCE"/>
    <w:rsid w:val="00DB7010"/>
    <w:rsid w:val="00DB711A"/>
    <w:rsid w:val="00DB724F"/>
    <w:rsid w:val="00DB7364"/>
    <w:rsid w:val="00DB7451"/>
    <w:rsid w:val="00DB771A"/>
    <w:rsid w:val="00DB77E4"/>
    <w:rsid w:val="00DB78E3"/>
    <w:rsid w:val="00DB7A4D"/>
    <w:rsid w:val="00DB7ADE"/>
    <w:rsid w:val="00DB7B84"/>
    <w:rsid w:val="00DB7C6F"/>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1C"/>
    <w:rsid w:val="00DC1DB6"/>
    <w:rsid w:val="00DC1EB4"/>
    <w:rsid w:val="00DC2164"/>
    <w:rsid w:val="00DC24BC"/>
    <w:rsid w:val="00DC2781"/>
    <w:rsid w:val="00DC28FF"/>
    <w:rsid w:val="00DC2A52"/>
    <w:rsid w:val="00DC2D62"/>
    <w:rsid w:val="00DC2D82"/>
    <w:rsid w:val="00DC2DD2"/>
    <w:rsid w:val="00DC2E67"/>
    <w:rsid w:val="00DC3157"/>
    <w:rsid w:val="00DC3160"/>
    <w:rsid w:val="00DC3649"/>
    <w:rsid w:val="00DC373E"/>
    <w:rsid w:val="00DC38E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338"/>
    <w:rsid w:val="00DD0791"/>
    <w:rsid w:val="00DD0A14"/>
    <w:rsid w:val="00DD0A9E"/>
    <w:rsid w:val="00DD0CC4"/>
    <w:rsid w:val="00DD0FC5"/>
    <w:rsid w:val="00DD15DB"/>
    <w:rsid w:val="00DD160A"/>
    <w:rsid w:val="00DD1637"/>
    <w:rsid w:val="00DD16A2"/>
    <w:rsid w:val="00DD1E88"/>
    <w:rsid w:val="00DD237E"/>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90C"/>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360"/>
    <w:rsid w:val="00DE1991"/>
    <w:rsid w:val="00DE1C1C"/>
    <w:rsid w:val="00DE1D3B"/>
    <w:rsid w:val="00DE230B"/>
    <w:rsid w:val="00DE2AA5"/>
    <w:rsid w:val="00DE2D4D"/>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67E"/>
    <w:rsid w:val="00DE6BD5"/>
    <w:rsid w:val="00DE6DE7"/>
    <w:rsid w:val="00DE704B"/>
    <w:rsid w:val="00DE7093"/>
    <w:rsid w:val="00DE7521"/>
    <w:rsid w:val="00DE7522"/>
    <w:rsid w:val="00DE76DA"/>
    <w:rsid w:val="00DE7B4D"/>
    <w:rsid w:val="00DE7B5C"/>
    <w:rsid w:val="00DE7C5F"/>
    <w:rsid w:val="00DE7F75"/>
    <w:rsid w:val="00DF015F"/>
    <w:rsid w:val="00DF0303"/>
    <w:rsid w:val="00DF03C4"/>
    <w:rsid w:val="00DF041B"/>
    <w:rsid w:val="00DF0689"/>
    <w:rsid w:val="00DF09E7"/>
    <w:rsid w:val="00DF0AAA"/>
    <w:rsid w:val="00DF0F2C"/>
    <w:rsid w:val="00DF1092"/>
    <w:rsid w:val="00DF125E"/>
    <w:rsid w:val="00DF14A3"/>
    <w:rsid w:val="00DF16FC"/>
    <w:rsid w:val="00DF1AA5"/>
    <w:rsid w:val="00DF1C6D"/>
    <w:rsid w:val="00DF1E51"/>
    <w:rsid w:val="00DF22A7"/>
    <w:rsid w:val="00DF248A"/>
    <w:rsid w:val="00DF292C"/>
    <w:rsid w:val="00DF2D02"/>
    <w:rsid w:val="00DF335D"/>
    <w:rsid w:val="00DF3449"/>
    <w:rsid w:val="00DF34BB"/>
    <w:rsid w:val="00DF36E1"/>
    <w:rsid w:val="00DF39AE"/>
    <w:rsid w:val="00DF3BCB"/>
    <w:rsid w:val="00DF3DA2"/>
    <w:rsid w:val="00DF3E7A"/>
    <w:rsid w:val="00DF43CB"/>
    <w:rsid w:val="00DF4481"/>
    <w:rsid w:val="00DF4F86"/>
    <w:rsid w:val="00DF4FB1"/>
    <w:rsid w:val="00DF5146"/>
    <w:rsid w:val="00DF5384"/>
    <w:rsid w:val="00DF54B9"/>
    <w:rsid w:val="00DF56FC"/>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11A"/>
    <w:rsid w:val="00E004FE"/>
    <w:rsid w:val="00E0053E"/>
    <w:rsid w:val="00E0082E"/>
    <w:rsid w:val="00E00890"/>
    <w:rsid w:val="00E009CC"/>
    <w:rsid w:val="00E009DA"/>
    <w:rsid w:val="00E00A40"/>
    <w:rsid w:val="00E00E9B"/>
    <w:rsid w:val="00E00F25"/>
    <w:rsid w:val="00E00FB6"/>
    <w:rsid w:val="00E012B6"/>
    <w:rsid w:val="00E012C7"/>
    <w:rsid w:val="00E01513"/>
    <w:rsid w:val="00E01711"/>
    <w:rsid w:val="00E017FC"/>
    <w:rsid w:val="00E018B5"/>
    <w:rsid w:val="00E01A02"/>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BEF"/>
    <w:rsid w:val="00E05F10"/>
    <w:rsid w:val="00E0604A"/>
    <w:rsid w:val="00E0632B"/>
    <w:rsid w:val="00E06400"/>
    <w:rsid w:val="00E06677"/>
    <w:rsid w:val="00E068F3"/>
    <w:rsid w:val="00E06A27"/>
    <w:rsid w:val="00E06D44"/>
    <w:rsid w:val="00E06FD6"/>
    <w:rsid w:val="00E0724A"/>
    <w:rsid w:val="00E072C2"/>
    <w:rsid w:val="00E076FA"/>
    <w:rsid w:val="00E077D6"/>
    <w:rsid w:val="00E07824"/>
    <w:rsid w:val="00E07891"/>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7AE"/>
    <w:rsid w:val="00E11988"/>
    <w:rsid w:val="00E11DAF"/>
    <w:rsid w:val="00E11F96"/>
    <w:rsid w:val="00E1202C"/>
    <w:rsid w:val="00E12420"/>
    <w:rsid w:val="00E124BE"/>
    <w:rsid w:val="00E126A3"/>
    <w:rsid w:val="00E12768"/>
    <w:rsid w:val="00E127DE"/>
    <w:rsid w:val="00E128BB"/>
    <w:rsid w:val="00E12D7B"/>
    <w:rsid w:val="00E12EF1"/>
    <w:rsid w:val="00E130BD"/>
    <w:rsid w:val="00E135B0"/>
    <w:rsid w:val="00E1379A"/>
    <w:rsid w:val="00E13A62"/>
    <w:rsid w:val="00E1434A"/>
    <w:rsid w:val="00E1448A"/>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8BA"/>
    <w:rsid w:val="00E20A17"/>
    <w:rsid w:val="00E20A53"/>
    <w:rsid w:val="00E20DC7"/>
    <w:rsid w:val="00E20DD8"/>
    <w:rsid w:val="00E20E5E"/>
    <w:rsid w:val="00E20FB4"/>
    <w:rsid w:val="00E20FFC"/>
    <w:rsid w:val="00E20FFD"/>
    <w:rsid w:val="00E21045"/>
    <w:rsid w:val="00E210DF"/>
    <w:rsid w:val="00E214DE"/>
    <w:rsid w:val="00E21586"/>
    <w:rsid w:val="00E21A18"/>
    <w:rsid w:val="00E21A8D"/>
    <w:rsid w:val="00E21B35"/>
    <w:rsid w:val="00E21BD8"/>
    <w:rsid w:val="00E21C45"/>
    <w:rsid w:val="00E21CF9"/>
    <w:rsid w:val="00E21D18"/>
    <w:rsid w:val="00E21DF7"/>
    <w:rsid w:val="00E22176"/>
    <w:rsid w:val="00E2228A"/>
    <w:rsid w:val="00E222AD"/>
    <w:rsid w:val="00E2239F"/>
    <w:rsid w:val="00E22575"/>
    <w:rsid w:val="00E226AE"/>
    <w:rsid w:val="00E226C0"/>
    <w:rsid w:val="00E226CA"/>
    <w:rsid w:val="00E2285C"/>
    <w:rsid w:val="00E22B57"/>
    <w:rsid w:val="00E22D99"/>
    <w:rsid w:val="00E22E65"/>
    <w:rsid w:val="00E23348"/>
    <w:rsid w:val="00E233B2"/>
    <w:rsid w:val="00E23409"/>
    <w:rsid w:val="00E23590"/>
    <w:rsid w:val="00E235CA"/>
    <w:rsid w:val="00E2372C"/>
    <w:rsid w:val="00E2397B"/>
    <w:rsid w:val="00E23B0A"/>
    <w:rsid w:val="00E23C27"/>
    <w:rsid w:val="00E23C3B"/>
    <w:rsid w:val="00E23CF2"/>
    <w:rsid w:val="00E240A0"/>
    <w:rsid w:val="00E249E7"/>
    <w:rsid w:val="00E24A92"/>
    <w:rsid w:val="00E24AA9"/>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DAC"/>
    <w:rsid w:val="00E34FA0"/>
    <w:rsid w:val="00E35097"/>
    <w:rsid w:val="00E35112"/>
    <w:rsid w:val="00E3545B"/>
    <w:rsid w:val="00E35975"/>
    <w:rsid w:val="00E35A1B"/>
    <w:rsid w:val="00E35B60"/>
    <w:rsid w:val="00E35BFB"/>
    <w:rsid w:val="00E3616D"/>
    <w:rsid w:val="00E362EE"/>
    <w:rsid w:val="00E3642B"/>
    <w:rsid w:val="00E36502"/>
    <w:rsid w:val="00E366F0"/>
    <w:rsid w:val="00E36A7D"/>
    <w:rsid w:val="00E36B2A"/>
    <w:rsid w:val="00E36BFE"/>
    <w:rsid w:val="00E36EDA"/>
    <w:rsid w:val="00E36F9E"/>
    <w:rsid w:val="00E370CE"/>
    <w:rsid w:val="00E3712B"/>
    <w:rsid w:val="00E37255"/>
    <w:rsid w:val="00E374E1"/>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0E5"/>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82F"/>
    <w:rsid w:val="00E6191E"/>
    <w:rsid w:val="00E61934"/>
    <w:rsid w:val="00E62380"/>
    <w:rsid w:val="00E623D8"/>
    <w:rsid w:val="00E6276F"/>
    <w:rsid w:val="00E62D5D"/>
    <w:rsid w:val="00E62D69"/>
    <w:rsid w:val="00E62EBA"/>
    <w:rsid w:val="00E62ECB"/>
    <w:rsid w:val="00E63100"/>
    <w:rsid w:val="00E63338"/>
    <w:rsid w:val="00E63493"/>
    <w:rsid w:val="00E63933"/>
    <w:rsid w:val="00E63BD0"/>
    <w:rsid w:val="00E63CF8"/>
    <w:rsid w:val="00E63D58"/>
    <w:rsid w:val="00E63F27"/>
    <w:rsid w:val="00E63FC7"/>
    <w:rsid w:val="00E63FEB"/>
    <w:rsid w:val="00E6400D"/>
    <w:rsid w:val="00E64142"/>
    <w:rsid w:val="00E64630"/>
    <w:rsid w:val="00E646E2"/>
    <w:rsid w:val="00E64A40"/>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76A"/>
    <w:rsid w:val="00E71889"/>
    <w:rsid w:val="00E718F2"/>
    <w:rsid w:val="00E71A2C"/>
    <w:rsid w:val="00E71A69"/>
    <w:rsid w:val="00E71ED5"/>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63C"/>
    <w:rsid w:val="00E74E19"/>
    <w:rsid w:val="00E75133"/>
    <w:rsid w:val="00E751C5"/>
    <w:rsid w:val="00E75207"/>
    <w:rsid w:val="00E7559B"/>
    <w:rsid w:val="00E75991"/>
    <w:rsid w:val="00E75E0B"/>
    <w:rsid w:val="00E7624B"/>
    <w:rsid w:val="00E762C6"/>
    <w:rsid w:val="00E76385"/>
    <w:rsid w:val="00E76562"/>
    <w:rsid w:val="00E7666D"/>
    <w:rsid w:val="00E768C2"/>
    <w:rsid w:val="00E76AB4"/>
    <w:rsid w:val="00E76B2A"/>
    <w:rsid w:val="00E76BC6"/>
    <w:rsid w:val="00E76DAF"/>
    <w:rsid w:val="00E76DF2"/>
    <w:rsid w:val="00E771C4"/>
    <w:rsid w:val="00E772D9"/>
    <w:rsid w:val="00E77519"/>
    <w:rsid w:val="00E779F6"/>
    <w:rsid w:val="00E77A3D"/>
    <w:rsid w:val="00E77A66"/>
    <w:rsid w:val="00E77ABF"/>
    <w:rsid w:val="00E77BD2"/>
    <w:rsid w:val="00E80104"/>
    <w:rsid w:val="00E8039E"/>
    <w:rsid w:val="00E80637"/>
    <w:rsid w:val="00E8071F"/>
    <w:rsid w:val="00E80BDA"/>
    <w:rsid w:val="00E810DA"/>
    <w:rsid w:val="00E81346"/>
    <w:rsid w:val="00E81797"/>
    <w:rsid w:val="00E817E1"/>
    <w:rsid w:val="00E8188F"/>
    <w:rsid w:val="00E818C7"/>
    <w:rsid w:val="00E81A06"/>
    <w:rsid w:val="00E81F03"/>
    <w:rsid w:val="00E82007"/>
    <w:rsid w:val="00E824DE"/>
    <w:rsid w:val="00E82534"/>
    <w:rsid w:val="00E827C1"/>
    <w:rsid w:val="00E82BD4"/>
    <w:rsid w:val="00E82D6A"/>
    <w:rsid w:val="00E83001"/>
    <w:rsid w:val="00E8327D"/>
    <w:rsid w:val="00E832DE"/>
    <w:rsid w:val="00E835BC"/>
    <w:rsid w:val="00E8373F"/>
    <w:rsid w:val="00E8381E"/>
    <w:rsid w:val="00E83985"/>
    <w:rsid w:val="00E83E08"/>
    <w:rsid w:val="00E84423"/>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11AB"/>
    <w:rsid w:val="00E912F3"/>
    <w:rsid w:val="00E915D9"/>
    <w:rsid w:val="00E91761"/>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1"/>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8C0"/>
    <w:rsid w:val="00EA2919"/>
    <w:rsid w:val="00EA2A50"/>
    <w:rsid w:val="00EA2B9D"/>
    <w:rsid w:val="00EA31AF"/>
    <w:rsid w:val="00EA3275"/>
    <w:rsid w:val="00EA33A1"/>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43C"/>
    <w:rsid w:val="00EA7555"/>
    <w:rsid w:val="00EA7C1F"/>
    <w:rsid w:val="00EA7DB6"/>
    <w:rsid w:val="00EA7E50"/>
    <w:rsid w:val="00EB0056"/>
    <w:rsid w:val="00EB01B5"/>
    <w:rsid w:val="00EB039B"/>
    <w:rsid w:val="00EB05BF"/>
    <w:rsid w:val="00EB0910"/>
    <w:rsid w:val="00EB0A69"/>
    <w:rsid w:val="00EB0C20"/>
    <w:rsid w:val="00EB0C55"/>
    <w:rsid w:val="00EB0C89"/>
    <w:rsid w:val="00EB11BB"/>
    <w:rsid w:val="00EB12F7"/>
    <w:rsid w:val="00EB1317"/>
    <w:rsid w:val="00EB1495"/>
    <w:rsid w:val="00EB1696"/>
    <w:rsid w:val="00EB1A4F"/>
    <w:rsid w:val="00EB2050"/>
    <w:rsid w:val="00EB2070"/>
    <w:rsid w:val="00EB20ED"/>
    <w:rsid w:val="00EB2524"/>
    <w:rsid w:val="00EB25A8"/>
    <w:rsid w:val="00EB268D"/>
    <w:rsid w:val="00EB2833"/>
    <w:rsid w:val="00EB2A0D"/>
    <w:rsid w:val="00EB2AA3"/>
    <w:rsid w:val="00EB2B86"/>
    <w:rsid w:val="00EB322E"/>
    <w:rsid w:val="00EB33EA"/>
    <w:rsid w:val="00EB344D"/>
    <w:rsid w:val="00EB354B"/>
    <w:rsid w:val="00EB3706"/>
    <w:rsid w:val="00EB3B60"/>
    <w:rsid w:val="00EB3C68"/>
    <w:rsid w:val="00EB40E8"/>
    <w:rsid w:val="00EB4163"/>
    <w:rsid w:val="00EB4626"/>
    <w:rsid w:val="00EB4771"/>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54A"/>
    <w:rsid w:val="00EC26B0"/>
    <w:rsid w:val="00EC2952"/>
    <w:rsid w:val="00EC2A92"/>
    <w:rsid w:val="00EC2C22"/>
    <w:rsid w:val="00EC2C76"/>
    <w:rsid w:val="00EC2DEB"/>
    <w:rsid w:val="00EC326F"/>
    <w:rsid w:val="00EC34AF"/>
    <w:rsid w:val="00EC34F2"/>
    <w:rsid w:val="00EC35B0"/>
    <w:rsid w:val="00EC35C2"/>
    <w:rsid w:val="00EC3FA7"/>
    <w:rsid w:val="00EC42CC"/>
    <w:rsid w:val="00EC42D6"/>
    <w:rsid w:val="00EC43AF"/>
    <w:rsid w:val="00EC43D1"/>
    <w:rsid w:val="00EC442F"/>
    <w:rsid w:val="00EC45A5"/>
    <w:rsid w:val="00EC484D"/>
    <w:rsid w:val="00EC4AF4"/>
    <w:rsid w:val="00EC4B6B"/>
    <w:rsid w:val="00EC4C41"/>
    <w:rsid w:val="00EC4D86"/>
    <w:rsid w:val="00EC4E76"/>
    <w:rsid w:val="00EC4F00"/>
    <w:rsid w:val="00EC5247"/>
    <w:rsid w:val="00EC53B8"/>
    <w:rsid w:val="00EC5580"/>
    <w:rsid w:val="00EC55D5"/>
    <w:rsid w:val="00EC56B2"/>
    <w:rsid w:val="00EC5AE6"/>
    <w:rsid w:val="00EC5AF3"/>
    <w:rsid w:val="00EC5CA9"/>
    <w:rsid w:val="00EC5D1A"/>
    <w:rsid w:val="00EC5FE7"/>
    <w:rsid w:val="00EC626D"/>
    <w:rsid w:val="00EC628C"/>
    <w:rsid w:val="00EC6439"/>
    <w:rsid w:val="00EC6ACB"/>
    <w:rsid w:val="00EC6EF6"/>
    <w:rsid w:val="00EC6F76"/>
    <w:rsid w:val="00EC798B"/>
    <w:rsid w:val="00ED00ED"/>
    <w:rsid w:val="00ED0B0A"/>
    <w:rsid w:val="00ED0B93"/>
    <w:rsid w:val="00ED0C3D"/>
    <w:rsid w:val="00ED0C48"/>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DDF"/>
    <w:rsid w:val="00ED4FCA"/>
    <w:rsid w:val="00ED544F"/>
    <w:rsid w:val="00ED550B"/>
    <w:rsid w:val="00ED5CEF"/>
    <w:rsid w:val="00ED5D0B"/>
    <w:rsid w:val="00ED5D15"/>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0C47"/>
    <w:rsid w:val="00EE1158"/>
    <w:rsid w:val="00EE14F9"/>
    <w:rsid w:val="00EE159D"/>
    <w:rsid w:val="00EE17FF"/>
    <w:rsid w:val="00EE1B08"/>
    <w:rsid w:val="00EE1CBD"/>
    <w:rsid w:val="00EE1D5D"/>
    <w:rsid w:val="00EE248F"/>
    <w:rsid w:val="00EE24B8"/>
    <w:rsid w:val="00EE2919"/>
    <w:rsid w:val="00EE2A6D"/>
    <w:rsid w:val="00EE2BE0"/>
    <w:rsid w:val="00EE2CE0"/>
    <w:rsid w:val="00EE2E05"/>
    <w:rsid w:val="00EE2F9C"/>
    <w:rsid w:val="00EE3495"/>
    <w:rsid w:val="00EE35AC"/>
    <w:rsid w:val="00EE36D5"/>
    <w:rsid w:val="00EE3837"/>
    <w:rsid w:val="00EE3946"/>
    <w:rsid w:val="00EE3EFC"/>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796"/>
    <w:rsid w:val="00EE690A"/>
    <w:rsid w:val="00EE6945"/>
    <w:rsid w:val="00EE6B07"/>
    <w:rsid w:val="00EE6CD3"/>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815"/>
    <w:rsid w:val="00EF08CF"/>
    <w:rsid w:val="00EF0975"/>
    <w:rsid w:val="00EF0A1A"/>
    <w:rsid w:val="00EF0AB9"/>
    <w:rsid w:val="00EF0E61"/>
    <w:rsid w:val="00EF11B5"/>
    <w:rsid w:val="00EF129C"/>
    <w:rsid w:val="00EF1522"/>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70E"/>
    <w:rsid w:val="00EF4A70"/>
    <w:rsid w:val="00EF4D6F"/>
    <w:rsid w:val="00EF4F05"/>
    <w:rsid w:val="00EF5074"/>
    <w:rsid w:val="00EF50C7"/>
    <w:rsid w:val="00EF516A"/>
    <w:rsid w:val="00EF5934"/>
    <w:rsid w:val="00EF5A60"/>
    <w:rsid w:val="00EF5A8D"/>
    <w:rsid w:val="00EF5DD1"/>
    <w:rsid w:val="00EF5EDF"/>
    <w:rsid w:val="00EF5F02"/>
    <w:rsid w:val="00EF5FBA"/>
    <w:rsid w:val="00EF6266"/>
    <w:rsid w:val="00EF6380"/>
    <w:rsid w:val="00EF63F8"/>
    <w:rsid w:val="00EF66B1"/>
    <w:rsid w:val="00EF68D8"/>
    <w:rsid w:val="00EF6A92"/>
    <w:rsid w:val="00EF7306"/>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DD3"/>
    <w:rsid w:val="00F00E3B"/>
    <w:rsid w:val="00F00F7B"/>
    <w:rsid w:val="00F011E5"/>
    <w:rsid w:val="00F015C3"/>
    <w:rsid w:val="00F01D80"/>
    <w:rsid w:val="00F01DDC"/>
    <w:rsid w:val="00F01EBF"/>
    <w:rsid w:val="00F01F21"/>
    <w:rsid w:val="00F01F56"/>
    <w:rsid w:val="00F02350"/>
    <w:rsid w:val="00F0236D"/>
    <w:rsid w:val="00F02577"/>
    <w:rsid w:val="00F02A5D"/>
    <w:rsid w:val="00F02A64"/>
    <w:rsid w:val="00F02B7B"/>
    <w:rsid w:val="00F02C55"/>
    <w:rsid w:val="00F02CCA"/>
    <w:rsid w:val="00F02CCE"/>
    <w:rsid w:val="00F02FE0"/>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DB6"/>
    <w:rsid w:val="00F05F57"/>
    <w:rsid w:val="00F06117"/>
    <w:rsid w:val="00F065F6"/>
    <w:rsid w:val="00F06658"/>
    <w:rsid w:val="00F06872"/>
    <w:rsid w:val="00F0698D"/>
    <w:rsid w:val="00F06BEA"/>
    <w:rsid w:val="00F0729A"/>
    <w:rsid w:val="00F072B7"/>
    <w:rsid w:val="00F0737B"/>
    <w:rsid w:val="00F07976"/>
    <w:rsid w:val="00F07AF1"/>
    <w:rsid w:val="00F07B32"/>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09D"/>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4D"/>
    <w:rsid w:val="00F23401"/>
    <w:rsid w:val="00F2356A"/>
    <w:rsid w:val="00F235CA"/>
    <w:rsid w:val="00F23771"/>
    <w:rsid w:val="00F23905"/>
    <w:rsid w:val="00F23B3F"/>
    <w:rsid w:val="00F23BFE"/>
    <w:rsid w:val="00F23CD1"/>
    <w:rsid w:val="00F24064"/>
    <w:rsid w:val="00F2408C"/>
    <w:rsid w:val="00F2463E"/>
    <w:rsid w:val="00F248AB"/>
    <w:rsid w:val="00F24AF9"/>
    <w:rsid w:val="00F24B16"/>
    <w:rsid w:val="00F24D79"/>
    <w:rsid w:val="00F24F57"/>
    <w:rsid w:val="00F251CD"/>
    <w:rsid w:val="00F253AA"/>
    <w:rsid w:val="00F257F9"/>
    <w:rsid w:val="00F257FC"/>
    <w:rsid w:val="00F25C65"/>
    <w:rsid w:val="00F25CF0"/>
    <w:rsid w:val="00F25E0E"/>
    <w:rsid w:val="00F25E18"/>
    <w:rsid w:val="00F26042"/>
    <w:rsid w:val="00F262F5"/>
    <w:rsid w:val="00F2630C"/>
    <w:rsid w:val="00F264DE"/>
    <w:rsid w:val="00F269CC"/>
    <w:rsid w:val="00F26AB4"/>
    <w:rsid w:val="00F26BF5"/>
    <w:rsid w:val="00F27000"/>
    <w:rsid w:val="00F271F0"/>
    <w:rsid w:val="00F274CD"/>
    <w:rsid w:val="00F274FC"/>
    <w:rsid w:val="00F27758"/>
    <w:rsid w:val="00F27874"/>
    <w:rsid w:val="00F27BF9"/>
    <w:rsid w:val="00F27D0D"/>
    <w:rsid w:val="00F27D65"/>
    <w:rsid w:val="00F30073"/>
    <w:rsid w:val="00F30313"/>
    <w:rsid w:val="00F305D1"/>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CF8"/>
    <w:rsid w:val="00F34E33"/>
    <w:rsid w:val="00F35219"/>
    <w:rsid w:val="00F353D0"/>
    <w:rsid w:val="00F3593E"/>
    <w:rsid w:val="00F35A12"/>
    <w:rsid w:val="00F35BB1"/>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10D"/>
    <w:rsid w:val="00F45608"/>
    <w:rsid w:val="00F45731"/>
    <w:rsid w:val="00F45A37"/>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982"/>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D73"/>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02"/>
    <w:rsid w:val="00F56FE9"/>
    <w:rsid w:val="00F5743D"/>
    <w:rsid w:val="00F576B8"/>
    <w:rsid w:val="00F578DB"/>
    <w:rsid w:val="00F57AEA"/>
    <w:rsid w:val="00F57DD6"/>
    <w:rsid w:val="00F57E63"/>
    <w:rsid w:val="00F60017"/>
    <w:rsid w:val="00F60030"/>
    <w:rsid w:val="00F60276"/>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2AA"/>
    <w:rsid w:val="00F6249C"/>
    <w:rsid w:val="00F62826"/>
    <w:rsid w:val="00F62C58"/>
    <w:rsid w:val="00F62F67"/>
    <w:rsid w:val="00F6309E"/>
    <w:rsid w:val="00F63271"/>
    <w:rsid w:val="00F632C3"/>
    <w:rsid w:val="00F634C1"/>
    <w:rsid w:val="00F6366D"/>
    <w:rsid w:val="00F63768"/>
    <w:rsid w:val="00F63777"/>
    <w:rsid w:val="00F63AEA"/>
    <w:rsid w:val="00F63C2E"/>
    <w:rsid w:val="00F63E4C"/>
    <w:rsid w:val="00F63E55"/>
    <w:rsid w:val="00F6440E"/>
    <w:rsid w:val="00F644A8"/>
    <w:rsid w:val="00F646AE"/>
    <w:rsid w:val="00F646D7"/>
    <w:rsid w:val="00F64A44"/>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609"/>
    <w:rsid w:val="00F767B5"/>
    <w:rsid w:val="00F76A0B"/>
    <w:rsid w:val="00F76A77"/>
    <w:rsid w:val="00F76C82"/>
    <w:rsid w:val="00F76D57"/>
    <w:rsid w:val="00F76E47"/>
    <w:rsid w:val="00F77133"/>
    <w:rsid w:val="00F77177"/>
    <w:rsid w:val="00F776C7"/>
    <w:rsid w:val="00F776DD"/>
    <w:rsid w:val="00F778C7"/>
    <w:rsid w:val="00F77BF8"/>
    <w:rsid w:val="00F77C5D"/>
    <w:rsid w:val="00F77E86"/>
    <w:rsid w:val="00F804F8"/>
    <w:rsid w:val="00F80511"/>
    <w:rsid w:val="00F80D73"/>
    <w:rsid w:val="00F80E5E"/>
    <w:rsid w:val="00F81083"/>
    <w:rsid w:val="00F815C6"/>
    <w:rsid w:val="00F81B68"/>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347"/>
    <w:rsid w:val="00F84458"/>
    <w:rsid w:val="00F8454F"/>
    <w:rsid w:val="00F84613"/>
    <w:rsid w:val="00F84621"/>
    <w:rsid w:val="00F8468A"/>
    <w:rsid w:val="00F846D9"/>
    <w:rsid w:val="00F84856"/>
    <w:rsid w:val="00F84F9B"/>
    <w:rsid w:val="00F84F9C"/>
    <w:rsid w:val="00F850C6"/>
    <w:rsid w:val="00F85398"/>
    <w:rsid w:val="00F853AB"/>
    <w:rsid w:val="00F8560D"/>
    <w:rsid w:val="00F85A23"/>
    <w:rsid w:val="00F85AA2"/>
    <w:rsid w:val="00F85BF1"/>
    <w:rsid w:val="00F85E95"/>
    <w:rsid w:val="00F86028"/>
    <w:rsid w:val="00F86121"/>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EC"/>
    <w:rsid w:val="00F905FD"/>
    <w:rsid w:val="00F907D6"/>
    <w:rsid w:val="00F9086D"/>
    <w:rsid w:val="00F90A99"/>
    <w:rsid w:val="00F910CB"/>
    <w:rsid w:val="00F9110C"/>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19C"/>
    <w:rsid w:val="00FA687C"/>
    <w:rsid w:val="00FA6996"/>
    <w:rsid w:val="00FA6AA8"/>
    <w:rsid w:val="00FA6B59"/>
    <w:rsid w:val="00FA6C16"/>
    <w:rsid w:val="00FA6C7F"/>
    <w:rsid w:val="00FA6D25"/>
    <w:rsid w:val="00FA7510"/>
    <w:rsid w:val="00FA7F55"/>
    <w:rsid w:val="00FB049E"/>
    <w:rsid w:val="00FB0643"/>
    <w:rsid w:val="00FB09D5"/>
    <w:rsid w:val="00FB0B8A"/>
    <w:rsid w:val="00FB0B9D"/>
    <w:rsid w:val="00FB0BAF"/>
    <w:rsid w:val="00FB0E97"/>
    <w:rsid w:val="00FB10B7"/>
    <w:rsid w:val="00FB112F"/>
    <w:rsid w:val="00FB1172"/>
    <w:rsid w:val="00FB14D5"/>
    <w:rsid w:val="00FB15F2"/>
    <w:rsid w:val="00FB16B5"/>
    <w:rsid w:val="00FB1780"/>
    <w:rsid w:val="00FB1DA8"/>
    <w:rsid w:val="00FB1E62"/>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465"/>
    <w:rsid w:val="00FB4590"/>
    <w:rsid w:val="00FB492B"/>
    <w:rsid w:val="00FB4941"/>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A84"/>
    <w:rsid w:val="00FC1BAD"/>
    <w:rsid w:val="00FC1C78"/>
    <w:rsid w:val="00FC20B3"/>
    <w:rsid w:val="00FC2279"/>
    <w:rsid w:val="00FC23AD"/>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BD1"/>
    <w:rsid w:val="00FC4F73"/>
    <w:rsid w:val="00FC503D"/>
    <w:rsid w:val="00FC51AB"/>
    <w:rsid w:val="00FC5466"/>
    <w:rsid w:val="00FC5754"/>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0D0"/>
    <w:rsid w:val="00FD04EE"/>
    <w:rsid w:val="00FD0BDA"/>
    <w:rsid w:val="00FD0DE4"/>
    <w:rsid w:val="00FD0EF9"/>
    <w:rsid w:val="00FD1098"/>
    <w:rsid w:val="00FD13AB"/>
    <w:rsid w:val="00FD15D9"/>
    <w:rsid w:val="00FD15F6"/>
    <w:rsid w:val="00FD1881"/>
    <w:rsid w:val="00FD1AE4"/>
    <w:rsid w:val="00FD1D24"/>
    <w:rsid w:val="00FD22E3"/>
    <w:rsid w:val="00FD23A5"/>
    <w:rsid w:val="00FD23CA"/>
    <w:rsid w:val="00FD2433"/>
    <w:rsid w:val="00FD2448"/>
    <w:rsid w:val="00FD2548"/>
    <w:rsid w:val="00FD25E1"/>
    <w:rsid w:val="00FD2A54"/>
    <w:rsid w:val="00FD2AAD"/>
    <w:rsid w:val="00FD30A1"/>
    <w:rsid w:val="00FD342A"/>
    <w:rsid w:val="00FD350A"/>
    <w:rsid w:val="00FD35C5"/>
    <w:rsid w:val="00FD386F"/>
    <w:rsid w:val="00FD3B49"/>
    <w:rsid w:val="00FD3C1C"/>
    <w:rsid w:val="00FD3DDA"/>
    <w:rsid w:val="00FD3DDE"/>
    <w:rsid w:val="00FD4011"/>
    <w:rsid w:val="00FD401C"/>
    <w:rsid w:val="00FD441E"/>
    <w:rsid w:val="00FD465E"/>
    <w:rsid w:val="00FD46B1"/>
    <w:rsid w:val="00FD478C"/>
    <w:rsid w:val="00FD47B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6D3D"/>
    <w:rsid w:val="00FD743C"/>
    <w:rsid w:val="00FD7673"/>
    <w:rsid w:val="00FD77E7"/>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0C"/>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A9A"/>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E7A31"/>
    <w:rsid w:val="00FF0114"/>
    <w:rsid w:val="00FF055D"/>
    <w:rsid w:val="00FF0635"/>
    <w:rsid w:val="00FF078C"/>
    <w:rsid w:val="00FF081F"/>
    <w:rsid w:val="00FF0B7F"/>
    <w:rsid w:val="00FF102A"/>
    <w:rsid w:val="00FF1446"/>
    <w:rsid w:val="00FF16A5"/>
    <w:rsid w:val="00FF1786"/>
    <w:rsid w:val="00FF17C3"/>
    <w:rsid w:val="00FF1AE5"/>
    <w:rsid w:val="00FF1BA5"/>
    <w:rsid w:val="00FF1CD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A3D"/>
    <w:rsid w:val="00FF4A97"/>
    <w:rsid w:val="00FF4CBC"/>
    <w:rsid w:val="00FF4D17"/>
    <w:rsid w:val="00FF50F8"/>
    <w:rsid w:val="00FF5294"/>
    <w:rsid w:val="00FF541F"/>
    <w:rsid w:val="00FF5669"/>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uiPriority w:val="99"/>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6E06B6"/>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uiPriority w:val="9"/>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uiPriority w:val="99"/>
    <w:rsid w:val="00AE02D0"/>
    <w:pPr>
      <w:tabs>
        <w:tab w:val="center" w:pos="4513"/>
        <w:tab w:val="right" w:pos="9026"/>
      </w:tabs>
      <w:spacing w:before="0" w:after="0"/>
    </w:pPr>
  </w:style>
  <w:style w:type="character" w:customStyle="1" w:styleId="FooterChar">
    <w:name w:val="Footer Char"/>
    <w:basedOn w:val="DefaultParagraphFont"/>
    <w:link w:val="Footer"/>
    <w:uiPriority w:val="99"/>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787440"/>
    <w:pPr>
      <w:spacing w:before="240"/>
      <w:ind w:left="360" w:hanging="360"/>
    </w:pPr>
    <w:rPr>
      <w:rFonts w:cs="Calibri"/>
      <w:b/>
      <w:bCs w:val="0"/>
      <w:i w:val="0"/>
      <w:color w:val="000000" w:themeColor="text1"/>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787440"/>
    <w:rPr>
      <w:rFonts w:ascii="Calibri" w:hAnsi="Calibri" w:cs="Calibri"/>
      <w:b/>
      <w:color w:val="000000" w:themeColor="text1"/>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Black" w:hAnsi="Arial Black"/>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8"/>
      </w:numPr>
    </w:pPr>
    <w:rPr>
      <w:rFonts w:asciiTheme="minorHAnsi" w:hAnsiTheme="minorHAnsi"/>
      <w:szCs w:val="20"/>
    </w:rPr>
  </w:style>
  <w:style w:type="character" w:customStyle="1" w:styleId="2RARMPChar">
    <w:name w:val="2 RARMP Char"/>
    <w:basedOn w:val="DefaultParagraphFont"/>
    <w:link w:val="2RARMP"/>
    <w:rsid w:val="006E06B6"/>
    <w:rPr>
      <w:rFonts w:ascii="Calibri" w:hAnsi="Calibri" w:cs="Arial"/>
      <w:b/>
      <w:bCs/>
      <w:iCs/>
      <w:sz w:val="28"/>
      <w:szCs w:val="28"/>
    </w:rPr>
  </w:style>
  <w:style w:type="paragraph" w:customStyle="1" w:styleId="RARMPListletter">
    <w:name w:val="RARMP List letter"/>
    <w:basedOn w:val="Normal"/>
    <w:qFormat/>
    <w:rsid w:val="00086E71"/>
    <w:pPr>
      <w:numPr>
        <w:numId w:val="52"/>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9"/>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50"/>
      </w:numPr>
      <w:spacing w:before="0" w:after="0"/>
    </w:pPr>
    <w:rPr>
      <w:sz w:val="20"/>
      <w:lang w:eastAsia="en-US"/>
    </w:rPr>
  </w:style>
  <w:style w:type="paragraph" w:customStyle="1" w:styleId="Style23">
    <w:name w:val="Style2 3"/>
    <w:basedOn w:val="Normal"/>
    <w:link w:val="Style23Char"/>
    <w:qFormat/>
    <w:rsid w:val="00086E71"/>
    <w:pPr>
      <w:numPr>
        <w:numId w:val="51"/>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54"/>
      </w:numPr>
    </w:pPr>
    <w:rPr>
      <w:rFonts w:ascii="Arial" w:hAnsi="Arial"/>
      <w:sz w:val="24"/>
    </w:rPr>
  </w:style>
  <w:style w:type="paragraph" w:customStyle="1" w:styleId="ConditionLevel2">
    <w:name w:val="Condition Level 2"/>
    <w:basedOn w:val="Normal"/>
    <w:qFormat/>
    <w:rsid w:val="00E27CF9"/>
    <w:pPr>
      <w:numPr>
        <w:numId w:val="56"/>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0">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0"/>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7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67"/>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8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8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 w:type="paragraph" w:customStyle="1" w:styleId="RARMPparagraph">
    <w:name w:val="RARMP paragraph"/>
    <w:basedOn w:val="Normal"/>
    <w:link w:val="RARMPparagraphChar0"/>
    <w:qFormat/>
    <w:rsid w:val="00865024"/>
    <w:pPr>
      <w:numPr>
        <w:numId w:val="109"/>
      </w:numPr>
      <w:ind w:left="0" w:firstLine="0"/>
    </w:pPr>
    <w:rPr>
      <w:rFonts w:eastAsiaTheme="minorHAnsi" w:cstheme="minorBidi"/>
      <w:szCs w:val="22"/>
      <w:lang w:eastAsia="en-US"/>
    </w:rPr>
  </w:style>
  <w:style w:type="character" w:customStyle="1" w:styleId="RARMPparagraphChar0">
    <w:name w:val="RARMP paragraph Char"/>
    <w:basedOn w:val="DefaultParagraphFont"/>
    <w:link w:val="RARMPparagraph"/>
    <w:rsid w:val="00865024"/>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da.gov/media/164029/download?attachment" TargetMode="External"/><Relationship Id="rId21" Type="http://schemas.openxmlformats.org/officeDocument/2006/relationships/hyperlink" Target="https://www.nhmrc.gov.au/about-us/publications/australian-guidelines-prevention-and-control-infection-healthcare-2019" TargetMode="External"/><Relationship Id="rId42" Type="http://schemas.openxmlformats.org/officeDocument/2006/relationships/hyperlink" Target="https://www.fda.gov/media/164029/download?attachment" TargetMode="External"/><Relationship Id="rId47" Type="http://schemas.openxmlformats.org/officeDocument/2006/relationships/footer" Target="footer8.xml"/><Relationship Id="rId63" Type="http://schemas.openxmlformats.org/officeDocument/2006/relationships/hyperlink" Target="https://epa.tas.gov.au/Documents/AMM_Clinical_and_Related_Waste_Companion.pdf" TargetMode="External"/><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s://www.safetyandquality.gov.au/standards/nsqhs-standards" TargetMode="External"/><Relationship Id="rId32" Type="http://schemas.openxmlformats.org/officeDocument/2006/relationships/hyperlink" Target="https://www.accessdata.fda.gov/drugsatfda_docs/label/2014/103132s5190lbl.pdf" TargetMode="External"/><Relationship Id="rId37" Type="http://schemas.openxmlformats.org/officeDocument/2006/relationships/hyperlink" Target="https://ctep.cancer.gov/protocoldevelopment/electronic_applications/docs/ctcae_v5_quick_reference_5x7.pdf" TargetMode="Externa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hyperlink" Target="https://www.cdc.gov/adenovirus/about/transmission.html" TargetMode="External"/><Relationship Id="rId58" Type="http://schemas.openxmlformats.org/officeDocument/2006/relationships/hyperlink" Target="https://www.health.nsw.gov.au/environment/clinicalwaste/Pages/default.aspx" TargetMode="External"/><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environment.des.qld.gov.au/__data/assets/pdf_file/0029/89147/pr-gl-clinical-and-related-waste.pdf" TargetMode="External"/><Relationship Id="rId19" Type="http://schemas.openxmlformats.org/officeDocument/2006/relationships/hyperlink" Target="http://www.ogtr.gov.au/" TargetMode="External"/><Relationship Id="rId14" Type="http://schemas.openxmlformats.org/officeDocument/2006/relationships/hyperlink" Target="https://www.tga.gov.au/publication/note-guidance-good-clinical-practice" TargetMode="External"/><Relationship Id="rId22" Type="http://schemas.openxmlformats.org/officeDocument/2006/relationships/hyperlink" Target="http://www.health.gov.au/npaac" TargetMode="External"/><Relationship Id="rId27" Type="http://schemas.openxmlformats.org/officeDocument/2006/relationships/image" Target="media/image3.png"/><Relationship Id="rId30" Type="http://schemas.openxmlformats.org/officeDocument/2006/relationships/hyperlink" Target="https://www.health.gov.au/sites/default/files/2025-09/australian-respiratory-surveillance-report-11-august-to-24-august-2025.pdf" TargetMode="External"/><Relationship Id="rId35" Type="http://schemas.openxmlformats.org/officeDocument/2006/relationships/hyperlink" Target="https://clinicaltrials.gov/study/NCT01687244?term=rAd-IFN%2FSyn3&amp;rank=1" TargetMode="External"/><Relationship Id="rId43" Type="http://schemas.openxmlformats.org/officeDocument/2006/relationships/hyperlink" Target="https://www.fda.gov/media/164029/download?attachment" TargetMode="External"/><Relationship Id="rId48" Type="http://schemas.openxmlformats.org/officeDocument/2006/relationships/hyperlink" Target="https://www.legislation.act.gov.au/a/1990-5/" TargetMode="External"/><Relationship Id="rId56" Type="http://schemas.openxmlformats.org/officeDocument/2006/relationships/hyperlink" Target="https://www.nhmrc.gov.au/about-us/publications/australian-guidelines-prevention-and-control-infection-healthcare-2019" TargetMode="External"/><Relationship Id="rId64" Type="http://schemas.openxmlformats.org/officeDocument/2006/relationships/hyperlink" Target="https://www.epa.vic.gov.au/for-business/find-a-topic/manage-industrial-waste" TargetMode="External"/><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14321/waterpathogens.1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hyperlink" Target="https://clinicaltrials.gov/study/NCT00536588" TargetMode="External"/><Relationship Id="rId38" Type="http://schemas.openxmlformats.org/officeDocument/2006/relationships/hyperlink" Target="https://www.ogtr.gov.au/gmo-dealings/dealings-involving-intentional-release/dir-217" TargetMode="External"/><Relationship Id="rId46" Type="http://schemas.openxmlformats.org/officeDocument/2006/relationships/hyperlink" Target="https://www.fda.gov/media/164029/download?attachment" TargetMode="External"/><Relationship Id="rId59" Type="http://schemas.openxmlformats.org/officeDocument/2006/relationships/hyperlink" Target="https://legislation.nt.gov.au/Legislation/WASTE-MANAGEMENT-AND-POLLUTION-CONTROL-ADMINISTRATION-REGULATIONS-1998" TargetMode="External"/><Relationship Id="rId67" Type="http://schemas.openxmlformats.org/officeDocument/2006/relationships/hyperlink" Target="https://www.ogtr.gov.au/gmo-dealings/dealings-involving-intentional-release/dir-223" TargetMode="External"/><Relationship Id="rId20" Type="http://schemas.openxmlformats.org/officeDocument/2006/relationships/image" Target="media/image2.png"/><Relationship Id="rId41" Type="http://schemas.openxmlformats.org/officeDocument/2006/relationships/image" Target="media/image7.png"/><Relationship Id="rId54" Type="http://schemas.openxmlformats.org/officeDocument/2006/relationships/hyperlink" Target="https://www.ema.europa.eu/en/non-clinical-testing-inadvertent-germline-transmission-gene-transfer-vectors" TargetMode="External"/><Relationship Id="rId62" Type="http://schemas.openxmlformats.org/officeDocument/2006/relationships/hyperlink" Target="https://www.epa.sa.gov.au/environmental_info/waste_recycling/disposing-waste" TargetMode="Externa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nata.com.au/" TargetMode="External"/><Relationship Id="rId28" Type="http://schemas.openxmlformats.org/officeDocument/2006/relationships/image" Target="media/image4.png"/><Relationship Id="rId36" Type="http://schemas.openxmlformats.org/officeDocument/2006/relationships/hyperlink" Target="https://clinicaltrials.gov/study/NCT02773849?term=Adstiladrin&amp;rank=2" TargetMode="External"/><Relationship Id="rId49" Type="http://schemas.openxmlformats.org/officeDocument/2006/relationships/hyperlink" Target="http://www.waterpathogens.org" TargetMode="External"/><Relationship Id="rId57" Type="http://schemas.openxmlformats.org/officeDocument/2006/relationships/hyperlink" Target="https://www.nhmrc.gov.au/about-us/publications/national-statement-ethical-conduct-human-research-2007-updated-2018" TargetMode="Externa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www.ogtr.gov.au/resources/publications/risk-analysis-framework-2013" TargetMode="External"/><Relationship Id="rId52" Type="http://schemas.openxmlformats.org/officeDocument/2006/relationships/hyperlink" Target="https://www.cdc.gov/adenovirus/about/symptoms.html" TargetMode="External"/><Relationship Id="rId60" Type="http://schemas.openxmlformats.org/officeDocument/2006/relationships/hyperlink" Target="https://www.canada.ca/en/public-health/services/laboratory-biosafety-biosecurity/pathogen-safety-data-sheets-risk-assessment/adenovirus-types-1-2-3-4-5-7-pathogen-safety-data-sheet.html" TargetMode="External"/><Relationship Id="rId65" Type="http://schemas.openxmlformats.org/officeDocument/2006/relationships/hyperlink" Target="https://ww2.health.wa.gov.au/About-us/Policy-frameworks/Public-Health/Mandatory-requirements/Environmental-Health-Management/Clinical-and-Related-Waste-Management-Policy"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nhmrc.gov.au/about-us/publications/national-statement-ethical-conduct-human-research-2007-updated-2018" TargetMode="External"/><Relationship Id="rId18" Type="http://schemas.openxmlformats.org/officeDocument/2006/relationships/footer" Target="footer5.xml"/><Relationship Id="rId39" Type="http://schemas.openxmlformats.org/officeDocument/2006/relationships/hyperlink" Target="https://clinicaltrials.gov/search?intr=Nadofaragene%20Firadenovec" TargetMode="External"/><Relationship Id="rId34" Type="http://schemas.openxmlformats.org/officeDocument/2006/relationships/hyperlink" Target="https://clinicaltrials.gov/study/NCT01162785?term=rAd-IFN%2FSyn3&amp;rank=2" TargetMode="External"/><Relationship Id="rId50" Type="http://schemas.openxmlformats.org/officeDocument/2006/relationships/hyperlink" Target="http://www.waterpathogens.org/book/adenoviruses" TargetMode="External"/><Relationship Id="rId55" Type="http://schemas.openxmlformats.org/officeDocument/2006/relationships/hyperlink" Target="https://www.fda.gov/media/113768/downlo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25569</Words>
  <Characters>226660</Characters>
  <Application>Microsoft Office Word</Application>
  <DocSecurity>0</DocSecurity>
  <Lines>4197</Lines>
  <Paragraphs>1692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250537</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DIR-223 - Full Risk Assessment and Risk Management Plan</dc:title>
  <dc:subject/>
  <dc:creator/>
  <cp:keywords/>
  <dc:description/>
  <cp:lastModifiedBy/>
  <cp:revision>1</cp:revision>
  <dcterms:created xsi:type="dcterms:W3CDTF">2026-04-13T03:13:00Z</dcterms:created>
  <dcterms:modified xsi:type="dcterms:W3CDTF">2026-04-15T01:41:00Z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625896ca,20cffb9b,7cd52679,20e742d1,3d314e7c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1c98d5ec,3980ebe7,5345077a,5ac0d7c9,d80e3f0,6836b55c,3a99be66,7b0e698e,5b771098,43bad4d9,2787fedc,786ee6a8</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2026-04-13T03:15:21Z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05f1e3c0-6f02-48ba-82b5-4d8e07bd5a25</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