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A9B0D" w14:textId="77777777" w:rsidR="00747D3E" w:rsidRPr="0000143A" w:rsidRDefault="00747D3E" w:rsidP="00747D3E">
      <w:pPr>
        <w:pStyle w:val="Heading1"/>
      </w:pPr>
      <w:bookmarkStart w:id="0" w:name="_Toc47536733"/>
      <w:bookmarkStart w:id="1" w:name="_Toc220571238"/>
      <w:bookmarkStart w:id="2" w:name="_Toc174765844"/>
      <w:bookmarkStart w:id="3" w:name="_Toc167164262"/>
      <w:bookmarkStart w:id="4" w:name="_Toc198434571"/>
      <w:bookmarkStart w:id="5" w:name="_Toc259790166"/>
      <w:bookmarkStart w:id="6" w:name="_Toc236620543"/>
      <w:bookmarkStart w:id="7" w:name="_Toc209859545"/>
      <w:bookmarkStart w:id="8" w:name="_Toc342042133"/>
      <w:bookmarkStart w:id="9" w:name="_Toc347392001"/>
      <w:r w:rsidRPr="0000143A">
        <w:t>Summary of the Risk Assessment and Risk Management Plan</w:t>
      </w:r>
      <w:bookmarkEnd w:id="0"/>
      <w:bookmarkEnd w:id="1"/>
    </w:p>
    <w:p w14:paraId="3E2B289A" w14:textId="77777777" w:rsidR="00747D3E" w:rsidRPr="0000143A" w:rsidRDefault="00747D3E" w:rsidP="00747D3E">
      <w:pPr>
        <w:keepNext/>
        <w:jc w:val="center"/>
        <w:rPr>
          <w:rFonts w:cs="Arial"/>
          <w:b/>
          <w:bCs/>
          <w:kern w:val="32"/>
          <w:sz w:val="28"/>
          <w:szCs w:val="28"/>
          <w:lang w:eastAsia="en-US"/>
        </w:rPr>
      </w:pPr>
      <w:r w:rsidRPr="0000143A">
        <w:rPr>
          <w:rFonts w:cs="Arial"/>
          <w:b/>
          <w:bCs/>
          <w:kern w:val="32"/>
          <w:sz w:val="28"/>
          <w:szCs w:val="28"/>
          <w:lang w:eastAsia="en-US"/>
        </w:rPr>
        <w:t>for</w:t>
      </w:r>
    </w:p>
    <w:p w14:paraId="18C15E8F" w14:textId="77777777" w:rsidR="00747D3E" w:rsidRPr="00F736DB" w:rsidRDefault="00747D3E" w:rsidP="00747D3E">
      <w:pPr>
        <w:keepNext/>
        <w:jc w:val="center"/>
        <w:rPr>
          <w:rFonts w:cs="Arial"/>
          <w:b/>
          <w:bCs/>
          <w:kern w:val="32"/>
          <w:sz w:val="36"/>
          <w:szCs w:val="36"/>
          <w:lang w:eastAsia="en-US"/>
        </w:rPr>
      </w:pPr>
      <w:r w:rsidRPr="0000143A">
        <w:rPr>
          <w:rFonts w:cs="Arial"/>
          <w:b/>
          <w:bCs/>
          <w:kern w:val="32"/>
          <w:sz w:val="36"/>
          <w:szCs w:val="36"/>
          <w:lang w:eastAsia="en-US"/>
        </w:rPr>
        <w:t xml:space="preserve">Licence </w:t>
      </w:r>
      <w:r>
        <w:rPr>
          <w:rFonts w:cs="Arial"/>
          <w:b/>
          <w:bCs/>
          <w:kern w:val="32"/>
          <w:sz w:val="36"/>
          <w:szCs w:val="36"/>
          <w:lang w:eastAsia="en-US"/>
        </w:rPr>
        <w:t>Application DIR-221</w:t>
      </w:r>
    </w:p>
    <w:p w14:paraId="4D5559C8" w14:textId="77777777" w:rsidR="00747D3E" w:rsidRPr="00F736DB" w:rsidRDefault="00747D3E" w:rsidP="00747D3E">
      <w:pPr>
        <w:pStyle w:val="Heading2"/>
        <w:numPr>
          <w:ilvl w:val="0"/>
          <w:numId w:val="0"/>
        </w:numPr>
        <w:rPr>
          <w:lang w:eastAsia="en-US"/>
        </w:rPr>
      </w:pPr>
      <w:bookmarkStart w:id="10" w:name="_Toc220571239"/>
      <w:r>
        <w:rPr>
          <w:lang w:eastAsia="en-US"/>
        </w:rPr>
        <w:t>Decision</w:t>
      </w:r>
      <w:bookmarkEnd w:id="10"/>
    </w:p>
    <w:p w14:paraId="5E623295" w14:textId="77777777" w:rsidR="00747D3E" w:rsidRDefault="00747D3E" w:rsidP="00747D3E">
      <w:bookmarkStart w:id="11" w:name="_Toc342042135"/>
      <w:bookmarkStart w:id="12" w:name="_Toc47536735"/>
      <w:bookmarkStart w:id="13" w:name="_Toc291151777"/>
      <w:bookmarkStart w:id="14" w:name="_Toc274904727"/>
      <w:bookmarkStart w:id="15" w:name="_Toc209859548"/>
      <w:bookmarkEnd w:id="2"/>
      <w:bookmarkEnd w:id="3"/>
      <w:bookmarkEnd w:id="4"/>
      <w:bookmarkEnd w:id="5"/>
      <w:bookmarkEnd w:id="6"/>
      <w:bookmarkEnd w:id="7"/>
      <w:bookmarkEnd w:id="8"/>
      <w:bookmarkEnd w:id="9"/>
      <w:r w:rsidRPr="004E066E">
        <w:t>The Gene Technology Regulator (the Regulator</w:t>
      </w:r>
      <w:r w:rsidRPr="001F5798">
        <w:t xml:space="preserve">) has </w:t>
      </w:r>
      <w:r w:rsidRPr="00F6321E">
        <w:t>decided to issue</w:t>
      </w:r>
      <w:r w:rsidRPr="001F5798">
        <w:t xml:space="preserve"> a licence </w:t>
      </w:r>
      <w:r>
        <w:t xml:space="preserve">for this </w:t>
      </w:r>
      <w:r w:rsidRPr="004E066E">
        <w:t xml:space="preserve">application </w:t>
      </w:r>
      <w:r>
        <w:t xml:space="preserve">for the intentional release of a </w:t>
      </w:r>
      <w:r w:rsidRPr="004E066E">
        <w:t>genetically modified organism (GMO)</w:t>
      </w:r>
      <w:r>
        <w:t xml:space="preserve"> into the environment</w:t>
      </w:r>
      <w:r w:rsidRPr="004E066E">
        <w:t xml:space="preserve">. </w:t>
      </w:r>
      <w:r>
        <w:t xml:space="preserve">A Risk Assessment and Risk Management Plan (RARMP) for this application has been prepared by the Regulator in accordance with the </w:t>
      </w:r>
      <w:r>
        <w:rPr>
          <w:i/>
          <w:iCs/>
        </w:rPr>
        <w:t xml:space="preserve">Gene Technology Act 2000 </w:t>
      </w:r>
      <w:r>
        <w:t xml:space="preserve">(the Act) and corresponding state and territory legislation, and finalised following consultation with a wide range of expert, agencies and authorities, and the public. The RARMP concluded that the proposed trial poses negligible to low risks to human health and safety and the environment and that any risks posed by the dealings can be managed by imposing conditions on the release. </w:t>
      </w:r>
    </w:p>
    <w:p w14:paraId="783B71AA" w14:textId="77777777" w:rsidR="00747D3E" w:rsidRPr="00A01D03" w:rsidRDefault="00747D3E" w:rsidP="00747D3E">
      <w:r w:rsidRPr="004E066E">
        <w:t xml:space="preserve">The applicant, </w:t>
      </w:r>
      <w:r>
        <w:rPr>
          <w:rFonts w:asciiTheme="minorHAnsi" w:hAnsiTheme="minorHAnsi" w:cstheme="minorHAnsi"/>
          <w:szCs w:val="22"/>
        </w:rPr>
        <w:t xml:space="preserve">Melius </w:t>
      </w:r>
      <w:proofErr w:type="spellStart"/>
      <w:r>
        <w:rPr>
          <w:rFonts w:asciiTheme="minorHAnsi" w:hAnsiTheme="minorHAnsi" w:cstheme="minorHAnsi"/>
          <w:szCs w:val="22"/>
        </w:rPr>
        <w:t>MicroBiomics</w:t>
      </w:r>
      <w:proofErr w:type="spellEnd"/>
      <w:r>
        <w:rPr>
          <w:rFonts w:asciiTheme="minorHAnsi" w:hAnsiTheme="minorHAnsi" w:cstheme="minorHAnsi"/>
          <w:szCs w:val="22"/>
        </w:rPr>
        <w:t xml:space="preserve"> Pty Ltd (Melius)</w:t>
      </w:r>
      <w:r>
        <w:t>,</w:t>
      </w:r>
      <w:r w:rsidRPr="004E066E">
        <w:t xml:space="preserve"> proposes to conduct a clinical trial to evaluate the safety and efficacy of </w:t>
      </w:r>
      <w:r>
        <w:t xml:space="preserve">a </w:t>
      </w:r>
      <w:r w:rsidRPr="004E066E">
        <w:t xml:space="preserve">genetically modified (GM) </w:t>
      </w:r>
      <w:r w:rsidRPr="0053463D">
        <w:rPr>
          <w:i/>
          <w:iCs/>
        </w:rPr>
        <w:t>Escherichia coli</w:t>
      </w:r>
      <w:r w:rsidRPr="004E066E">
        <w:rPr>
          <w:rFonts w:asciiTheme="minorHAnsi" w:hAnsiTheme="minorHAnsi" w:cstheme="minorHAnsi"/>
          <w:szCs w:val="22"/>
        </w:rPr>
        <w:t xml:space="preserve"> for the treatment of Australian</w:t>
      </w:r>
      <w:r>
        <w:rPr>
          <w:rFonts w:asciiTheme="minorHAnsi" w:hAnsiTheme="minorHAnsi" w:cstheme="minorHAnsi"/>
          <w:szCs w:val="22"/>
        </w:rPr>
        <w:t xml:space="preserve"> patients with ulcerative colitis</w:t>
      </w:r>
      <w:r w:rsidRPr="004E066E">
        <w:rPr>
          <w:rFonts w:cs="Calibri"/>
          <w:szCs w:val="22"/>
        </w:rPr>
        <w:t>.</w:t>
      </w:r>
      <w:r>
        <w:rPr>
          <w:rFonts w:cs="Calibri"/>
          <w:szCs w:val="22"/>
        </w:rPr>
        <w:t xml:space="preserve"> </w:t>
      </w:r>
      <w:r w:rsidRPr="00E342C3">
        <w:t>Ulcerative colitis is a type of inflammatory bowel disease (IB</w:t>
      </w:r>
      <w:r>
        <w:t>D</w:t>
      </w:r>
      <w:r w:rsidRPr="00E342C3">
        <w:t xml:space="preserve">) that causes the formation of sores due to inflammation that affects the lining of the large intestine (colon) and rectum. </w:t>
      </w:r>
    </w:p>
    <w:p w14:paraId="1B848A69" w14:textId="77777777" w:rsidR="00747D3E" w:rsidRPr="00A51210" w:rsidRDefault="00747D3E" w:rsidP="00747D3E">
      <w:r w:rsidRPr="00A51210">
        <w:t xml:space="preserve">Clinical trials in Australia are conducted in accordance with requirements of the </w:t>
      </w:r>
      <w:r w:rsidRPr="00A51210">
        <w:rPr>
          <w:i/>
        </w:rPr>
        <w:t>Therapeutic Goods Act 1989</w:t>
      </w:r>
      <w:r w:rsidRPr="00A51210">
        <w:t>, which is administered by the</w:t>
      </w:r>
      <w:r>
        <w:t xml:space="preserve"> </w:t>
      </w:r>
      <w:r w:rsidRPr="0052652B">
        <w:t>Therapeutic Goods Administration (TGA)</w:t>
      </w:r>
      <w:r>
        <w:t xml:space="preserve">. Therefore, in addition to approval by the Regulator, Melius </w:t>
      </w:r>
      <w:r w:rsidRPr="00C95AD1">
        <w:rPr>
          <w:color w:val="000000" w:themeColor="text1"/>
        </w:rPr>
        <w:t xml:space="preserve">would also require authorisation from TGA before the trial commences. Clinical trials conducted in Australia must also be conducted in accordance with the </w:t>
      </w:r>
      <w:hyperlink r:id="rId7" w:history="1">
        <w:r w:rsidRPr="00C95AD1">
          <w:rPr>
            <w:rStyle w:val="Hyperlink"/>
            <w:color w:val="000000" w:themeColor="text1"/>
          </w:rPr>
          <w:t>National Statement on Ethical Conduct in Human Research</w:t>
        </w:r>
      </w:hyperlink>
      <w:r w:rsidRPr="00C95AD1">
        <w:rPr>
          <w:i/>
          <w:color w:val="000000" w:themeColor="text1"/>
        </w:rPr>
        <w:t xml:space="preserve"> </w:t>
      </w:r>
      <w:r w:rsidRPr="00C95AD1">
        <w:rPr>
          <w:color w:val="000000" w:themeColor="text1"/>
        </w:rPr>
        <w:t xml:space="preserve">and with the </w:t>
      </w:r>
      <w:hyperlink r:id="rId8" w:history="1">
        <w:r w:rsidRPr="00C95AD1">
          <w:rPr>
            <w:rStyle w:val="Hyperlink"/>
            <w:color w:val="000000" w:themeColor="text1"/>
          </w:rPr>
          <w:t>Guidelines for Good Clinical Practice</w:t>
        </w:r>
      </w:hyperlink>
      <w:r w:rsidRPr="00C95AD1">
        <w:rPr>
          <w:color w:val="000000" w:themeColor="text1"/>
        </w:rPr>
        <w:t xml:space="preserve"> of the International Council for Harmoni</w:t>
      </w:r>
      <w:r w:rsidRPr="00A51210">
        <w:t xml:space="preserve">sation of Technical Requirements for Registration of Pharmaceuticals for Human Use. </w:t>
      </w:r>
      <w:r>
        <w:t xml:space="preserve">Melius </w:t>
      </w:r>
      <w:r w:rsidRPr="00A51210">
        <w:t>would also require approval from the</w:t>
      </w:r>
      <w:r>
        <w:t xml:space="preserve"> </w:t>
      </w:r>
      <w:r w:rsidRPr="00CD5087">
        <w:t>Department of Agriculture, Fisheries and Forestry</w:t>
      </w:r>
      <w:r>
        <w:t xml:space="preserve"> (DAFF) for</w:t>
      </w:r>
      <w:r w:rsidRPr="00A51210">
        <w:t xml:space="preserve"> import of the GMO</w:t>
      </w:r>
      <w:r>
        <w:t xml:space="preserve"> into Australia</w:t>
      </w:r>
      <w:r w:rsidRPr="00A51210">
        <w:t>.</w:t>
      </w:r>
    </w:p>
    <w:p w14:paraId="46BE972A" w14:textId="77777777" w:rsidR="00747D3E" w:rsidRPr="00DB5481" w:rsidRDefault="00747D3E" w:rsidP="00747D3E">
      <w:pPr>
        <w:pStyle w:val="Heading2"/>
        <w:numPr>
          <w:ilvl w:val="0"/>
          <w:numId w:val="0"/>
        </w:numPr>
      </w:pPr>
      <w:bookmarkStart w:id="16" w:name="_Toc220571240"/>
      <w:r w:rsidRPr="0000143A">
        <w:t>The application</w:t>
      </w:r>
      <w:bookmarkEnd w:id="11"/>
      <w:bookmarkEnd w:id="12"/>
      <w:bookmarkEnd w:id="16"/>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0"/>
        <w:gridCol w:w="7233"/>
      </w:tblGrid>
      <w:tr w:rsidR="00747D3E" w:rsidRPr="00224EE9" w14:paraId="07C67AB7" w14:textId="77777777" w:rsidTr="0022313B">
        <w:trPr>
          <w:jc w:val="center"/>
        </w:trPr>
        <w:tc>
          <w:tcPr>
            <w:tcW w:w="2260" w:type="dxa"/>
            <w:vAlign w:val="center"/>
          </w:tcPr>
          <w:p w14:paraId="18BA08DE" w14:textId="77777777" w:rsidR="00747D3E" w:rsidRPr="0096596B" w:rsidRDefault="00747D3E" w:rsidP="0005170E">
            <w:pPr>
              <w:rPr>
                <w:b/>
                <w:bCs/>
              </w:rPr>
            </w:pPr>
            <w:bookmarkStart w:id="17" w:name="_Hlk193704864"/>
            <w:bookmarkStart w:id="18" w:name="_Toc342042136"/>
            <w:bookmarkStart w:id="19" w:name="_Toc47536736"/>
            <w:r w:rsidRPr="0096596B">
              <w:rPr>
                <w:b/>
                <w:bCs/>
              </w:rPr>
              <w:t>Project Title</w:t>
            </w:r>
          </w:p>
        </w:tc>
        <w:tc>
          <w:tcPr>
            <w:tcW w:w="7233" w:type="dxa"/>
          </w:tcPr>
          <w:p w14:paraId="33F2E1A0" w14:textId="77777777" w:rsidR="00747D3E" w:rsidRPr="00224EE9" w:rsidRDefault="00747D3E" w:rsidP="0005170E">
            <w:r w:rsidRPr="009E33EE">
              <w:rPr>
                <w:bCs/>
              </w:rPr>
              <w:t xml:space="preserve">Clinical trial with genetically modified </w:t>
            </w:r>
            <w:r w:rsidRPr="009E33EE">
              <w:rPr>
                <w:bCs/>
                <w:i/>
                <w:iCs/>
              </w:rPr>
              <w:t>Escherichia Coli</w:t>
            </w:r>
            <w:r w:rsidRPr="009E33EE">
              <w:rPr>
                <w:bCs/>
              </w:rPr>
              <w:t xml:space="preserve"> for the treatment of ulcerative colitis.</w:t>
            </w:r>
          </w:p>
        </w:tc>
      </w:tr>
      <w:tr w:rsidR="00747D3E" w:rsidRPr="00224EE9" w14:paraId="5A5AFC34" w14:textId="77777777" w:rsidTr="0022313B">
        <w:trPr>
          <w:jc w:val="center"/>
        </w:trPr>
        <w:tc>
          <w:tcPr>
            <w:tcW w:w="2260" w:type="dxa"/>
            <w:vAlign w:val="center"/>
          </w:tcPr>
          <w:p w14:paraId="645E6BCF" w14:textId="77777777" w:rsidR="00747D3E" w:rsidRPr="0096596B" w:rsidRDefault="00747D3E" w:rsidP="0005170E">
            <w:pPr>
              <w:rPr>
                <w:b/>
                <w:bCs/>
              </w:rPr>
            </w:pPr>
            <w:r w:rsidRPr="0096596B">
              <w:rPr>
                <w:b/>
                <w:bCs/>
              </w:rPr>
              <w:t>Parent organism</w:t>
            </w:r>
          </w:p>
        </w:tc>
        <w:tc>
          <w:tcPr>
            <w:tcW w:w="7233" w:type="dxa"/>
          </w:tcPr>
          <w:p w14:paraId="155AE049" w14:textId="77777777" w:rsidR="00747D3E" w:rsidRPr="00224EE9" w:rsidRDefault="00747D3E" w:rsidP="0005170E">
            <w:r w:rsidRPr="00B81A63">
              <w:rPr>
                <w:i/>
              </w:rPr>
              <w:t>Escherichia coli</w:t>
            </w:r>
            <w:r w:rsidRPr="00B81A63">
              <w:t xml:space="preserve"> (</w:t>
            </w:r>
            <w:proofErr w:type="spellStart"/>
            <w:r w:rsidRPr="00B81A63">
              <w:t>Nissle</w:t>
            </w:r>
            <w:proofErr w:type="spellEnd"/>
            <w:r w:rsidRPr="00B81A63">
              <w:t xml:space="preserve"> strain).</w:t>
            </w:r>
          </w:p>
        </w:tc>
      </w:tr>
      <w:tr w:rsidR="00747D3E" w:rsidRPr="006543A6" w14:paraId="3865C9B1" w14:textId="77777777" w:rsidTr="0022313B">
        <w:trPr>
          <w:jc w:val="center"/>
        </w:trPr>
        <w:tc>
          <w:tcPr>
            <w:tcW w:w="2260" w:type="dxa"/>
            <w:vAlign w:val="center"/>
          </w:tcPr>
          <w:p w14:paraId="6F8A2CC2" w14:textId="77777777" w:rsidR="00747D3E" w:rsidRPr="0096596B" w:rsidRDefault="00747D3E" w:rsidP="0005170E">
            <w:pPr>
              <w:rPr>
                <w:b/>
                <w:bCs/>
              </w:rPr>
            </w:pPr>
            <w:r w:rsidRPr="0096596B">
              <w:rPr>
                <w:b/>
                <w:bCs/>
              </w:rPr>
              <w:t>Genetic modifications</w:t>
            </w:r>
          </w:p>
        </w:tc>
        <w:tc>
          <w:tcPr>
            <w:tcW w:w="7233" w:type="dxa"/>
            <w:vAlign w:val="center"/>
          </w:tcPr>
          <w:p w14:paraId="22E3EE76" w14:textId="77777777" w:rsidR="00747D3E" w:rsidRPr="005E2AAD" w:rsidRDefault="00747D3E" w:rsidP="0005170E">
            <w:pPr>
              <w:pStyle w:val="RIGHTLIST"/>
              <w:widowControl w:val="0"/>
              <w:spacing w:before="60" w:after="60"/>
              <w:rPr>
                <w:rFonts w:ascii="Calibri" w:hAnsi="Calibri"/>
              </w:rPr>
            </w:pPr>
            <w:r w:rsidRPr="00346AE0">
              <w:rPr>
                <w:rFonts w:ascii="Calibri" w:hAnsi="Calibri"/>
                <w:i/>
                <w:iCs/>
              </w:rPr>
              <w:t>E. coli</w:t>
            </w:r>
            <w:r w:rsidRPr="005E2AAD">
              <w:rPr>
                <w:rFonts w:ascii="Calibri" w:hAnsi="Calibri"/>
              </w:rPr>
              <w:t xml:space="preserve"> has been modified by the:</w:t>
            </w:r>
          </w:p>
          <w:p w14:paraId="1D3FF292" w14:textId="77777777" w:rsidR="00747D3E" w:rsidRPr="00371FE4" w:rsidRDefault="00747D3E" w:rsidP="00747D3E">
            <w:pPr>
              <w:pStyle w:val="RIGHTLIST"/>
              <w:widowControl w:val="0"/>
              <w:numPr>
                <w:ilvl w:val="0"/>
                <w:numId w:val="7"/>
              </w:numPr>
              <w:spacing w:before="60" w:after="60"/>
              <w:ind w:left="330" w:hanging="284"/>
              <w:rPr>
                <w:rFonts w:ascii="Calibri" w:hAnsi="Calibri"/>
                <w:u w:val="single"/>
              </w:rPr>
            </w:pPr>
            <w:r w:rsidRPr="00371FE4">
              <w:rPr>
                <w:rFonts w:ascii="Calibri" w:hAnsi="Calibri"/>
              </w:rPr>
              <w:t>Insertion of</w:t>
            </w:r>
            <w:r>
              <w:rPr>
                <w:rFonts w:ascii="Calibri" w:hAnsi="Calibri"/>
              </w:rPr>
              <w:t xml:space="preserve"> 2 copies of the</w:t>
            </w:r>
            <w:r w:rsidRPr="00371FE4">
              <w:rPr>
                <w:rFonts w:ascii="Calibri" w:hAnsi="Calibri"/>
              </w:rPr>
              <w:t xml:space="preserve"> tetrathionate</w:t>
            </w:r>
            <w:r w:rsidRPr="005E2AAD">
              <w:rPr>
                <w:rFonts w:ascii="Calibri" w:hAnsi="Calibri"/>
              </w:rPr>
              <w:t xml:space="preserve"> reductase (</w:t>
            </w:r>
            <w:proofErr w:type="spellStart"/>
            <w:r w:rsidRPr="00A51AC6">
              <w:rPr>
                <w:rFonts w:ascii="Calibri" w:hAnsi="Calibri"/>
                <w:i/>
                <w:iCs/>
              </w:rPr>
              <w:t>ttr</w:t>
            </w:r>
            <w:proofErr w:type="spellEnd"/>
            <w:r w:rsidRPr="005E2AAD">
              <w:rPr>
                <w:rFonts w:ascii="Calibri" w:hAnsi="Calibri"/>
              </w:rPr>
              <w:t xml:space="preserve">) </w:t>
            </w:r>
            <w:r>
              <w:rPr>
                <w:rFonts w:ascii="Calibri" w:hAnsi="Calibri"/>
              </w:rPr>
              <w:t>operon</w:t>
            </w:r>
            <w:r w:rsidRPr="005E2AAD">
              <w:rPr>
                <w:rFonts w:ascii="Calibri" w:hAnsi="Calibri"/>
              </w:rPr>
              <w:t xml:space="preserve"> from </w:t>
            </w:r>
            <w:r w:rsidRPr="00A51AC6">
              <w:rPr>
                <w:rFonts w:ascii="Calibri" w:hAnsi="Calibri"/>
                <w:i/>
                <w:iCs/>
              </w:rPr>
              <w:lastRenderedPageBreak/>
              <w:t>Salmonella enterica</w:t>
            </w:r>
            <w:r w:rsidRPr="005E2AAD">
              <w:rPr>
                <w:rFonts w:ascii="Calibri" w:hAnsi="Calibri"/>
              </w:rPr>
              <w:t xml:space="preserve"> – survival advantage in inflammatory environment. </w:t>
            </w:r>
          </w:p>
          <w:p w14:paraId="39498C61" w14:textId="77777777" w:rsidR="00747D3E" w:rsidRDefault="00747D3E" w:rsidP="00747D3E">
            <w:pPr>
              <w:pStyle w:val="RIGHTLIST"/>
              <w:widowControl w:val="0"/>
              <w:numPr>
                <w:ilvl w:val="0"/>
                <w:numId w:val="7"/>
              </w:numPr>
              <w:spacing w:before="60" w:after="60"/>
              <w:ind w:left="330" w:hanging="284"/>
              <w:rPr>
                <w:rFonts w:ascii="Calibri" w:hAnsi="Calibri"/>
              </w:rPr>
            </w:pPr>
            <w:r w:rsidRPr="005E2AAD">
              <w:rPr>
                <w:rFonts w:ascii="Calibri" w:hAnsi="Calibri"/>
              </w:rPr>
              <w:t>Deletion of</w:t>
            </w:r>
            <w:r>
              <w:rPr>
                <w:rFonts w:ascii="Calibri" w:hAnsi="Calibri"/>
              </w:rPr>
              <w:t xml:space="preserve"> 2</w:t>
            </w:r>
            <w:r w:rsidRPr="005E2AAD">
              <w:rPr>
                <w:rFonts w:ascii="Calibri" w:hAnsi="Calibri"/>
              </w:rPr>
              <w:t xml:space="preserve"> genes</w:t>
            </w:r>
            <w:r w:rsidRPr="00843FEA">
              <w:rPr>
                <w:rStyle w:val="FootnoteReference"/>
              </w:rPr>
              <w:footnoteReference w:id="1"/>
            </w:r>
            <w:r>
              <w:rPr>
                <w:rFonts w:ascii="Calibri" w:hAnsi="Calibri"/>
                <w:iCs/>
              </w:rPr>
              <w:t xml:space="preserve"> </w:t>
            </w:r>
          </w:p>
          <w:p w14:paraId="559B27B3" w14:textId="77777777" w:rsidR="00747D3E" w:rsidRDefault="00747D3E" w:rsidP="00747D3E">
            <w:pPr>
              <w:pStyle w:val="RIGHTLIST"/>
              <w:widowControl w:val="0"/>
              <w:numPr>
                <w:ilvl w:val="1"/>
                <w:numId w:val="7"/>
              </w:numPr>
              <w:spacing w:before="60" w:after="60"/>
              <w:ind w:left="755" w:hanging="425"/>
              <w:rPr>
                <w:rFonts w:ascii="Calibri" w:hAnsi="Calibri"/>
              </w:rPr>
            </w:pPr>
            <w:r>
              <w:rPr>
                <w:rFonts w:ascii="Calibri" w:hAnsi="Calibri"/>
              </w:rPr>
              <w:t xml:space="preserve">Gene A - </w:t>
            </w:r>
            <w:r w:rsidRPr="005E2AAD">
              <w:rPr>
                <w:rFonts w:ascii="Calibri" w:hAnsi="Calibri"/>
              </w:rPr>
              <w:t xml:space="preserve">reduced survivability in the </w:t>
            </w:r>
            <w:r>
              <w:rPr>
                <w:rFonts w:ascii="Calibri" w:hAnsi="Calibri"/>
              </w:rPr>
              <w:t xml:space="preserve">broader </w:t>
            </w:r>
            <w:r w:rsidRPr="005E2AAD">
              <w:rPr>
                <w:rFonts w:ascii="Calibri" w:hAnsi="Calibri"/>
              </w:rPr>
              <w:t>environment</w:t>
            </w:r>
            <w:r>
              <w:rPr>
                <w:rFonts w:ascii="Calibri" w:hAnsi="Calibri"/>
              </w:rPr>
              <w:t xml:space="preserve">; and </w:t>
            </w:r>
          </w:p>
          <w:p w14:paraId="3C4EDC4A" w14:textId="77777777" w:rsidR="00747D3E" w:rsidRPr="00BB4EDF" w:rsidRDefault="00747D3E" w:rsidP="00747D3E">
            <w:pPr>
              <w:pStyle w:val="RIGHTLIST"/>
              <w:widowControl w:val="0"/>
              <w:numPr>
                <w:ilvl w:val="1"/>
                <w:numId w:val="7"/>
              </w:numPr>
              <w:spacing w:before="60" w:after="60"/>
              <w:ind w:left="755" w:hanging="425"/>
              <w:rPr>
                <w:rFonts w:ascii="Calibri" w:hAnsi="Calibri"/>
              </w:rPr>
            </w:pPr>
            <w:r>
              <w:rPr>
                <w:rFonts w:ascii="Calibri" w:hAnsi="Calibri"/>
              </w:rPr>
              <w:t xml:space="preserve">Gene B - potentially reduced ability to colonise the healthy gut compared to wild type (WT) </w:t>
            </w:r>
          </w:p>
        </w:tc>
      </w:tr>
      <w:tr w:rsidR="00747D3E" w:rsidRPr="002E3104" w14:paraId="575E7FB6" w14:textId="77777777" w:rsidTr="0022313B">
        <w:trPr>
          <w:jc w:val="center"/>
        </w:trPr>
        <w:tc>
          <w:tcPr>
            <w:tcW w:w="2260" w:type="dxa"/>
            <w:vAlign w:val="center"/>
          </w:tcPr>
          <w:p w14:paraId="33F757BB" w14:textId="77777777" w:rsidR="00747D3E" w:rsidRPr="0096596B" w:rsidRDefault="00747D3E" w:rsidP="0005170E">
            <w:pPr>
              <w:rPr>
                <w:b/>
                <w:bCs/>
              </w:rPr>
            </w:pPr>
            <w:r w:rsidRPr="0096596B">
              <w:rPr>
                <w:b/>
                <w:bCs/>
              </w:rPr>
              <w:lastRenderedPageBreak/>
              <w:t>Principal purpose</w:t>
            </w:r>
          </w:p>
        </w:tc>
        <w:tc>
          <w:tcPr>
            <w:tcW w:w="7233" w:type="dxa"/>
            <w:vAlign w:val="center"/>
          </w:tcPr>
          <w:p w14:paraId="32ED5EE7" w14:textId="77777777" w:rsidR="00747D3E" w:rsidRPr="002E3104" w:rsidRDefault="00747D3E" w:rsidP="0005170E">
            <w:r w:rsidRPr="001460F8">
              <w:rPr>
                <w:rFonts w:asciiTheme="minorHAnsi" w:hAnsiTheme="minorHAnsi" w:cstheme="minorHAnsi"/>
              </w:rPr>
              <w:t xml:space="preserve">The proposed trial is a Phase 1 study designed to evaluate the safety and efficacy of </w:t>
            </w:r>
            <w:r>
              <w:rPr>
                <w:rFonts w:asciiTheme="minorHAnsi" w:hAnsiTheme="minorHAnsi" w:cstheme="minorHAnsi"/>
              </w:rPr>
              <w:t>GM</w:t>
            </w:r>
            <w:r w:rsidRPr="001460F8">
              <w:rPr>
                <w:rFonts w:asciiTheme="minorHAnsi" w:hAnsiTheme="minorHAnsi" w:cstheme="minorHAnsi"/>
              </w:rPr>
              <w:t xml:space="preserve"> </w:t>
            </w:r>
            <w:r w:rsidRPr="001460F8">
              <w:rPr>
                <w:rFonts w:asciiTheme="minorHAnsi" w:hAnsiTheme="minorHAnsi" w:cstheme="minorHAnsi"/>
                <w:i/>
                <w:iCs/>
              </w:rPr>
              <w:t>E. coli</w:t>
            </w:r>
            <w:r w:rsidRPr="001460F8">
              <w:rPr>
                <w:rFonts w:asciiTheme="minorHAnsi" w:hAnsiTheme="minorHAnsi" w:cstheme="minorHAnsi"/>
              </w:rPr>
              <w:t>, for the treatment of Australian patients with ulcerative colitis.</w:t>
            </w:r>
          </w:p>
        </w:tc>
      </w:tr>
      <w:tr w:rsidR="00747D3E" w:rsidRPr="00224EE9" w14:paraId="6AA23F14" w14:textId="77777777" w:rsidTr="0022313B">
        <w:trPr>
          <w:jc w:val="center"/>
        </w:trPr>
        <w:tc>
          <w:tcPr>
            <w:tcW w:w="2260" w:type="dxa"/>
            <w:vAlign w:val="center"/>
          </w:tcPr>
          <w:p w14:paraId="5F564102" w14:textId="77777777" w:rsidR="00747D3E" w:rsidRPr="0096596B" w:rsidRDefault="00747D3E" w:rsidP="0005170E">
            <w:pPr>
              <w:rPr>
                <w:b/>
                <w:bCs/>
              </w:rPr>
            </w:pPr>
            <w:r w:rsidRPr="0096596B">
              <w:rPr>
                <w:b/>
                <w:bCs/>
              </w:rPr>
              <w:t>Previous clinical trials</w:t>
            </w:r>
          </w:p>
        </w:tc>
        <w:tc>
          <w:tcPr>
            <w:tcW w:w="7233" w:type="dxa"/>
            <w:vAlign w:val="center"/>
          </w:tcPr>
          <w:p w14:paraId="0B08C60B" w14:textId="77777777" w:rsidR="00747D3E" w:rsidRPr="00224EE9" w:rsidRDefault="00747D3E" w:rsidP="0005170E">
            <w:r>
              <w:t>None, this is a first in human clinical trial.</w:t>
            </w:r>
          </w:p>
        </w:tc>
      </w:tr>
      <w:tr w:rsidR="00747D3E" w:rsidRPr="00224EE9" w14:paraId="4F7BAC1F" w14:textId="77777777" w:rsidTr="0022313B">
        <w:trPr>
          <w:jc w:val="center"/>
        </w:trPr>
        <w:tc>
          <w:tcPr>
            <w:tcW w:w="9493" w:type="dxa"/>
            <w:gridSpan w:val="2"/>
          </w:tcPr>
          <w:p w14:paraId="6D5ACD1C" w14:textId="77777777" w:rsidR="00747D3E" w:rsidRPr="00224EE9" w:rsidRDefault="00747D3E" w:rsidP="0005170E">
            <w:pPr>
              <w:jc w:val="center"/>
              <w:rPr>
                <w:b/>
                <w:bCs/>
              </w:rPr>
            </w:pPr>
            <w:r w:rsidRPr="00224EE9">
              <w:rPr>
                <w:b/>
                <w:bCs/>
              </w:rPr>
              <w:t>Proposed limits and controls</w:t>
            </w:r>
          </w:p>
        </w:tc>
      </w:tr>
      <w:tr w:rsidR="00747D3E" w:rsidRPr="00224EE9" w14:paraId="50DC2065" w14:textId="77777777" w:rsidTr="0022313B">
        <w:trPr>
          <w:jc w:val="center"/>
        </w:trPr>
        <w:tc>
          <w:tcPr>
            <w:tcW w:w="2260" w:type="dxa"/>
            <w:vAlign w:val="center"/>
          </w:tcPr>
          <w:p w14:paraId="56871254" w14:textId="77777777" w:rsidR="00747D3E" w:rsidRPr="0096596B" w:rsidRDefault="00747D3E" w:rsidP="0005170E">
            <w:pPr>
              <w:rPr>
                <w:b/>
                <w:bCs/>
              </w:rPr>
            </w:pPr>
            <w:r w:rsidRPr="0096596B">
              <w:rPr>
                <w:b/>
                <w:bCs/>
              </w:rPr>
              <w:t>Proposed duration</w:t>
            </w:r>
          </w:p>
        </w:tc>
        <w:tc>
          <w:tcPr>
            <w:tcW w:w="7233" w:type="dxa"/>
            <w:vAlign w:val="center"/>
          </w:tcPr>
          <w:p w14:paraId="16D6FE07" w14:textId="77777777" w:rsidR="00747D3E" w:rsidRPr="00224EE9" w:rsidRDefault="00747D3E" w:rsidP="0005170E">
            <w:r>
              <w:t xml:space="preserve">5 </w:t>
            </w:r>
            <w:r w:rsidRPr="00224EE9">
              <w:t>years</w:t>
            </w:r>
          </w:p>
        </w:tc>
      </w:tr>
      <w:tr w:rsidR="00747D3E" w:rsidRPr="00224EE9" w14:paraId="0A3A8913" w14:textId="77777777" w:rsidTr="0022313B">
        <w:trPr>
          <w:jc w:val="center"/>
        </w:trPr>
        <w:tc>
          <w:tcPr>
            <w:tcW w:w="2260" w:type="dxa"/>
            <w:vAlign w:val="center"/>
          </w:tcPr>
          <w:p w14:paraId="27D391F8" w14:textId="77777777" w:rsidR="00747D3E" w:rsidRPr="0096596B" w:rsidRDefault="00747D3E" w:rsidP="0005170E">
            <w:pPr>
              <w:rPr>
                <w:b/>
                <w:bCs/>
              </w:rPr>
            </w:pPr>
            <w:r w:rsidRPr="0096596B">
              <w:rPr>
                <w:b/>
                <w:bCs/>
              </w:rPr>
              <w:t>Proposed release size</w:t>
            </w:r>
          </w:p>
        </w:tc>
        <w:tc>
          <w:tcPr>
            <w:tcW w:w="7233" w:type="dxa"/>
            <w:vAlign w:val="center"/>
          </w:tcPr>
          <w:p w14:paraId="7A93914F" w14:textId="77777777" w:rsidR="00747D3E" w:rsidRPr="00224EE9" w:rsidRDefault="00747D3E" w:rsidP="0005170E">
            <w:r>
              <w:t>Up to 36</w:t>
            </w:r>
            <w:r w:rsidRPr="00224EE9">
              <w:t xml:space="preserve"> participants in Australia</w:t>
            </w:r>
            <w:r>
              <w:t xml:space="preserve"> (including placebo).</w:t>
            </w:r>
          </w:p>
        </w:tc>
      </w:tr>
      <w:tr w:rsidR="00747D3E" w:rsidRPr="00FD1C8B" w14:paraId="2F54E51B" w14:textId="77777777" w:rsidTr="0022313B">
        <w:trPr>
          <w:jc w:val="center"/>
        </w:trPr>
        <w:tc>
          <w:tcPr>
            <w:tcW w:w="2260" w:type="dxa"/>
            <w:vAlign w:val="center"/>
          </w:tcPr>
          <w:p w14:paraId="02A95DAC" w14:textId="77777777" w:rsidR="00747D3E" w:rsidRPr="0096596B" w:rsidRDefault="00747D3E" w:rsidP="0005170E">
            <w:pPr>
              <w:rPr>
                <w:b/>
                <w:bCs/>
              </w:rPr>
            </w:pPr>
            <w:r w:rsidRPr="0096596B">
              <w:rPr>
                <w:b/>
                <w:bCs/>
              </w:rPr>
              <w:t>Proposed locations</w:t>
            </w:r>
          </w:p>
        </w:tc>
        <w:tc>
          <w:tcPr>
            <w:tcW w:w="7233" w:type="dxa"/>
            <w:vAlign w:val="center"/>
          </w:tcPr>
          <w:p w14:paraId="367B32B4" w14:textId="77777777" w:rsidR="00747D3E" w:rsidRPr="00FD1C8B" w:rsidRDefault="00747D3E" w:rsidP="0005170E">
            <w:pPr>
              <w:spacing w:after="240"/>
              <w:rPr>
                <w:szCs w:val="22"/>
                <w:highlight w:val="yellow"/>
              </w:rPr>
            </w:pPr>
            <w:r w:rsidRPr="00EB3F18">
              <w:rPr>
                <w:rFonts w:cs="Calibri"/>
              </w:rPr>
              <w:t xml:space="preserve">This </w:t>
            </w:r>
            <w:r>
              <w:rPr>
                <w:rFonts w:cs="Calibri"/>
              </w:rPr>
              <w:t xml:space="preserve">clinical </w:t>
            </w:r>
            <w:r w:rsidRPr="00EB3F18">
              <w:rPr>
                <w:rFonts w:cs="Calibri"/>
              </w:rPr>
              <w:t xml:space="preserve">trial </w:t>
            </w:r>
            <w:r>
              <w:rPr>
                <w:rFonts w:cs="Calibri"/>
              </w:rPr>
              <w:t>would be conducted within Australia at a hospital or clinical trial sites (medical facilities). The specific clinical trial sites are yet to be identified.</w:t>
            </w:r>
          </w:p>
        </w:tc>
      </w:tr>
      <w:tr w:rsidR="00747D3E" w:rsidRPr="00044BBD" w14:paraId="1B2CD4E7" w14:textId="77777777" w:rsidTr="0022313B">
        <w:trPr>
          <w:jc w:val="center"/>
        </w:trPr>
        <w:tc>
          <w:tcPr>
            <w:tcW w:w="2260" w:type="dxa"/>
          </w:tcPr>
          <w:p w14:paraId="66E612C0" w14:textId="77777777" w:rsidR="00747D3E" w:rsidRPr="0096596B" w:rsidRDefault="00747D3E" w:rsidP="0005170E">
            <w:pPr>
              <w:rPr>
                <w:b/>
                <w:bCs/>
              </w:rPr>
            </w:pPr>
            <w:r w:rsidRPr="0096596B">
              <w:rPr>
                <w:b/>
                <w:bCs/>
              </w:rPr>
              <w:t>Proposed controls</w:t>
            </w:r>
          </w:p>
        </w:tc>
        <w:tc>
          <w:tcPr>
            <w:tcW w:w="7233" w:type="dxa"/>
          </w:tcPr>
          <w:p w14:paraId="236A36B4" w14:textId="77777777" w:rsidR="00747D3E" w:rsidRPr="00252FAB" w:rsidRDefault="00747D3E" w:rsidP="00747D3E">
            <w:pPr>
              <w:pStyle w:val="RIGHTLIST"/>
              <w:keepNext w:val="0"/>
              <w:widowControl w:val="0"/>
              <w:numPr>
                <w:ilvl w:val="0"/>
                <w:numId w:val="6"/>
              </w:numPr>
              <w:spacing w:before="60" w:after="60"/>
              <w:ind w:left="317" w:hanging="283"/>
              <w:rPr>
                <w:rFonts w:ascii="Calibri" w:hAnsi="Calibri"/>
                <w:iCs/>
              </w:rPr>
            </w:pPr>
            <w:r w:rsidRPr="00252FAB">
              <w:rPr>
                <w:rFonts w:ascii="Calibri" w:hAnsi="Calibri"/>
                <w:iCs/>
              </w:rPr>
              <w:t>The GMO w</w:t>
            </w:r>
            <w:r>
              <w:rPr>
                <w:rFonts w:ascii="Calibri" w:hAnsi="Calibri"/>
                <w:iCs/>
              </w:rPr>
              <w:t>ould</w:t>
            </w:r>
            <w:r w:rsidRPr="00252FAB">
              <w:rPr>
                <w:rFonts w:ascii="Calibri" w:hAnsi="Calibri"/>
                <w:iCs/>
              </w:rPr>
              <w:t xml:space="preserve"> be administered to trial participants within </w:t>
            </w:r>
            <w:r>
              <w:rPr>
                <w:rFonts w:ascii="Calibri" w:hAnsi="Calibri"/>
                <w:iCs/>
              </w:rPr>
              <w:t>clinical trial sites.</w:t>
            </w:r>
          </w:p>
          <w:p w14:paraId="3CC160E5" w14:textId="77777777" w:rsidR="00747D3E" w:rsidRPr="00252FAB" w:rsidRDefault="00747D3E" w:rsidP="00747D3E">
            <w:pPr>
              <w:pStyle w:val="RIGHTLIST"/>
              <w:keepNext w:val="0"/>
              <w:widowControl w:val="0"/>
              <w:numPr>
                <w:ilvl w:val="0"/>
                <w:numId w:val="6"/>
              </w:numPr>
              <w:spacing w:before="60" w:after="60"/>
              <w:ind w:left="317" w:hanging="283"/>
              <w:rPr>
                <w:rFonts w:ascii="Calibri" w:hAnsi="Calibri"/>
                <w:iCs/>
              </w:rPr>
            </w:pPr>
            <w:r w:rsidRPr="00252FAB">
              <w:rPr>
                <w:rFonts w:ascii="Calibri" w:hAnsi="Calibri"/>
                <w:iCs/>
              </w:rPr>
              <w:t>Staff handling the GMO w</w:t>
            </w:r>
            <w:r>
              <w:rPr>
                <w:rFonts w:ascii="Calibri" w:hAnsi="Calibri"/>
                <w:iCs/>
              </w:rPr>
              <w:t>ould</w:t>
            </w:r>
            <w:r w:rsidRPr="00252FAB">
              <w:rPr>
                <w:rFonts w:ascii="Calibri" w:hAnsi="Calibri"/>
                <w:iCs/>
              </w:rPr>
              <w:t xml:space="preserve"> be trained and </w:t>
            </w:r>
            <w:r>
              <w:rPr>
                <w:rFonts w:ascii="Calibri" w:hAnsi="Calibri"/>
                <w:iCs/>
              </w:rPr>
              <w:t xml:space="preserve">would </w:t>
            </w:r>
            <w:r w:rsidRPr="00252FAB">
              <w:rPr>
                <w:rFonts w:ascii="Calibri" w:hAnsi="Calibri"/>
                <w:iCs/>
              </w:rPr>
              <w:t>wear personal protective equipment</w:t>
            </w:r>
            <w:r>
              <w:rPr>
                <w:rFonts w:ascii="Calibri" w:hAnsi="Calibri"/>
                <w:iCs/>
              </w:rPr>
              <w:t>.</w:t>
            </w:r>
          </w:p>
          <w:p w14:paraId="61AF124C" w14:textId="77777777" w:rsidR="00747D3E" w:rsidRDefault="00747D3E" w:rsidP="00747D3E">
            <w:pPr>
              <w:pStyle w:val="RIGHTLIST"/>
              <w:keepNext w:val="0"/>
              <w:widowControl w:val="0"/>
              <w:numPr>
                <w:ilvl w:val="0"/>
                <w:numId w:val="6"/>
              </w:numPr>
              <w:spacing w:before="60" w:after="60"/>
              <w:ind w:left="317" w:hanging="283"/>
              <w:rPr>
                <w:rFonts w:ascii="Calibri" w:hAnsi="Calibri"/>
                <w:iCs/>
              </w:rPr>
            </w:pPr>
            <w:r w:rsidRPr="00252FAB">
              <w:rPr>
                <w:rFonts w:ascii="Calibri" w:hAnsi="Calibri"/>
                <w:iCs/>
              </w:rPr>
              <w:t>Waste that may contain the GMO w</w:t>
            </w:r>
            <w:r>
              <w:rPr>
                <w:rFonts w:ascii="Calibri" w:hAnsi="Calibri"/>
                <w:iCs/>
              </w:rPr>
              <w:t>ould</w:t>
            </w:r>
            <w:r w:rsidRPr="00252FAB">
              <w:rPr>
                <w:rFonts w:ascii="Calibri" w:hAnsi="Calibri"/>
                <w:iCs/>
              </w:rPr>
              <w:t xml:space="preserve"> be disposed of via the </w:t>
            </w:r>
            <w:r>
              <w:rPr>
                <w:rFonts w:ascii="Calibri" w:hAnsi="Calibri"/>
                <w:iCs/>
              </w:rPr>
              <w:t xml:space="preserve">facility standard practices for disposal of biological waste. </w:t>
            </w:r>
          </w:p>
          <w:p w14:paraId="145DD709" w14:textId="77777777" w:rsidR="00747D3E" w:rsidRDefault="00747D3E" w:rsidP="00747D3E">
            <w:pPr>
              <w:pStyle w:val="RIGHTLIST"/>
              <w:keepNext w:val="0"/>
              <w:widowControl w:val="0"/>
              <w:numPr>
                <w:ilvl w:val="0"/>
                <w:numId w:val="6"/>
              </w:numPr>
              <w:spacing w:before="60" w:after="60"/>
              <w:ind w:left="317" w:hanging="283"/>
              <w:rPr>
                <w:rFonts w:ascii="Calibri" w:hAnsi="Calibri"/>
                <w:iCs/>
              </w:rPr>
            </w:pPr>
            <w:r>
              <w:rPr>
                <w:rFonts w:ascii="Calibri" w:hAnsi="Calibri"/>
                <w:iCs/>
              </w:rPr>
              <w:t xml:space="preserve">Any unused doses of GMO would be disposed of at the clinical trial site at the end of the trial, in accordance with the </w:t>
            </w:r>
            <w:r w:rsidRPr="00BE4AAA">
              <w:rPr>
                <w:rFonts w:ascii="Calibri" w:hAnsi="Calibri"/>
                <w:i/>
              </w:rPr>
              <w:t>Transport, Storage and Disposal Guidelines</w:t>
            </w:r>
            <w:r>
              <w:rPr>
                <w:rFonts w:ascii="Calibri" w:hAnsi="Calibri"/>
                <w:iCs/>
              </w:rPr>
              <w:t xml:space="preserve">. </w:t>
            </w:r>
          </w:p>
          <w:p w14:paraId="6F0F3D8C" w14:textId="77777777" w:rsidR="00747D3E" w:rsidRDefault="00747D3E" w:rsidP="00747D3E">
            <w:pPr>
              <w:pStyle w:val="RIGHTLIST"/>
              <w:keepNext w:val="0"/>
              <w:widowControl w:val="0"/>
              <w:numPr>
                <w:ilvl w:val="0"/>
                <w:numId w:val="6"/>
              </w:numPr>
              <w:spacing w:before="60" w:after="60"/>
              <w:ind w:left="317" w:hanging="283"/>
              <w:rPr>
                <w:rFonts w:ascii="Calibri" w:hAnsi="Calibri"/>
                <w:iCs/>
              </w:rPr>
            </w:pPr>
            <w:r>
              <w:rPr>
                <w:rFonts w:ascii="Calibri" w:hAnsi="Calibri"/>
                <w:iCs/>
              </w:rPr>
              <w:t xml:space="preserve">Participants would be instructed: </w:t>
            </w:r>
          </w:p>
          <w:p w14:paraId="36B9166D" w14:textId="77777777" w:rsidR="00747D3E" w:rsidRDefault="00747D3E" w:rsidP="00747D3E">
            <w:pPr>
              <w:pStyle w:val="RIGHTLIST"/>
              <w:keepNext w:val="0"/>
              <w:widowControl w:val="0"/>
              <w:numPr>
                <w:ilvl w:val="1"/>
                <w:numId w:val="6"/>
              </w:numPr>
              <w:spacing w:before="60" w:after="60"/>
              <w:ind w:left="612" w:hanging="283"/>
              <w:rPr>
                <w:rFonts w:ascii="Calibri" w:hAnsi="Calibri"/>
                <w:iCs/>
              </w:rPr>
            </w:pPr>
            <w:r>
              <w:rPr>
                <w:rFonts w:ascii="Calibri" w:hAnsi="Calibri"/>
                <w:iCs/>
              </w:rPr>
              <w:t xml:space="preserve">on appropriate hygiene practices, including proper </w:t>
            </w:r>
            <w:proofErr w:type="gramStart"/>
            <w:r>
              <w:rPr>
                <w:rFonts w:ascii="Calibri" w:hAnsi="Calibri"/>
                <w:iCs/>
              </w:rPr>
              <w:t>hand washing</w:t>
            </w:r>
            <w:proofErr w:type="gramEnd"/>
            <w:r>
              <w:rPr>
                <w:rFonts w:ascii="Calibri" w:hAnsi="Calibri"/>
                <w:iCs/>
              </w:rPr>
              <w:t xml:space="preserve"> procedures following toilet use. </w:t>
            </w:r>
          </w:p>
          <w:p w14:paraId="759E2318" w14:textId="77777777" w:rsidR="00747D3E" w:rsidRPr="00D803A6" w:rsidRDefault="00747D3E" w:rsidP="00747D3E">
            <w:pPr>
              <w:pStyle w:val="RIGHTLIST"/>
              <w:keepNext w:val="0"/>
              <w:widowControl w:val="0"/>
              <w:numPr>
                <w:ilvl w:val="1"/>
                <w:numId w:val="6"/>
              </w:numPr>
              <w:spacing w:before="60" w:after="60"/>
              <w:ind w:left="612" w:hanging="283"/>
              <w:rPr>
                <w:rFonts w:ascii="Calibri" w:hAnsi="Calibri"/>
                <w:iCs/>
              </w:rPr>
            </w:pPr>
            <w:r>
              <w:rPr>
                <w:rFonts w:ascii="Calibri" w:hAnsi="Calibri"/>
                <w:iCs/>
              </w:rPr>
              <w:t>to abstain from unprotected sex and to use a double barrier method.</w:t>
            </w:r>
          </w:p>
          <w:p w14:paraId="4EB54535" w14:textId="77777777" w:rsidR="00747D3E" w:rsidRPr="00044BBD" w:rsidRDefault="00747D3E" w:rsidP="0005170E">
            <w:pPr>
              <w:pStyle w:val="D1stlevelbullets"/>
            </w:pPr>
            <w:r w:rsidRPr="00252FAB">
              <w:rPr>
                <w:iCs/>
              </w:rPr>
              <w:t>The GMO w</w:t>
            </w:r>
            <w:r>
              <w:rPr>
                <w:iCs/>
              </w:rPr>
              <w:t>ould</w:t>
            </w:r>
            <w:r w:rsidRPr="00252FAB">
              <w:rPr>
                <w:iCs/>
              </w:rPr>
              <w:t xml:space="preserve"> be transported and stored according to </w:t>
            </w:r>
            <w:r w:rsidRPr="00BE4AAA">
              <w:rPr>
                <w:i/>
              </w:rPr>
              <w:t>Transport, Storage and Disposal Guidelines</w:t>
            </w:r>
            <w:r>
              <w:rPr>
                <w:iCs/>
              </w:rPr>
              <w:t>.</w:t>
            </w:r>
          </w:p>
        </w:tc>
      </w:tr>
    </w:tbl>
    <w:p w14:paraId="21F062CF" w14:textId="77777777" w:rsidR="00747D3E" w:rsidRPr="0000143A" w:rsidRDefault="00747D3E" w:rsidP="00747D3E">
      <w:pPr>
        <w:pStyle w:val="Heading2"/>
        <w:numPr>
          <w:ilvl w:val="0"/>
          <w:numId w:val="0"/>
        </w:numPr>
      </w:pPr>
      <w:bookmarkStart w:id="20" w:name="_Toc220571241"/>
      <w:bookmarkEnd w:id="17"/>
      <w:r w:rsidRPr="0000143A">
        <w:t>Risk assessment</w:t>
      </w:r>
      <w:bookmarkEnd w:id="13"/>
      <w:bookmarkEnd w:id="14"/>
      <w:bookmarkEnd w:id="15"/>
      <w:bookmarkEnd w:id="18"/>
      <w:bookmarkEnd w:id="19"/>
      <w:bookmarkEnd w:id="20"/>
    </w:p>
    <w:p w14:paraId="1E0B5E37" w14:textId="77777777" w:rsidR="00747D3E" w:rsidRPr="000A29BE" w:rsidRDefault="00747D3E" w:rsidP="00747D3E">
      <w:pPr>
        <w:pStyle w:val="RARMPnumberedparagraphs"/>
        <w:numPr>
          <w:ilvl w:val="0"/>
          <w:numId w:val="0"/>
        </w:numPr>
      </w:pPr>
      <w:r>
        <w:rPr>
          <w:rFonts w:cs="Calibri"/>
        </w:rPr>
        <w:t xml:space="preserve">The risk assessment </w:t>
      </w:r>
      <w:r w:rsidRPr="000A29BE">
        <w:rPr>
          <w:rFonts w:cs="Calibri"/>
        </w:rPr>
        <w:t xml:space="preserve">process considers how the genetic modification and </w:t>
      </w:r>
      <w:r>
        <w:rPr>
          <w:rFonts w:cs="Calibri"/>
        </w:rPr>
        <w:t xml:space="preserve">proposed </w:t>
      </w:r>
      <w:r w:rsidRPr="000A29BE">
        <w:rPr>
          <w:rFonts w:cs="Calibri"/>
        </w:rPr>
        <w:t>activities conducted with the GM</w:t>
      </w:r>
      <w:r>
        <w:rPr>
          <w:rFonts w:cs="Calibri"/>
        </w:rPr>
        <w:t>O</w:t>
      </w:r>
      <w:r w:rsidRPr="000A29BE">
        <w:rPr>
          <w:rFonts w:cs="Calibri"/>
        </w:rPr>
        <w:t xml:space="preserve"> </w:t>
      </w:r>
      <w:r>
        <w:rPr>
          <w:rFonts w:cs="Calibri"/>
        </w:rPr>
        <w:t>might lead to harm to people or the environment</w:t>
      </w:r>
      <w:r w:rsidRPr="000A29BE">
        <w:rPr>
          <w:rFonts w:cs="Calibri"/>
        </w:rPr>
        <w:t>. Risks are characterised in relation to both</w:t>
      </w:r>
      <w:r w:rsidRPr="000A29BE">
        <w:rPr>
          <w:rFonts w:cs="Calibri"/>
          <w:szCs w:val="22"/>
        </w:rPr>
        <w:t xml:space="preserve"> the seriousness and likelihood of harm, </w:t>
      </w:r>
      <w:proofErr w:type="gramStart"/>
      <w:r w:rsidRPr="000A29BE">
        <w:rPr>
          <w:rFonts w:cs="Calibri"/>
          <w:szCs w:val="22"/>
        </w:rPr>
        <w:t>taking into account</w:t>
      </w:r>
      <w:proofErr w:type="gramEnd"/>
      <w:r w:rsidRPr="000A29BE">
        <w:rPr>
          <w:rFonts w:cs="Calibri"/>
          <w:szCs w:val="22"/>
        </w:rPr>
        <w:t xml:space="preserve"> information in the application</w:t>
      </w:r>
      <w:r>
        <w:rPr>
          <w:rFonts w:cs="Calibri"/>
          <w:szCs w:val="22"/>
        </w:rPr>
        <w:t xml:space="preserve"> (including proposed controls)</w:t>
      </w:r>
      <w:r w:rsidRPr="000A29BE">
        <w:rPr>
          <w:rFonts w:cs="Calibri"/>
          <w:szCs w:val="22"/>
        </w:rPr>
        <w:t>, relevant previous approvals</w:t>
      </w:r>
      <w:r>
        <w:rPr>
          <w:rFonts w:cs="Calibri"/>
          <w:szCs w:val="22"/>
        </w:rPr>
        <w:t xml:space="preserve"> and</w:t>
      </w:r>
      <w:r w:rsidRPr="000A29BE">
        <w:rPr>
          <w:rFonts w:cs="Calibri"/>
          <w:szCs w:val="22"/>
        </w:rPr>
        <w:t xml:space="preserve"> current scientific</w:t>
      </w:r>
      <w:r>
        <w:rPr>
          <w:rFonts w:cs="Calibri"/>
          <w:szCs w:val="22"/>
        </w:rPr>
        <w:t>/technical</w:t>
      </w:r>
      <w:r w:rsidRPr="000A29BE">
        <w:rPr>
          <w:rFonts w:cs="Calibri"/>
          <w:szCs w:val="22"/>
        </w:rPr>
        <w:t xml:space="preserve"> knowledge. Both the short- and long-term risks </w:t>
      </w:r>
      <w:r>
        <w:rPr>
          <w:rFonts w:cs="Calibri"/>
          <w:szCs w:val="22"/>
        </w:rPr>
        <w:t>are</w:t>
      </w:r>
      <w:r w:rsidRPr="000A29BE">
        <w:rPr>
          <w:rFonts w:cs="Calibri"/>
          <w:szCs w:val="22"/>
        </w:rPr>
        <w:t xml:space="preserve"> considered. </w:t>
      </w:r>
    </w:p>
    <w:p w14:paraId="352A349B" w14:textId="77777777" w:rsidR="00747D3E" w:rsidRDefault="00747D3E" w:rsidP="00747D3E">
      <w:pPr>
        <w:pStyle w:val="Paranonumbers"/>
        <w:rPr>
          <w:rFonts w:ascii="Calibri" w:hAnsi="Calibri" w:cs="Calibri"/>
          <w:sz w:val="22"/>
          <w:szCs w:val="22"/>
        </w:rPr>
      </w:pPr>
      <w:r w:rsidRPr="000A29BE">
        <w:rPr>
          <w:rFonts w:ascii="Calibri" w:hAnsi="Calibri" w:cs="Calibri"/>
          <w:sz w:val="22"/>
          <w:szCs w:val="22"/>
        </w:rPr>
        <w:lastRenderedPageBreak/>
        <w:t>Credible pathways to potential harm that were considered include the potential exposure of people</w:t>
      </w:r>
      <w:r>
        <w:rPr>
          <w:rFonts w:ascii="Calibri" w:hAnsi="Calibri" w:cs="Calibri"/>
          <w:sz w:val="22"/>
          <w:szCs w:val="22"/>
        </w:rPr>
        <w:t xml:space="preserve"> and animals</w:t>
      </w:r>
      <w:r w:rsidRPr="000A29BE">
        <w:rPr>
          <w:rFonts w:ascii="Calibri" w:hAnsi="Calibri" w:cs="Calibri"/>
          <w:sz w:val="22"/>
          <w:szCs w:val="22"/>
        </w:rPr>
        <w:t xml:space="preserve"> to the GM</w:t>
      </w:r>
      <w:r>
        <w:rPr>
          <w:rFonts w:ascii="Calibri" w:hAnsi="Calibri" w:cs="Calibri"/>
          <w:sz w:val="22"/>
          <w:szCs w:val="22"/>
        </w:rPr>
        <w:t>O and</w:t>
      </w:r>
      <w:r w:rsidRPr="000A29BE">
        <w:rPr>
          <w:rFonts w:ascii="Calibri" w:hAnsi="Calibri" w:cs="Calibri"/>
          <w:sz w:val="22"/>
          <w:szCs w:val="22"/>
        </w:rPr>
        <w:t xml:space="preserve"> the potential for </w:t>
      </w:r>
      <w:r>
        <w:rPr>
          <w:rFonts w:ascii="Calibri" w:hAnsi="Calibri" w:cs="Calibri"/>
          <w:sz w:val="22"/>
          <w:szCs w:val="22"/>
        </w:rPr>
        <w:t xml:space="preserve">transfer of genetic material to and from </w:t>
      </w:r>
      <w:r w:rsidRPr="000A29BE">
        <w:rPr>
          <w:rFonts w:ascii="Calibri" w:hAnsi="Calibri" w:cs="Calibri"/>
          <w:sz w:val="22"/>
          <w:szCs w:val="22"/>
        </w:rPr>
        <w:t>the GMO</w:t>
      </w:r>
      <w:r>
        <w:rPr>
          <w:rFonts w:ascii="Calibri" w:hAnsi="Calibri" w:cs="Calibri"/>
          <w:sz w:val="22"/>
          <w:szCs w:val="22"/>
        </w:rPr>
        <w:t xml:space="preserve">. The potential for the GMO to be released into the environment and its effects was also considered. </w:t>
      </w:r>
    </w:p>
    <w:p w14:paraId="2F30E2DF" w14:textId="77777777" w:rsidR="00747D3E" w:rsidRDefault="00747D3E" w:rsidP="00747D3E">
      <w:pPr>
        <w:pStyle w:val="RARMPnumberedparagraphs"/>
        <w:numPr>
          <w:ilvl w:val="0"/>
          <w:numId w:val="0"/>
        </w:numPr>
        <w:rPr>
          <w:rFonts w:cs="Calibri"/>
        </w:rPr>
      </w:pPr>
      <w:r w:rsidRPr="000A29BE">
        <w:rPr>
          <w:rFonts w:cs="Calibri"/>
        </w:rPr>
        <w:t xml:space="preserve">The risk assessment </w:t>
      </w:r>
      <w:r>
        <w:rPr>
          <w:rFonts w:cs="Calibri"/>
        </w:rPr>
        <w:t xml:space="preserve">concludes that the proposed clinical trial </w:t>
      </w:r>
      <w:r w:rsidRPr="004B442C">
        <w:rPr>
          <w:rFonts w:cs="Calibri"/>
        </w:rPr>
        <w:t>poses negligible</w:t>
      </w:r>
      <w:r>
        <w:rPr>
          <w:rFonts w:cs="Calibri"/>
        </w:rPr>
        <w:t xml:space="preserve"> to low</w:t>
      </w:r>
      <w:r w:rsidRPr="004B442C">
        <w:rPr>
          <w:rFonts w:cs="Calibri"/>
        </w:rPr>
        <w:t xml:space="preserve"> risks to human </w:t>
      </w:r>
      <w:r>
        <w:rPr>
          <w:rFonts w:cs="Calibri"/>
        </w:rPr>
        <w:t xml:space="preserve">health and safety and negligible risks to the environment. Specific risk treatment measures are imposed to manage these risks to people. </w:t>
      </w:r>
    </w:p>
    <w:p w14:paraId="017C4036" w14:textId="77777777" w:rsidR="00747D3E" w:rsidRDefault="00747D3E" w:rsidP="00747D3E">
      <w:pPr>
        <w:pStyle w:val="Paranonumbers"/>
        <w:rPr>
          <w:rFonts w:ascii="Calibri" w:hAnsi="Calibri" w:cs="Calibri"/>
          <w:sz w:val="22"/>
          <w:szCs w:val="22"/>
        </w:rPr>
      </w:pPr>
      <w:r>
        <w:rPr>
          <w:rFonts w:ascii="Calibri" w:hAnsi="Calibri" w:cs="Calibri"/>
          <w:sz w:val="22"/>
          <w:szCs w:val="22"/>
        </w:rPr>
        <w:t xml:space="preserve">Important factors in reaching the conclusions of the risk assessment included that: </w:t>
      </w:r>
    </w:p>
    <w:p w14:paraId="16B7F7C4" w14:textId="77777777" w:rsidR="00747D3E" w:rsidRDefault="00747D3E" w:rsidP="00747D3E">
      <w:pPr>
        <w:pStyle w:val="Paranonumbers"/>
        <w:numPr>
          <w:ilvl w:val="0"/>
          <w:numId w:val="8"/>
        </w:numPr>
        <w:rPr>
          <w:rFonts w:ascii="Calibri" w:hAnsi="Calibri" w:cs="Calibri"/>
          <w:sz w:val="22"/>
          <w:szCs w:val="22"/>
        </w:rPr>
      </w:pPr>
      <w:r>
        <w:rPr>
          <w:rFonts w:ascii="Calibri" w:hAnsi="Calibri" w:cs="Calibri"/>
          <w:sz w:val="22"/>
          <w:szCs w:val="22"/>
        </w:rPr>
        <w:t xml:space="preserve">the parent organism has a long history of safe use as a probiotic, </w:t>
      </w:r>
    </w:p>
    <w:p w14:paraId="2AA8CAC2" w14:textId="77777777" w:rsidR="00747D3E" w:rsidRDefault="00747D3E" w:rsidP="00747D3E">
      <w:pPr>
        <w:pStyle w:val="Paranonumbers"/>
        <w:numPr>
          <w:ilvl w:val="0"/>
          <w:numId w:val="8"/>
        </w:numPr>
        <w:rPr>
          <w:rFonts w:ascii="Calibri" w:hAnsi="Calibri" w:cs="Calibri"/>
          <w:sz w:val="22"/>
          <w:szCs w:val="22"/>
        </w:rPr>
      </w:pPr>
      <w:r>
        <w:rPr>
          <w:rFonts w:ascii="Calibri" w:hAnsi="Calibri" w:cs="Calibri"/>
          <w:sz w:val="22"/>
          <w:szCs w:val="22"/>
        </w:rPr>
        <w:t xml:space="preserve">the GMO has selective replication in patients with inflammatory bowel disease, </w:t>
      </w:r>
    </w:p>
    <w:p w14:paraId="28774E6E" w14:textId="77777777" w:rsidR="00747D3E" w:rsidRDefault="00747D3E" w:rsidP="00747D3E">
      <w:pPr>
        <w:pStyle w:val="Paranonumbers"/>
        <w:numPr>
          <w:ilvl w:val="0"/>
          <w:numId w:val="8"/>
        </w:numPr>
        <w:rPr>
          <w:rFonts w:ascii="Calibri" w:hAnsi="Calibri" w:cs="Calibri"/>
          <w:sz w:val="22"/>
          <w:szCs w:val="22"/>
        </w:rPr>
      </w:pPr>
      <w:r>
        <w:rPr>
          <w:rFonts w:ascii="Calibri" w:hAnsi="Calibri" w:cs="Calibri"/>
          <w:sz w:val="22"/>
          <w:szCs w:val="22"/>
        </w:rPr>
        <w:t xml:space="preserve">unintended exposure to the GMO would be minimised by the proposed limits and controls outlined in the risk management plan, </w:t>
      </w:r>
    </w:p>
    <w:p w14:paraId="04089AE8" w14:textId="77777777" w:rsidR="00747D3E" w:rsidRDefault="00747D3E" w:rsidP="00747D3E">
      <w:pPr>
        <w:pStyle w:val="Paranonumbers"/>
        <w:numPr>
          <w:ilvl w:val="0"/>
          <w:numId w:val="8"/>
        </w:numPr>
        <w:rPr>
          <w:rFonts w:ascii="Calibri" w:hAnsi="Calibri" w:cs="Calibri"/>
          <w:sz w:val="22"/>
          <w:szCs w:val="22"/>
        </w:rPr>
      </w:pPr>
      <w:r>
        <w:rPr>
          <w:rFonts w:ascii="Calibri" w:hAnsi="Calibri" w:cs="Calibri"/>
          <w:sz w:val="22"/>
          <w:szCs w:val="22"/>
        </w:rPr>
        <w:t xml:space="preserve">bacterial infections usually self-resolve, but in some cases may need antibiotic or hospital treatment, and </w:t>
      </w:r>
    </w:p>
    <w:p w14:paraId="592B764E" w14:textId="77777777" w:rsidR="00747D3E" w:rsidRDefault="00747D3E" w:rsidP="00747D3E">
      <w:pPr>
        <w:pStyle w:val="Paranonumbers"/>
        <w:numPr>
          <w:ilvl w:val="0"/>
          <w:numId w:val="8"/>
        </w:numPr>
        <w:rPr>
          <w:rFonts w:ascii="Calibri" w:hAnsi="Calibri" w:cs="Calibri"/>
          <w:sz w:val="22"/>
          <w:szCs w:val="22"/>
        </w:rPr>
      </w:pPr>
      <w:r>
        <w:rPr>
          <w:rFonts w:ascii="Calibri" w:hAnsi="Calibri" w:cs="Calibri"/>
          <w:sz w:val="22"/>
          <w:szCs w:val="22"/>
        </w:rPr>
        <w:t>the likelihood of complementation and recombination of the GMO with other bacteria is unlikely to result in bacteria that is more pathogenic than the parent organism, and</w:t>
      </w:r>
    </w:p>
    <w:p w14:paraId="7366837C" w14:textId="77777777" w:rsidR="00747D3E" w:rsidRPr="000A29BE" w:rsidRDefault="00747D3E" w:rsidP="00747D3E">
      <w:pPr>
        <w:pStyle w:val="Paranonumbers"/>
        <w:numPr>
          <w:ilvl w:val="0"/>
          <w:numId w:val="8"/>
        </w:numPr>
        <w:rPr>
          <w:rFonts w:ascii="Calibri" w:hAnsi="Calibri" w:cs="Calibri"/>
          <w:sz w:val="22"/>
          <w:szCs w:val="22"/>
        </w:rPr>
      </w:pPr>
      <w:r>
        <w:rPr>
          <w:rFonts w:ascii="Calibri" w:hAnsi="Calibri" w:cs="Calibri"/>
          <w:sz w:val="22"/>
          <w:szCs w:val="22"/>
        </w:rPr>
        <w:t xml:space="preserve">bacterial infections usually self-resolving, could be treated by antibiotics or may require specific hospital care in cases of severe infection.  </w:t>
      </w:r>
    </w:p>
    <w:p w14:paraId="3ECF18D8" w14:textId="77777777" w:rsidR="00747D3E" w:rsidRPr="001C0B7C" w:rsidRDefault="00747D3E" w:rsidP="00747D3E">
      <w:r>
        <w:t>Therefore</w:t>
      </w:r>
      <w:r w:rsidRPr="005D5B4C">
        <w:t xml:space="preserve">, the Regulator considers that the dealings involved do not pose a significant risk to either people or the environment. </w:t>
      </w:r>
    </w:p>
    <w:p w14:paraId="29F8E66B" w14:textId="77777777" w:rsidR="00747D3E" w:rsidRPr="0000143A" w:rsidRDefault="00747D3E" w:rsidP="00747D3E">
      <w:pPr>
        <w:pStyle w:val="Heading2"/>
        <w:numPr>
          <w:ilvl w:val="0"/>
          <w:numId w:val="0"/>
        </w:numPr>
      </w:pPr>
      <w:bookmarkStart w:id="21" w:name="_Toc47536737"/>
      <w:bookmarkStart w:id="22" w:name="_Toc220571242"/>
      <w:r w:rsidRPr="009842DD">
        <w:t>Risk ma</w:t>
      </w:r>
      <w:bookmarkStart w:id="23" w:name="_Toc209859549"/>
      <w:bookmarkStart w:id="24" w:name="_Toc342042137"/>
      <w:bookmarkStart w:id="25" w:name="_Toc291151778"/>
      <w:bookmarkStart w:id="26" w:name="_Toc274904728"/>
      <w:r w:rsidRPr="009842DD">
        <w:t>nagement</w:t>
      </w:r>
      <w:bookmarkEnd w:id="21"/>
      <w:bookmarkEnd w:id="22"/>
      <w:bookmarkEnd w:id="23"/>
      <w:bookmarkEnd w:id="24"/>
      <w:bookmarkEnd w:id="25"/>
      <w:bookmarkEnd w:id="26"/>
    </w:p>
    <w:p w14:paraId="4CAC6971" w14:textId="77777777" w:rsidR="00747D3E" w:rsidRDefault="00747D3E" w:rsidP="00747D3E">
      <w:pPr>
        <w:rPr>
          <w:rFonts w:eastAsia="SimSun"/>
          <w:szCs w:val="22"/>
        </w:rPr>
      </w:pPr>
      <w:r w:rsidRPr="00961290">
        <w:rPr>
          <w:rFonts w:eastAsia="SimSun"/>
          <w:szCs w:val="22"/>
        </w:rPr>
        <w:t xml:space="preserve">The risk management plan describes measures to protect the health and safety of people and to protect the environment by controlling or mitigating risk. The risk management plan is given effect through licence conditions. </w:t>
      </w:r>
    </w:p>
    <w:p w14:paraId="0D55F456" w14:textId="77777777" w:rsidR="00747D3E" w:rsidRPr="00961290" w:rsidRDefault="00747D3E" w:rsidP="00747D3E">
      <w:pPr>
        <w:rPr>
          <w:rFonts w:eastAsia="SimSun"/>
          <w:szCs w:val="22"/>
        </w:rPr>
      </w:pPr>
      <w:r w:rsidRPr="00E2049A">
        <w:rPr>
          <w:rFonts w:eastAsia="SimSun"/>
          <w:szCs w:val="22"/>
        </w:rPr>
        <w:t xml:space="preserve">The risk management plan concludes that the identified negligible to </w:t>
      </w:r>
      <w:r>
        <w:rPr>
          <w:rFonts w:eastAsia="SimSun"/>
          <w:szCs w:val="22"/>
        </w:rPr>
        <w:t>low</w:t>
      </w:r>
      <w:r w:rsidRPr="00E2049A">
        <w:rPr>
          <w:rFonts w:eastAsia="SimSun"/>
          <w:szCs w:val="22"/>
        </w:rPr>
        <w:t xml:space="preserve"> risks can be managed to protect the health and safety of people by imposing</w:t>
      </w:r>
      <w:r>
        <w:rPr>
          <w:rFonts w:eastAsia="SimSun"/>
          <w:szCs w:val="22"/>
        </w:rPr>
        <w:t xml:space="preserve"> specific</w:t>
      </w:r>
      <w:r w:rsidRPr="00E2049A">
        <w:rPr>
          <w:rFonts w:eastAsia="SimSun"/>
          <w:szCs w:val="22"/>
        </w:rPr>
        <w:t xml:space="preserve"> risk treatment measures. </w:t>
      </w:r>
      <w:r>
        <w:rPr>
          <w:rFonts w:eastAsia="SimSun"/>
          <w:szCs w:val="22"/>
        </w:rPr>
        <w:t>L</w:t>
      </w:r>
      <w:r w:rsidRPr="00E2049A">
        <w:rPr>
          <w:rFonts w:eastAsia="SimSun"/>
          <w:szCs w:val="22"/>
        </w:rPr>
        <w:t xml:space="preserve">icence conditions are </w:t>
      </w:r>
      <w:r>
        <w:rPr>
          <w:rFonts w:eastAsia="SimSun"/>
          <w:szCs w:val="22"/>
        </w:rPr>
        <w:t>imposed</w:t>
      </w:r>
      <w:r w:rsidRPr="00E2049A">
        <w:rPr>
          <w:rFonts w:eastAsia="SimSun"/>
          <w:szCs w:val="22"/>
        </w:rPr>
        <w:t xml:space="preserve"> to</w:t>
      </w:r>
      <w:r>
        <w:rPr>
          <w:rFonts w:eastAsia="SimSun"/>
          <w:szCs w:val="22"/>
        </w:rPr>
        <w:t xml:space="preserve"> minimise the exposure of the GMO or novel bacteria to other people and the environment. </w:t>
      </w:r>
    </w:p>
    <w:p w14:paraId="358B4A61" w14:textId="77777777" w:rsidR="00747D3E" w:rsidRDefault="00747D3E" w:rsidP="00747D3E">
      <w:pPr>
        <w:rPr>
          <w:rFonts w:eastAsia="SimSun"/>
          <w:szCs w:val="22"/>
        </w:rPr>
      </w:pPr>
      <w:r>
        <w:rPr>
          <w:rFonts w:eastAsia="SimSun"/>
          <w:szCs w:val="22"/>
        </w:rPr>
        <w:t>The</w:t>
      </w:r>
      <w:r w:rsidRPr="00E2049A">
        <w:rPr>
          <w:rFonts w:eastAsia="SimSun"/>
          <w:szCs w:val="22"/>
        </w:rPr>
        <w:t xml:space="preserve"> licence includes limits on the number of trial participants and duration of the trial, as well as a range of controls </w:t>
      </w:r>
      <w:r>
        <w:rPr>
          <w:rFonts w:eastAsia="SimSun"/>
          <w:szCs w:val="22"/>
        </w:rPr>
        <w:t>to minimise the potential for the GMO to spread in the environment</w:t>
      </w:r>
      <w:r w:rsidRPr="00E2049A">
        <w:rPr>
          <w:rFonts w:eastAsia="SimSun"/>
          <w:szCs w:val="22"/>
        </w:rPr>
        <w:t>. In addition, there are several general conditions relating to ongoing licence holder suitability, auditing and monitoring, and reporting requirements which include an obligation to report any unintended effects</w:t>
      </w:r>
      <w:r w:rsidRPr="00961290">
        <w:rPr>
          <w:rFonts w:eastAsia="SimSun"/>
          <w:szCs w:val="22"/>
        </w:rPr>
        <w:t>.</w:t>
      </w:r>
    </w:p>
    <w:p w14:paraId="135EAD13" w14:textId="32B8DEDD" w:rsidR="00F13AF6" w:rsidRDefault="00F13AF6" w:rsidP="00F13AF6"/>
    <w:sectPr w:rsidR="00F13AF6" w:rsidSect="00F13AF6">
      <w:headerReference w:type="default" r:id="rId9"/>
      <w:footerReference w:type="default" r:id="rId10"/>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329E4" w14:textId="77777777" w:rsidR="00F159DA" w:rsidRDefault="00F159DA" w:rsidP="00F13AF6">
      <w:pPr>
        <w:spacing w:before="0" w:after="0"/>
      </w:pPr>
      <w:r>
        <w:separator/>
      </w:r>
    </w:p>
  </w:endnote>
  <w:endnote w:type="continuationSeparator" w:id="0">
    <w:p w14:paraId="5AAB0A43" w14:textId="77777777" w:rsidR="00F159DA" w:rsidRDefault="00F159DA" w:rsidP="00F13AF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E7587" w14:textId="77777777" w:rsidR="00F13AF6" w:rsidRPr="005F6834" w:rsidRDefault="00F13AF6" w:rsidP="00F13AF6">
    <w:pPr>
      <w:pBdr>
        <w:top w:val="single" w:sz="4" w:space="1" w:color="auto"/>
      </w:pBdr>
      <w:jc w:val="center"/>
      <w:rPr>
        <w:rFonts w:asciiTheme="minorHAnsi" w:hAnsiTheme="minorHAnsi" w:cstheme="minorHAnsi"/>
        <w:sz w:val="20"/>
        <w:szCs w:val="22"/>
      </w:rPr>
    </w:pPr>
    <w:r w:rsidRPr="005F6834">
      <w:rPr>
        <w:rFonts w:asciiTheme="minorHAnsi" w:hAnsiTheme="minorHAnsi" w:cstheme="minorHAnsi"/>
        <w:sz w:val="20"/>
        <w:szCs w:val="22"/>
      </w:rPr>
      <w:t>Address: MDP 54 GPO Box 9848, Canberra ACT 2601</w:t>
    </w:r>
    <w:r w:rsidRPr="005F6834">
      <w:rPr>
        <w:rFonts w:asciiTheme="minorHAnsi" w:hAnsiTheme="minorHAnsi" w:cstheme="minorHAnsi"/>
        <w:sz w:val="20"/>
        <w:szCs w:val="22"/>
      </w:rPr>
      <w:tab/>
      <w:t>Website: www.ogtr.gov.au</w:t>
    </w:r>
  </w:p>
  <w:p w14:paraId="04AFA71F" w14:textId="77777777" w:rsidR="00F13AF6" w:rsidRPr="001D2F5F" w:rsidRDefault="00F13AF6" w:rsidP="00F13AF6">
    <w:pPr>
      <w:jc w:val="center"/>
      <w:rPr>
        <w:rFonts w:asciiTheme="minorHAnsi" w:hAnsiTheme="minorHAnsi" w:cstheme="minorHAnsi"/>
      </w:rPr>
    </w:pPr>
    <w:r w:rsidRPr="005F6834">
      <w:rPr>
        <w:rFonts w:asciiTheme="minorHAnsi" w:hAnsiTheme="minorHAnsi" w:cstheme="minorHAnsi"/>
        <w:sz w:val="20"/>
        <w:szCs w:val="22"/>
      </w:rPr>
      <w:t>Telephone: 1800 181 030</w:t>
    </w:r>
    <w:r w:rsidRPr="005F6834">
      <w:rPr>
        <w:rFonts w:asciiTheme="minorHAnsi" w:hAnsiTheme="minorHAnsi" w:cstheme="minorHAnsi"/>
        <w:sz w:val="20"/>
        <w:szCs w:val="22"/>
      </w:rPr>
      <w:tab/>
      <w:t>Email: ogtr@health.gov.au</w:t>
    </w:r>
  </w:p>
  <w:p w14:paraId="39012D5B" w14:textId="77777777" w:rsidR="00F13AF6" w:rsidRDefault="00F13A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2792D" w14:textId="77777777" w:rsidR="00F159DA" w:rsidRDefault="00F159DA" w:rsidP="00F13AF6">
      <w:pPr>
        <w:spacing w:before="0" w:after="0"/>
      </w:pPr>
      <w:r>
        <w:separator/>
      </w:r>
    </w:p>
  </w:footnote>
  <w:footnote w:type="continuationSeparator" w:id="0">
    <w:p w14:paraId="56409FA8" w14:textId="77777777" w:rsidR="00F159DA" w:rsidRDefault="00F159DA" w:rsidP="00F13AF6">
      <w:pPr>
        <w:spacing w:before="0" w:after="0"/>
      </w:pPr>
      <w:r>
        <w:continuationSeparator/>
      </w:r>
    </w:p>
  </w:footnote>
  <w:footnote w:id="1">
    <w:p w14:paraId="3BB13B7D" w14:textId="77777777" w:rsidR="00747D3E" w:rsidRPr="00B0135D" w:rsidRDefault="00747D3E" w:rsidP="00747D3E">
      <w:pPr>
        <w:pStyle w:val="FootnoteText"/>
        <w:spacing w:before="60"/>
      </w:pPr>
      <w:r w:rsidRPr="00B0135D">
        <w:rPr>
          <w:vertAlign w:val="superscript"/>
        </w:rPr>
        <w:footnoteRef/>
      </w:r>
      <w:r w:rsidRPr="00B0135D">
        <w:t xml:space="preserve"> Confidential Commercial Information: Some details about </w:t>
      </w:r>
      <w:r>
        <w:t xml:space="preserve">the modification </w:t>
      </w:r>
      <w:r w:rsidRPr="00B0135D">
        <w:t xml:space="preserve">in GM </w:t>
      </w:r>
      <w:r w:rsidRPr="00017228">
        <w:rPr>
          <w:i/>
          <w:iCs/>
        </w:rPr>
        <w:t>E. coli</w:t>
      </w:r>
      <w:r>
        <w:t xml:space="preserve"> </w:t>
      </w:r>
      <w:r w:rsidRPr="00771AC3">
        <w:t xml:space="preserve">have been declared as </w:t>
      </w:r>
      <w:r w:rsidRPr="00B0135D">
        <w:t xml:space="preserve">Confidential Commercial Information under section 185 of the Act. This information </w:t>
      </w:r>
      <w:r>
        <w:t>was</w:t>
      </w:r>
      <w:r w:rsidRPr="00B0135D">
        <w:t xml:space="preserve"> made available to the prescribed experts and agencies that </w:t>
      </w:r>
      <w:r>
        <w:t>were</w:t>
      </w:r>
      <w:r w:rsidRPr="00B0135D">
        <w:t xml:space="preserve"> consulted on this application. CCI is not available to the public.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BFD5B" w14:textId="32D7C31C" w:rsidR="00F13AF6" w:rsidRDefault="00F13AF6">
    <w:pPr>
      <w:pStyle w:val="Header"/>
    </w:pP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A6363" w14:textId="4D48DBAC" w:rsidR="00F13AF6" w:rsidRDefault="0022313B">
    <w:pPr>
      <w:pStyle w:val="Header"/>
    </w:pPr>
    <w:r>
      <w:rPr>
        <w:noProof/>
      </w:rPr>
      <w:drawing>
        <wp:inline distT="0" distB="0" distL="0" distR="0" wp14:anchorId="4B6C987D" wp14:editId="2022BDD2">
          <wp:extent cx="3383479" cy="694706"/>
          <wp:effectExtent l="0" t="0" r="7620" b="0"/>
          <wp:docPr id="3" name="Picture 3" descr="Logo of the Office of the Gene Technolo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of the Office of the Gene Technology Regulato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408627" cy="699870"/>
                  </a:xfrm>
                  <a:prstGeom prst="rect">
                    <a:avLst/>
                  </a:prstGeom>
                  <a:noFill/>
                  <a:ln>
                    <a:noFill/>
                  </a:ln>
                </pic:spPr>
              </pic:pic>
            </a:graphicData>
          </a:graphic>
        </wp:inline>
      </w:drawing>
    </w:r>
    <w:r w:rsidR="00F13AF6">
      <w:tab/>
    </w:r>
    <w:r w:rsidR="00F13AF6">
      <w:tab/>
    </w:r>
    <w:r w:rsidR="00F13AF6">
      <w:tab/>
    </w:r>
    <w:r>
      <w:t>February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46E87"/>
    <w:multiLevelType w:val="hybridMultilevel"/>
    <w:tmpl w:val="C24EBA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9236A68"/>
    <w:multiLevelType w:val="hybridMultilevel"/>
    <w:tmpl w:val="C91CB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A30062E"/>
    <w:multiLevelType w:val="multilevel"/>
    <w:tmpl w:val="2C02D20A"/>
    <w:lvl w:ilvl="0">
      <w:start w:val="1"/>
      <w:numFmt w:val="decimal"/>
      <w:lvlText w:val="Risk Scenario %1."/>
      <w:lvlJc w:val="left"/>
      <w:pPr>
        <w:tabs>
          <w:tab w:val="num" w:pos="2014"/>
        </w:tabs>
        <w:ind w:left="2807" w:hanging="1814"/>
      </w:pPr>
      <w:rPr>
        <w:rFonts w:ascii="Arial Bold" w:hAnsi="Arial Bold" w:hint="default"/>
        <w:b/>
        <w:bCs/>
        <w:i/>
        <w:iCs w:val="0"/>
        <w:color w:val="000000"/>
        <w:sz w:val="22"/>
        <w:szCs w:val="22"/>
        <w:u w:val="none"/>
      </w:rPr>
    </w:lvl>
    <w:lvl w:ilvl="1">
      <w:start w:val="1"/>
      <w:numFmt w:val="decimal"/>
      <w:pStyle w:val="Heading2"/>
      <w:lvlText w:val="Section %2"/>
      <w:lvlJc w:val="left"/>
      <w:pPr>
        <w:tabs>
          <w:tab w:val="num" w:pos="284"/>
        </w:tabs>
        <w:ind w:left="0" w:firstLine="0"/>
      </w:pPr>
      <w:rPr>
        <w:rFonts w:ascii="Arial" w:hAnsi="Arial" w:cs="Arial" w:hint="default"/>
        <w:b/>
        <w:bCs/>
        <w:i/>
        <w:iCs/>
        <w:sz w:val="28"/>
        <w:szCs w:val="28"/>
        <w:u w:val="none"/>
      </w:rPr>
    </w:lvl>
    <w:lvl w:ilvl="2">
      <w:start w:val="1"/>
      <w:numFmt w:val="decimal"/>
      <w:pStyle w:val="Heading3"/>
      <w:lvlText w:val="%2.%3"/>
      <w:lvlJc w:val="left"/>
      <w:pPr>
        <w:tabs>
          <w:tab w:val="num" w:pos="2836"/>
        </w:tabs>
        <w:ind w:left="2552" w:firstLine="0"/>
      </w:pPr>
      <w:rPr>
        <w:rFonts w:ascii="Arial" w:hAnsi="Arial" w:cs="Arial" w:hint="default"/>
        <w:b/>
        <w:bCs/>
        <w:i w:val="0"/>
        <w:iCs w:val="0"/>
        <w:sz w:val="24"/>
        <w:szCs w:val="24"/>
        <w:u w:val="none"/>
      </w:rPr>
    </w:lvl>
    <w:lvl w:ilvl="3">
      <w:start w:val="1"/>
      <w:numFmt w:val="none"/>
      <w:pStyle w:val="Heading4"/>
      <w:suff w:val="nothing"/>
      <w:lvlText w:val=""/>
      <w:lvlJc w:val="left"/>
      <w:pPr>
        <w:ind w:left="0" w:firstLine="0"/>
      </w:pPr>
      <w:rPr>
        <w:rFonts w:ascii="Arial" w:hAnsi="Arial" w:cs="Arial" w:hint="default"/>
        <w:b w:val="0"/>
        <w:bCs w:val="0"/>
        <w:i w:val="0"/>
        <w:iCs w:val="0"/>
        <w:sz w:val="24"/>
        <w:szCs w:val="24"/>
        <w:u w:val="single"/>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30D0491"/>
    <w:multiLevelType w:val="hybridMultilevel"/>
    <w:tmpl w:val="F2EA986A"/>
    <w:lvl w:ilvl="0" w:tplc="B4C447DC">
      <w:start w:val="1"/>
      <w:numFmt w:val="decimal"/>
      <w:pStyle w:val="RARMPnumberedparagraphs"/>
      <w:lvlText w:val="%1."/>
      <w:lvlJc w:val="left"/>
      <w:pPr>
        <w:ind w:left="4187" w:hanging="360"/>
      </w:pPr>
      <w:rPr>
        <w:rFonts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655" w:hanging="360"/>
      </w:pPr>
    </w:lvl>
    <w:lvl w:ilvl="2" w:tplc="0C09001B">
      <w:start w:val="1"/>
      <w:numFmt w:val="lowerRoman"/>
      <w:lvlText w:val="%3."/>
      <w:lvlJc w:val="right"/>
      <w:pPr>
        <w:ind w:left="1375" w:hanging="180"/>
      </w:pPr>
    </w:lvl>
    <w:lvl w:ilvl="3" w:tplc="0C09000F" w:tentative="1">
      <w:start w:val="1"/>
      <w:numFmt w:val="decimal"/>
      <w:lvlText w:val="%4."/>
      <w:lvlJc w:val="left"/>
      <w:pPr>
        <w:ind w:left="2095" w:hanging="360"/>
      </w:pPr>
    </w:lvl>
    <w:lvl w:ilvl="4" w:tplc="0C090019" w:tentative="1">
      <w:start w:val="1"/>
      <w:numFmt w:val="lowerLetter"/>
      <w:lvlText w:val="%5."/>
      <w:lvlJc w:val="left"/>
      <w:pPr>
        <w:ind w:left="2815" w:hanging="360"/>
      </w:pPr>
    </w:lvl>
    <w:lvl w:ilvl="5" w:tplc="0C09001B" w:tentative="1">
      <w:start w:val="1"/>
      <w:numFmt w:val="lowerRoman"/>
      <w:lvlText w:val="%6."/>
      <w:lvlJc w:val="right"/>
      <w:pPr>
        <w:ind w:left="3535" w:hanging="180"/>
      </w:pPr>
    </w:lvl>
    <w:lvl w:ilvl="6" w:tplc="0C09000F" w:tentative="1">
      <w:start w:val="1"/>
      <w:numFmt w:val="decimal"/>
      <w:lvlText w:val="%7."/>
      <w:lvlJc w:val="left"/>
      <w:pPr>
        <w:ind w:left="4255" w:hanging="360"/>
      </w:pPr>
    </w:lvl>
    <w:lvl w:ilvl="7" w:tplc="0C090019" w:tentative="1">
      <w:start w:val="1"/>
      <w:numFmt w:val="lowerLetter"/>
      <w:lvlText w:val="%8."/>
      <w:lvlJc w:val="left"/>
      <w:pPr>
        <w:ind w:left="4975" w:hanging="360"/>
      </w:pPr>
    </w:lvl>
    <w:lvl w:ilvl="8" w:tplc="0C09001B" w:tentative="1">
      <w:start w:val="1"/>
      <w:numFmt w:val="lowerRoman"/>
      <w:lvlText w:val="%9."/>
      <w:lvlJc w:val="right"/>
      <w:pPr>
        <w:ind w:left="5695" w:hanging="180"/>
      </w:pPr>
    </w:lvl>
  </w:abstractNum>
  <w:abstractNum w:abstractNumId="4" w15:restartNumberingAfterBreak="0">
    <w:nsid w:val="48AC2295"/>
    <w:multiLevelType w:val="hybridMultilevel"/>
    <w:tmpl w:val="11A407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7DA011F"/>
    <w:multiLevelType w:val="hybridMultilevel"/>
    <w:tmpl w:val="9D2C47E4"/>
    <w:lvl w:ilvl="0" w:tplc="8316497C">
      <w:start w:val="1"/>
      <w:numFmt w:val="bullet"/>
      <w:pStyle w:val="D1stlevelbullets"/>
      <w:lvlText w:val=""/>
      <w:lvlJc w:val="left"/>
      <w:pPr>
        <w:ind w:left="2099" w:hanging="360"/>
      </w:pPr>
      <w:rPr>
        <w:rFonts w:ascii="Symbol" w:hAnsi="Symbol" w:hint="default"/>
      </w:rPr>
    </w:lvl>
    <w:lvl w:ilvl="1" w:tplc="4C06EEBC">
      <w:start w:val="1"/>
      <w:numFmt w:val="bullet"/>
      <w:pStyle w:val="GMOtablebullet2"/>
      <w:lvlText w:val=""/>
      <w:lvlJc w:val="left"/>
      <w:pPr>
        <w:ind w:left="1920" w:hanging="360"/>
      </w:pPr>
      <w:rPr>
        <w:rFonts w:ascii="Wingdings" w:hAnsi="Wingdings" w:hint="default"/>
      </w:rPr>
    </w:lvl>
    <w:lvl w:ilvl="2" w:tplc="0C090005" w:tentative="1">
      <w:start w:val="1"/>
      <w:numFmt w:val="bullet"/>
      <w:lvlText w:val=""/>
      <w:lvlJc w:val="left"/>
      <w:pPr>
        <w:ind w:left="3539" w:hanging="360"/>
      </w:pPr>
      <w:rPr>
        <w:rFonts w:ascii="Wingdings" w:hAnsi="Wingdings" w:hint="default"/>
      </w:rPr>
    </w:lvl>
    <w:lvl w:ilvl="3" w:tplc="0C090001" w:tentative="1">
      <w:start w:val="1"/>
      <w:numFmt w:val="bullet"/>
      <w:lvlText w:val=""/>
      <w:lvlJc w:val="left"/>
      <w:pPr>
        <w:ind w:left="4259" w:hanging="360"/>
      </w:pPr>
      <w:rPr>
        <w:rFonts w:ascii="Symbol" w:hAnsi="Symbol" w:hint="default"/>
      </w:rPr>
    </w:lvl>
    <w:lvl w:ilvl="4" w:tplc="0C090003" w:tentative="1">
      <w:start w:val="1"/>
      <w:numFmt w:val="bullet"/>
      <w:lvlText w:val="o"/>
      <w:lvlJc w:val="left"/>
      <w:pPr>
        <w:ind w:left="4979" w:hanging="360"/>
      </w:pPr>
      <w:rPr>
        <w:rFonts w:ascii="Courier New" w:hAnsi="Courier New" w:cs="Courier New" w:hint="default"/>
      </w:rPr>
    </w:lvl>
    <w:lvl w:ilvl="5" w:tplc="0C090005" w:tentative="1">
      <w:start w:val="1"/>
      <w:numFmt w:val="bullet"/>
      <w:lvlText w:val=""/>
      <w:lvlJc w:val="left"/>
      <w:pPr>
        <w:ind w:left="5699" w:hanging="360"/>
      </w:pPr>
      <w:rPr>
        <w:rFonts w:ascii="Wingdings" w:hAnsi="Wingdings" w:hint="default"/>
      </w:rPr>
    </w:lvl>
    <w:lvl w:ilvl="6" w:tplc="0C090001" w:tentative="1">
      <w:start w:val="1"/>
      <w:numFmt w:val="bullet"/>
      <w:lvlText w:val=""/>
      <w:lvlJc w:val="left"/>
      <w:pPr>
        <w:ind w:left="6419" w:hanging="360"/>
      </w:pPr>
      <w:rPr>
        <w:rFonts w:ascii="Symbol" w:hAnsi="Symbol" w:hint="default"/>
      </w:rPr>
    </w:lvl>
    <w:lvl w:ilvl="7" w:tplc="0C090003" w:tentative="1">
      <w:start w:val="1"/>
      <w:numFmt w:val="bullet"/>
      <w:lvlText w:val="o"/>
      <w:lvlJc w:val="left"/>
      <w:pPr>
        <w:ind w:left="7139" w:hanging="360"/>
      </w:pPr>
      <w:rPr>
        <w:rFonts w:ascii="Courier New" w:hAnsi="Courier New" w:cs="Courier New" w:hint="default"/>
      </w:rPr>
    </w:lvl>
    <w:lvl w:ilvl="8" w:tplc="0C090005" w:tentative="1">
      <w:start w:val="1"/>
      <w:numFmt w:val="bullet"/>
      <w:lvlText w:val=""/>
      <w:lvlJc w:val="left"/>
      <w:pPr>
        <w:ind w:left="7859" w:hanging="360"/>
      </w:pPr>
      <w:rPr>
        <w:rFonts w:ascii="Wingdings" w:hAnsi="Wingdings" w:hint="default"/>
      </w:rPr>
    </w:lvl>
  </w:abstractNum>
  <w:abstractNum w:abstractNumId="6" w15:restartNumberingAfterBreak="0">
    <w:nsid w:val="60607CB7"/>
    <w:multiLevelType w:val="hybridMultilevel"/>
    <w:tmpl w:val="9A9613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1CF66DD"/>
    <w:multiLevelType w:val="hybridMultilevel"/>
    <w:tmpl w:val="1228EA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82283292">
    <w:abstractNumId w:val="3"/>
  </w:num>
  <w:num w:numId="2" w16cid:durableId="433330770">
    <w:abstractNumId w:val="2"/>
  </w:num>
  <w:num w:numId="3" w16cid:durableId="493183566">
    <w:abstractNumId w:val="4"/>
  </w:num>
  <w:num w:numId="4" w16cid:durableId="1615944486">
    <w:abstractNumId w:val="7"/>
  </w:num>
  <w:num w:numId="5" w16cid:durableId="469784753">
    <w:abstractNumId w:val="5"/>
  </w:num>
  <w:num w:numId="6" w16cid:durableId="288516890">
    <w:abstractNumId w:val="6"/>
  </w:num>
  <w:num w:numId="7" w16cid:durableId="1741318925">
    <w:abstractNumId w:val="0"/>
  </w:num>
  <w:num w:numId="8" w16cid:durableId="1522738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AF6"/>
    <w:rsid w:val="00086972"/>
    <w:rsid w:val="0022313B"/>
    <w:rsid w:val="005125A9"/>
    <w:rsid w:val="00747D3E"/>
    <w:rsid w:val="00882F1A"/>
    <w:rsid w:val="008E526F"/>
    <w:rsid w:val="00A437C0"/>
    <w:rsid w:val="00A91891"/>
    <w:rsid w:val="00BC5992"/>
    <w:rsid w:val="00F13AF6"/>
    <w:rsid w:val="00F159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1EA34D"/>
  <w15:chartTrackingRefBased/>
  <w15:docId w15:val="{7D0D5D98-C321-426B-966E-964DEA83B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AF6"/>
    <w:pPr>
      <w:spacing w:before="120" w:after="120" w:line="240" w:lineRule="auto"/>
    </w:pPr>
    <w:rPr>
      <w:rFonts w:ascii="Calibri" w:eastAsia="Times New Roman" w:hAnsi="Calibri" w:cs="Times New Roman"/>
      <w:szCs w:val="24"/>
      <w:lang w:eastAsia="en-AU"/>
    </w:rPr>
  </w:style>
  <w:style w:type="paragraph" w:styleId="Heading1">
    <w:name w:val="heading 1"/>
    <w:basedOn w:val="Normal"/>
    <w:next w:val="Normal"/>
    <w:link w:val="Heading1Char"/>
    <w:autoRedefine/>
    <w:qFormat/>
    <w:rsid w:val="00F13AF6"/>
    <w:pPr>
      <w:keepNext/>
      <w:tabs>
        <w:tab w:val="left" w:pos="2268"/>
      </w:tabs>
      <w:spacing w:before="240" w:after="60"/>
      <w:ind w:left="1814" w:right="-613" w:hanging="1956"/>
      <w:jc w:val="center"/>
      <w:outlineLvl w:val="0"/>
    </w:pPr>
    <w:rPr>
      <w:rFonts w:cs="Arial"/>
      <w:b/>
      <w:snapToGrid w:val="0"/>
      <w:sz w:val="36"/>
      <w:szCs w:val="36"/>
      <w:lang w:eastAsia="en-US"/>
    </w:rPr>
  </w:style>
  <w:style w:type="paragraph" w:styleId="Heading2">
    <w:name w:val="heading 2"/>
    <w:basedOn w:val="Normal"/>
    <w:next w:val="Normal"/>
    <w:link w:val="Heading2Char"/>
    <w:qFormat/>
    <w:rsid w:val="00F13AF6"/>
    <w:pPr>
      <w:keepNext/>
      <w:numPr>
        <w:ilvl w:val="1"/>
        <w:numId w:val="2"/>
      </w:numPr>
      <w:tabs>
        <w:tab w:val="left" w:pos="1418"/>
      </w:tabs>
      <w:spacing w:before="240" w:after="60"/>
      <w:outlineLvl w:val="1"/>
    </w:pPr>
    <w:rPr>
      <w:b/>
      <w:i/>
      <w:sz w:val="28"/>
      <w:szCs w:val="28"/>
    </w:rPr>
  </w:style>
  <w:style w:type="paragraph" w:styleId="Heading3">
    <w:name w:val="heading 3"/>
    <w:basedOn w:val="Normal"/>
    <w:next w:val="Normal"/>
    <w:link w:val="Heading3Char"/>
    <w:qFormat/>
    <w:rsid w:val="00F13AF6"/>
    <w:pPr>
      <w:keepNext/>
      <w:numPr>
        <w:ilvl w:val="2"/>
        <w:numId w:val="2"/>
      </w:numPr>
      <w:tabs>
        <w:tab w:val="left" w:pos="851"/>
      </w:tabs>
      <w:outlineLvl w:val="2"/>
    </w:pPr>
    <w:rPr>
      <w:rFonts w:ascii="Arial (W1)" w:hAnsi="Arial (W1)"/>
      <w:b/>
      <w:szCs w:val="20"/>
    </w:rPr>
  </w:style>
  <w:style w:type="paragraph" w:styleId="Heading4">
    <w:name w:val="heading 4"/>
    <w:basedOn w:val="Normal"/>
    <w:next w:val="Normal"/>
    <w:link w:val="Heading4Char"/>
    <w:qFormat/>
    <w:rsid w:val="00F13AF6"/>
    <w:pPr>
      <w:keepNext/>
      <w:numPr>
        <w:ilvl w:val="3"/>
        <w:numId w:val="2"/>
      </w:numPr>
      <w:tabs>
        <w:tab w:val="left" w:pos="851"/>
      </w:tabs>
      <w:outlineLvl w:val="3"/>
    </w:pPr>
    <w:rPr>
      <w:rFonts w:ascii="Arial (W1)" w:hAnsi="Arial (W1)"/>
      <w:b/>
      <w:i/>
      <w:szCs w:val="22"/>
    </w:rPr>
  </w:style>
  <w:style w:type="paragraph" w:styleId="Heading5">
    <w:name w:val="heading 5"/>
    <w:basedOn w:val="Normal"/>
    <w:next w:val="Normal"/>
    <w:link w:val="Heading5Char"/>
    <w:qFormat/>
    <w:rsid w:val="00F13AF6"/>
    <w:pPr>
      <w:keepNext/>
      <w:numPr>
        <w:ilvl w:val="4"/>
        <w:numId w:val="2"/>
      </w:numPr>
      <w:spacing w:before="240" w:after="60"/>
      <w:outlineLvl w:val="4"/>
    </w:pPr>
    <w:rPr>
      <w:bCs/>
      <w:iCs/>
      <w:u w:val="single"/>
    </w:rPr>
  </w:style>
  <w:style w:type="paragraph" w:styleId="Heading6">
    <w:name w:val="heading 6"/>
    <w:basedOn w:val="Normal"/>
    <w:next w:val="Normal"/>
    <w:link w:val="Heading6Char"/>
    <w:unhideWhenUsed/>
    <w:qFormat/>
    <w:rsid w:val="00F13AF6"/>
    <w:pPr>
      <w:numPr>
        <w:ilvl w:val="5"/>
        <w:numId w:val="2"/>
      </w:numPr>
      <w:spacing w:before="240" w:after="60"/>
      <w:outlineLvl w:val="5"/>
    </w:pPr>
    <w:rPr>
      <w:b/>
      <w:bCs/>
      <w:szCs w:val="22"/>
    </w:rPr>
  </w:style>
  <w:style w:type="paragraph" w:styleId="Heading7">
    <w:name w:val="heading 7"/>
    <w:basedOn w:val="Normal"/>
    <w:next w:val="Normal"/>
    <w:link w:val="Heading7Char"/>
    <w:unhideWhenUsed/>
    <w:qFormat/>
    <w:rsid w:val="00F13AF6"/>
    <w:pPr>
      <w:numPr>
        <w:ilvl w:val="6"/>
        <w:numId w:val="2"/>
      </w:numPr>
      <w:spacing w:before="240" w:after="60"/>
      <w:outlineLvl w:val="6"/>
    </w:pPr>
  </w:style>
  <w:style w:type="paragraph" w:styleId="Heading8">
    <w:name w:val="heading 8"/>
    <w:basedOn w:val="Normal"/>
    <w:next w:val="Normal"/>
    <w:link w:val="Heading8Char"/>
    <w:qFormat/>
    <w:rsid w:val="00F13AF6"/>
    <w:pPr>
      <w:numPr>
        <w:ilvl w:val="7"/>
        <w:numId w:val="2"/>
      </w:numPr>
      <w:spacing w:before="240" w:after="60"/>
      <w:outlineLvl w:val="7"/>
    </w:pPr>
    <w:rPr>
      <w:i/>
      <w:iCs/>
    </w:rPr>
  </w:style>
  <w:style w:type="paragraph" w:styleId="Heading9">
    <w:name w:val="heading 9"/>
    <w:basedOn w:val="Normal"/>
    <w:next w:val="Normal"/>
    <w:link w:val="Heading9Char"/>
    <w:unhideWhenUsed/>
    <w:qFormat/>
    <w:rsid w:val="00F13AF6"/>
    <w:pPr>
      <w:numPr>
        <w:ilvl w:val="8"/>
        <w:numId w:val="2"/>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3AF6"/>
    <w:pPr>
      <w:tabs>
        <w:tab w:val="center" w:pos="4513"/>
        <w:tab w:val="right" w:pos="9026"/>
      </w:tabs>
      <w:spacing w:after="0"/>
    </w:pPr>
  </w:style>
  <w:style w:type="character" w:customStyle="1" w:styleId="HeaderChar">
    <w:name w:val="Header Char"/>
    <w:basedOn w:val="DefaultParagraphFont"/>
    <w:link w:val="Header"/>
    <w:uiPriority w:val="99"/>
    <w:rsid w:val="00F13AF6"/>
  </w:style>
  <w:style w:type="paragraph" w:styleId="Footer">
    <w:name w:val="footer"/>
    <w:basedOn w:val="Normal"/>
    <w:link w:val="FooterChar"/>
    <w:uiPriority w:val="99"/>
    <w:unhideWhenUsed/>
    <w:rsid w:val="00F13AF6"/>
    <w:pPr>
      <w:tabs>
        <w:tab w:val="center" w:pos="4513"/>
        <w:tab w:val="right" w:pos="9026"/>
      </w:tabs>
      <w:spacing w:after="0"/>
    </w:pPr>
  </w:style>
  <w:style w:type="character" w:customStyle="1" w:styleId="FooterChar">
    <w:name w:val="Footer Char"/>
    <w:basedOn w:val="DefaultParagraphFont"/>
    <w:link w:val="Footer"/>
    <w:uiPriority w:val="99"/>
    <w:rsid w:val="00F13AF6"/>
  </w:style>
  <w:style w:type="character" w:customStyle="1" w:styleId="Heading1Char">
    <w:name w:val="Heading 1 Char"/>
    <w:basedOn w:val="DefaultParagraphFont"/>
    <w:link w:val="Heading1"/>
    <w:rsid w:val="00F13AF6"/>
    <w:rPr>
      <w:rFonts w:ascii="Calibri" w:eastAsia="Times New Roman" w:hAnsi="Calibri" w:cs="Arial"/>
      <w:b/>
      <w:snapToGrid w:val="0"/>
      <w:sz w:val="36"/>
      <w:szCs w:val="36"/>
    </w:rPr>
  </w:style>
  <w:style w:type="character" w:customStyle="1" w:styleId="Heading2Char">
    <w:name w:val="Heading 2 Char"/>
    <w:basedOn w:val="DefaultParagraphFont"/>
    <w:link w:val="Heading2"/>
    <w:rsid w:val="00F13AF6"/>
    <w:rPr>
      <w:rFonts w:ascii="Calibri" w:eastAsia="Times New Roman" w:hAnsi="Calibri" w:cs="Times New Roman"/>
      <w:b/>
      <w:i/>
      <w:sz w:val="28"/>
      <w:szCs w:val="28"/>
      <w:lang w:eastAsia="en-AU"/>
    </w:rPr>
  </w:style>
  <w:style w:type="character" w:customStyle="1" w:styleId="Heading3Char">
    <w:name w:val="Heading 3 Char"/>
    <w:basedOn w:val="DefaultParagraphFont"/>
    <w:link w:val="Heading3"/>
    <w:rsid w:val="00F13AF6"/>
    <w:rPr>
      <w:rFonts w:ascii="Arial (W1)" w:eastAsia="Times New Roman" w:hAnsi="Arial (W1)" w:cs="Times New Roman"/>
      <w:b/>
      <w:szCs w:val="20"/>
      <w:lang w:eastAsia="en-AU"/>
    </w:rPr>
  </w:style>
  <w:style w:type="character" w:customStyle="1" w:styleId="Heading4Char">
    <w:name w:val="Heading 4 Char"/>
    <w:basedOn w:val="DefaultParagraphFont"/>
    <w:link w:val="Heading4"/>
    <w:rsid w:val="00F13AF6"/>
    <w:rPr>
      <w:rFonts w:ascii="Arial (W1)" w:eastAsia="Times New Roman" w:hAnsi="Arial (W1)" w:cs="Times New Roman"/>
      <w:b/>
      <w:i/>
      <w:lang w:eastAsia="en-AU"/>
    </w:rPr>
  </w:style>
  <w:style w:type="character" w:customStyle="1" w:styleId="Heading5Char">
    <w:name w:val="Heading 5 Char"/>
    <w:basedOn w:val="DefaultParagraphFont"/>
    <w:link w:val="Heading5"/>
    <w:rsid w:val="00F13AF6"/>
    <w:rPr>
      <w:rFonts w:ascii="Calibri" w:eastAsia="Times New Roman" w:hAnsi="Calibri" w:cs="Times New Roman"/>
      <w:bCs/>
      <w:iCs/>
      <w:szCs w:val="24"/>
      <w:u w:val="single"/>
      <w:lang w:eastAsia="en-AU"/>
    </w:rPr>
  </w:style>
  <w:style w:type="character" w:customStyle="1" w:styleId="Heading6Char">
    <w:name w:val="Heading 6 Char"/>
    <w:basedOn w:val="DefaultParagraphFont"/>
    <w:link w:val="Heading6"/>
    <w:rsid w:val="00F13AF6"/>
    <w:rPr>
      <w:rFonts w:ascii="Calibri" w:eastAsia="Times New Roman" w:hAnsi="Calibri" w:cs="Times New Roman"/>
      <w:b/>
      <w:bCs/>
      <w:lang w:eastAsia="en-AU"/>
    </w:rPr>
  </w:style>
  <w:style w:type="character" w:customStyle="1" w:styleId="Heading7Char">
    <w:name w:val="Heading 7 Char"/>
    <w:basedOn w:val="DefaultParagraphFont"/>
    <w:link w:val="Heading7"/>
    <w:rsid w:val="00F13AF6"/>
    <w:rPr>
      <w:rFonts w:ascii="Calibri" w:eastAsia="Times New Roman" w:hAnsi="Calibri" w:cs="Times New Roman"/>
      <w:szCs w:val="24"/>
      <w:lang w:eastAsia="en-AU"/>
    </w:rPr>
  </w:style>
  <w:style w:type="character" w:customStyle="1" w:styleId="Heading8Char">
    <w:name w:val="Heading 8 Char"/>
    <w:basedOn w:val="DefaultParagraphFont"/>
    <w:link w:val="Heading8"/>
    <w:rsid w:val="00F13AF6"/>
    <w:rPr>
      <w:rFonts w:ascii="Calibri" w:eastAsia="Times New Roman" w:hAnsi="Calibri" w:cs="Times New Roman"/>
      <w:i/>
      <w:iCs/>
      <w:szCs w:val="24"/>
      <w:lang w:eastAsia="en-AU"/>
    </w:rPr>
  </w:style>
  <w:style w:type="character" w:customStyle="1" w:styleId="Heading9Char">
    <w:name w:val="Heading 9 Char"/>
    <w:basedOn w:val="DefaultParagraphFont"/>
    <w:link w:val="Heading9"/>
    <w:rsid w:val="00F13AF6"/>
    <w:rPr>
      <w:rFonts w:ascii="Arial" w:eastAsia="Times New Roman" w:hAnsi="Arial" w:cs="Arial"/>
      <w:lang w:eastAsia="en-AU"/>
    </w:rPr>
  </w:style>
  <w:style w:type="character" w:styleId="FootnoteReference">
    <w:name w:val="footnote reference"/>
    <w:rsid w:val="00F13AF6"/>
    <w:rPr>
      <w:vertAlign w:val="superscript"/>
    </w:rPr>
  </w:style>
  <w:style w:type="paragraph" w:customStyle="1" w:styleId="RARMPnumberedparagraphs">
    <w:name w:val="RARMP numbered paragraphs"/>
    <w:basedOn w:val="ListParagraph"/>
    <w:link w:val="RARMPnumberedparagraphsChar"/>
    <w:qFormat/>
    <w:rsid w:val="00F13AF6"/>
    <w:pPr>
      <w:numPr>
        <w:numId w:val="1"/>
      </w:numPr>
      <w:tabs>
        <w:tab w:val="num" w:pos="567"/>
      </w:tabs>
      <w:ind w:left="0" w:firstLine="0"/>
    </w:pPr>
    <w:rPr>
      <w:rFonts w:eastAsia="Times New Roman" w:cs="Times New Roman"/>
      <w:lang w:eastAsia="en-AU"/>
    </w:rPr>
  </w:style>
  <w:style w:type="character" w:customStyle="1" w:styleId="ListParagraphChar">
    <w:name w:val="List Paragraph Char"/>
    <w:basedOn w:val="DefaultParagraphFont"/>
    <w:link w:val="ListParagraph"/>
    <w:uiPriority w:val="34"/>
    <w:rsid w:val="00F13AF6"/>
    <w:rPr>
      <w:rFonts w:ascii="Calibri" w:hAnsi="Calibri"/>
      <w:szCs w:val="24"/>
    </w:rPr>
  </w:style>
  <w:style w:type="character" w:customStyle="1" w:styleId="RARMPnumberedparagraphsChar">
    <w:name w:val="RARMP numbered paragraphs Char"/>
    <w:basedOn w:val="ListParagraphChar"/>
    <w:link w:val="RARMPnumberedparagraphs"/>
    <w:rsid w:val="00F13AF6"/>
    <w:rPr>
      <w:rFonts w:ascii="Calibri" w:eastAsia="Times New Roman" w:hAnsi="Calibri" w:cs="Times New Roman"/>
      <w:szCs w:val="24"/>
      <w:lang w:eastAsia="en-AU"/>
    </w:rPr>
  </w:style>
  <w:style w:type="paragraph" w:styleId="ListParagraph">
    <w:name w:val="List Paragraph"/>
    <w:basedOn w:val="Normal"/>
    <w:link w:val="ListParagraphChar"/>
    <w:uiPriority w:val="34"/>
    <w:qFormat/>
    <w:rsid w:val="00F13AF6"/>
    <w:pPr>
      <w:ind w:left="720"/>
    </w:pPr>
    <w:rPr>
      <w:rFonts w:eastAsiaTheme="minorHAnsi" w:cstheme="minorBidi"/>
      <w:lang w:eastAsia="en-US"/>
    </w:rPr>
  </w:style>
  <w:style w:type="paragraph" w:customStyle="1" w:styleId="Para">
    <w:name w:val="Para"/>
    <w:basedOn w:val="Normal"/>
    <w:link w:val="ParaCharChar"/>
    <w:autoRedefine/>
    <w:rsid w:val="00F13AF6"/>
    <w:pPr>
      <w:widowControl w:val="0"/>
      <w:spacing w:before="60" w:after="100"/>
    </w:pPr>
    <w:rPr>
      <w:rFonts w:asciiTheme="minorHAnsi" w:hAnsiTheme="minorHAnsi"/>
      <w:szCs w:val="22"/>
    </w:rPr>
  </w:style>
  <w:style w:type="paragraph" w:styleId="FootnoteText">
    <w:name w:val="footnote text"/>
    <w:basedOn w:val="Normal"/>
    <w:link w:val="FootnoteTextChar"/>
    <w:rsid w:val="00F13AF6"/>
    <w:pPr>
      <w:spacing w:before="0" w:after="0"/>
    </w:pPr>
    <w:rPr>
      <w:sz w:val="20"/>
      <w:szCs w:val="20"/>
    </w:rPr>
  </w:style>
  <w:style w:type="character" w:customStyle="1" w:styleId="FootnoteTextChar">
    <w:name w:val="Footnote Text Char"/>
    <w:basedOn w:val="DefaultParagraphFont"/>
    <w:link w:val="FootnoteText"/>
    <w:rsid w:val="00F13AF6"/>
    <w:rPr>
      <w:rFonts w:ascii="Calibri" w:eastAsia="Times New Roman" w:hAnsi="Calibri" w:cs="Times New Roman"/>
      <w:sz w:val="20"/>
      <w:szCs w:val="20"/>
      <w:lang w:eastAsia="en-AU"/>
    </w:rPr>
  </w:style>
  <w:style w:type="paragraph" w:customStyle="1" w:styleId="RIGHTLIST">
    <w:name w:val="RIGHTLIST"/>
    <w:basedOn w:val="Normal"/>
    <w:link w:val="RIGHTLISTChar"/>
    <w:rsid w:val="00F13AF6"/>
    <w:pPr>
      <w:keepNext/>
      <w:tabs>
        <w:tab w:val="right" w:leader="dot" w:pos="9356"/>
      </w:tabs>
      <w:spacing w:before="80" w:after="40"/>
    </w:pPr>
    <w:rPr>
      <w:rFonts w:ascii="Times New Roman" w:hAnsi="Times New Roman"/>
      <w:szCs w:val="22"/>
    </w:rPr>
  </w:style>
  <w:style w:type="character" w:customStyle="1" w:styleId="RIGHTLISTChar">
    <w:name w:val="RIGHTLIST Char"/>
    <w:basedOn w:val="DefaultParagraphFont"/>
    <w:link w:val="RIGHTLIST"/>
    <w:uiPriority w:val="4"/>
    <w:rsid w:val="00F13AF6"/>
    <w:rPr>
      <w:rFonts w:ascii="Times New Roman" w:eastAsia="Times New Roman" w:hAnsi="Times New Roman" w:cs="Times New Roman"/>
      <w:lang w:eastAsia="en-AU"/>
    </w:rPr>
  </w:style>
  <w:style w:type="paragraph" w:customStyle="1" w:styleId="Paranonumbers">
    <w:name w:val="Para no numbers"/>
    <w:basedOn w:val="Normal"/>
    <w:link w:val="ParanonumbersChar"/>
    <w:qFormat/>
    <w:rsid w:val="00F13AF6"/>
    <w:rPr>
      <w:rFonts w:ascii="Times New Roman" w:eastAsiaTheme="minorEastAsia" w:hAnsi="Times New Roman"/>
      <w:sz w:val="24"/>
    </w:rPr>
  </w:style>
  <w:style w:type="character" w:customStyle="1" w:styleId="ParanonumbersChar">
    <w:name w:val="Para no numbers Char"/>
    <w:link w:val="Paranonumbers"/>
    <w:locked/>
    <w:rsid w:val="00F13AF6"/>
    <w:rPr>
      <w:rFonts w:ascii="Times New Roman" w:eastAsiaTheme="minorEastAsia" w:hAnsi="Times New Roman" w:cs="Times New Roman"/>
      <w:sz w:val="24"/>
      <w:szCs w:val="24"/>
      <w:lang w:eastAsia="en-AU"/>
    </w:rPr>
  </w:style>
  <w:style w:type="character" w:customStyle="1" w:styleId="ParaCharChar">
    <w:name w:val="Para Char Char"/>
    <w:basedOn w:val="DefaultParagraphFont"/>
    <w:link w:val="Para"/>
    <w:locked/>
    <w:rsid w:val="00F13AF6"/>
    <w:rPr>
      <w:rFonts w:eastAsia="Times New Roman" w:cs="Times New Roman"/>
      <w:lang w:eastAsia="en-AU"/>
    </w:rPr>
  </w:style>
  <w:style w:type="character" w:styleId="CommentReference">
    <w:name w:val="annotation reference"/>
    <w:basedOn w:val="DefaultParagraphFont"/>
    <w:uiPriority w:val="99"/>
    <w:semiHidden/>
    <w:unhideWhenUsed/>
    <w:rsid w:val="008E526F"/>
    <w:rPr>
      <w:sz w:val="16"/>
      <w:szCs w:val="16"/>
    </w:rPr>
  </w:style>
  <w:style w:type="paragraph" w:styleId="CommentText">
    <w:name w:val="annotation text"/>
    <w:basedOn w:val="Normal"/>
    <w:link w:val="CommentTextChar"/>
    <w:uiPriority w:val="99"/>
    <w:semiHidden/>
    <w:unhideWhenUsed/>
    <w:rsid w:val="008E526F"/>
    <w:rPr>
      <w:sz w:val="20"/>
      <w:szCs w:val="20"/>
    </w:rPr>
  </w:style>
  <w:style w:type="character" w:customStyle="1" w:styleId="CommentTextChar">
    <w:name w:val="Comment Text Char"/>
    <w:basedOn w:val="DefaultParagraphFont"/>
    <w:link w:val="CommentText"/>
    <w:uiPriority w:val="99"/>
    <w:semiHidden/>
    <w:rsid w:val="008E526F"/>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8E526F"/>
    <w:rPr>
      <w:b/>
      <w:bCs/>
    </w:rPr>
  </w:style>
  <w:style w:type="character" w:customStyle="1" w:styleId="CommentSubjectChar">
    <w:name w:val="Comment Subject Char"/>
    <w:basedOn w:val="CommentTextChar"/>
    <w:link w:val="CommentSubject"/>
    <w:uiPriority w:val="99"/>
    <w:semiHidden/>
    <w:rsid w:val="008E526F"/>
    <w:rPr>
      <w:rFonts w:ascii="Calibri" w:eastAsia="Times New Roman" w:hAnsi="Calibri" w:cs="Times New Roman"/>
      <w:b/>
      <w:bCs/>
      <w:sz w:val="20"/>
      <w:szCs w:val="20"/>
      <w:lang w:eastAsia="en-AU"/>
    </w:rPr>
  </w:style>
  <w:style w:type="character" w:styleId="Hyperlink">
    <w:name w:val="Hyperlink"/>
    <w:basedOn w:val="DefaultParagraphFont"/>
    <w:uiPriority w:val="99"/>
    <w:rsid w:val="00747D3E"/>
    <w:rPr>
      <w:u w:val="single"/>
    </w:rPr>
  </w:style>
  <w:style w:type="paragraph" w:customStyle="1" w:styleId="D1stlevelbullets">
    <w:name w:val="D 1st level bullets"/>
    <w:basedOn w:val="Normal"/>
    <w:link w:val="D1stlevelbulletsChar"/>
    <w:autoRedefine/>
    <w:uiPriority w:val="1"/>
    <w:qFormat/>
    <w:rsid w:val="00747D3E"/>
    <w:pPr>
      <w:numPr>
        <w:numId w:val="5"/>
      </w:numPr>
      <w:spacing w:before="0" w:after="0"/>
      <w:ind w:left="425" w:hanging="425"/>
    </w:pPr>
    <w:rPr>
      <w:szCs w:val="22"/>
    </w:rPr>
  </w:style>
  <w:style w:type="character" w:customStyle="1" w:styleId="D1stlevelbulletsChar">
    <w:name w:val="D 1st level bullets Char"/>
    <w:basedOn w:val="DefaultParagraphFont"/>
    <w:link w:val="D1stlevelbullets"/>
    <w:uiPriority w:val="1"/>
    <w:rsid w:val="00747D3E"/>
    <w:rPr>
      <w:rFonts w:ascii="Calibri" w:eastAsia="Times New Roman" w:hAnsi="Calibri" w:cs="Times New Roman"/>
      <w:lang w:eastAsia="en-AU"/>
    </w:rPr>
  </w:style>
  <w:style w:type="paragraph" w:customStyle="1" w:styleId="GMOtablebullet2">
    <w:name w:val="GMO table bullet 2"/>
    <w:basedOn w:val="Normal"/>
    <w:qFormat/>
    <w:rsid w:val="00747D3E"/>
    <w:pPr>
      <w:numPr>
        <w:ilvl w:val="1"/>
        <w:numId w:val="5"/>
      </w:numPr>
      <w:spacing w:before="0" w:after="0" w:line="216" w:lineRule="auto"/>
      <w:ind w:left="323" w:hanging="164"/>
      <w:contextualSpacing/>
    </w:pPr>
    <w:rPr>
      <w:rFonts w:ascii="Arial Narrow" w:hAnsi="Arial Narrow"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ga.gov.au/publication/note-guidance-good-clinical-practic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hmrc.gov.au/about-us/publications/national-statement-ethical-conduct-human-research-2007-updated-201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1031</Words>
  <Characters>5761</Characters>
  <Application>Microsoft Office Word</Application>
  <DocSecurity>0</DocSecurity>
  <Lines>108</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 221 - Summary of Risk Assessment and Risk Management Plan</dc:title>
  <dc:subject/>
  <dc:creator>OGTR.Voicemail@health.gov.au</dc:creator>
  <cp:keywords/>
  <dc:description/>
  <cp:lastModifiedBy>SMITH, Justine</cp:lastModifiedBy>
  <cp:revision>2</cp:revision>
  <dcterms:created xsi:type="dcterms:W3CDTF">2026-02-05T02:01:00Z</dcterms:created>
  <dcterms:modified xsi:type="dcterms:W3CDTF">2026-02-05T02:01:00Z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cd3e8b9-ffed-43a8-b7f4-cc2fa0382d36_Enabled">
    <vt:lpwstr>true</vt:lpwstr>
  </property>
  <property fmtid="{D5CDD505-2E9C-101B-9397-08002B2CF9AE}" pid="3" name="MSIP_Label_7cd3e8b9-ffed-43a8-b7f4-cc2fa0382d36_SetDate">
    <vt:lpwstr>2026-02-04T21:57:39Z</vt:lpwstr>
  </property>
  <property fmtid="{D5CDD505-2E9C-101B-9397-08002B2CF9AE}" pid="4" name="MSIP_Label_7cd3e8b9-ffed-43a8-b7f4-cc2fa0382d36_Method">
    <vt:lpwstr>Privileged</vt:lpwstr>
  </property>
  <property fmtid="{D5CDD505-2E9C-101B-9397-08002B2CF9AE}" pid="5" name="MSIP_Label_7cd3e8b9-ffed-43a8-b7f4-cc2fa0382d36_Name">
    <vt:lpwstr>O</vt:lpwstr>
  </property>
  <property fmtid="{D5CDD505-2E9C-101B-9397-08002B2CF9AE}" pid="6" name="MSIP_Label_7cd3e8b9-ffed-43a8-b7f4-cc2fa0382d36_SiteId">
    <vt:lpwstr>34a3929c-73cf-4954-abfe-147dc3517892</vt:lpwstr>
  </property>
  <property fmtid="{D5CDD505-2E9C-101B-9397-08002B2CF9AE}" pid="7" name="MSIP_Label_7cd3e8b9-ffed-43a8-b7f4-cc2fa0382d36_ActionId">
    <vt:lpwstr>cbcdcb64-0ec7-41d9-bb72-fb3e3dca18a1</vt:lpwstr>
  </property>
  <property fmtid="{D5CDD505-2E9C-101B-9397-08002B2CF9AE}" pid="8" name="MSIP_Label_7cd3e8b9-ffed-43a8-b7f4-cc2fa0382d36_ContentBits">
    <vt:lpwstr>3</vt:lpwstr>
  </property>
  <property fmtid="{D5CDD505-2E9C-101B-9397-08002B2CF9AE}" pid="9" name="MSIP_Label_7cd3e8b9-ffed-43a8-b7f4-cc2fa0382d36_Tag">
    <vt:lpwstr>10, 0, 1, 1</vt:lpwstr>
  </property>
</Properties>
</file>