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F794" w14:textId="1FF8031A" w:rsidR="00C315BD" w:rsidRPr="00E12965" w:rsidRDefault="00C315BD" w:rsidP="00C315BD">
      <w:pPr>
        <w:pStyle w:val="CmqTitle1"/>
        <w:spacing w:before="240"/>
        <w:rPr>
          <w:color w:val="auto"/>
        </w:rPr>
      </w:pPr>
      <w:bookmarkStart w:id="0" w:name="_Toc123029785"/>
      <w:r w:rsidRPr="00E12965">
        <w:rPr>
          <w:color w:val="auto"/>
        </w:rPr>
        <w:t>Gene Technology Technical Advisory Committee</w:t>
      </w:r>
      <w:bookmarkEnd w:id="0"/>
    </w:p>
    <w:p w14:paraId="5039BEA2" w14:textId="230F6B63" w:rsidR="00C315BD" w:rsidRPr="00E12965" w:rsidRDefault="00364FB3" w:rsidP="00C315BD">
      <w:pPr>
        <w:pStyle w:val="CmqTitle1"/>
        <w:rPr>
          <w:color w:val="auto"/>
          <w:szCs w:val="24"/>
        </w:rPr>
      </w:pPr>
      <w:r>
        <w:rPr>
          <w:color w:val="auto"/>
          <w:szCs w:val="24"/>
        </w:rPr>
        <w:t>5 May</w:t>
      </w:r>
      <w:r w:rsidR="00C315BD">
        <w:rPr>
          <w:color w:val="auto"/>
          <w:szCs w:val="24"/>
        </w:rPr>
        <w:t xml:space="preserve"> 2025</w:t>
      </w:r>
    </w:p>
    <w:p w14:paraId="52532CD5" w14:textId="2E7CDF9F" w:rsidR="00C315BD" w:rsidRPr="00E12965" w:rsidRDefault="00C315BD" w:rsidP="00C315BD">
      <w:pPr>
        <w:pStyle w:val="CmqTitle1"/>
        <w:spacing w:after="240"/>
        <w:rPr>
          <w:color w:val="auto"/>
          <w:szCs w:val="24"/>
        </w:rPr>
      </w:pPr>
      <w:r w:rsidRPr="00E12965">
        <w:rPr>
          <w:color w:val="auto"/>
          <w:szCs w:val="24"/>
        </w:rPr>
        <w:t>Communiqué</w:t>
      </w:r>
    </w:p>
    <w:p w14:paraId="5BEBDB5E" w14:textId="53A6A535" w:rsidR="00C315BD" w:rsidRPr="00E12965" w:rsidRDefault="00C315BD" w:rsidP="00C315BD">
      <w:pPr>
        <w:pStyle w:val="CmqTitle2"/>
        <w:ind w:left="0"/>
      </w:pPr>
      <w:r w:rsidRPr="00E12965">
        <w:t xml:space="preserve">This Communiqué covers matters considered at the </w:t>
      </w:r>
      <w:r>
        <w:t>4</w:t>
      </w:r>
      <w:r w:rsidR="00A36855">
        <w:t>4</w:t>
      </w:r>
      <w:r w:rsidR="00A36855" w:rsidRPr="00A36855">
        <w:rPr>
          <w:vertAlign w:val="superscript"/>
        </w:rPr>
        <w:t>th</w:t>
      </w:r>
      <w:r w:rsidR="00A36855">
        <w:t xml:space="preserve"> </w:t>
      </w:r>
      <w:r w:rsidRPr="00E12965">
        <w:t xml:space="preserve">videoconference of the </w:t>
      </w:r>
      <w:r w:rsidRPr="00E12965">
        <w:br/>
        <w:t>Gene Technology Technical Advisory Committee (</w:t>
      </w:r>
      <w:r w:rsidR="00A36855">
        <w:t xml:space="preserve">5 </w:t>
      </w:r>
      <w:r w:rsidR="00962807">
        <w:t>May</w:t>
      </w:r>
      <w:r w:rsidRPr="00C10B19">
        <w:t xml:space="preserve"> 2025</w:t>
      </w:r>
      <w:r w:rsidRPr="00E12965">
        <w:t>)</w:t>
      </w:r>
    </w:p>
    <w:p w14:paraId="024B85E3" w14:textId="77777777" w:rsidR="00C315BD" w:rsidRPr="00E12965" w:rsidRDefault="00C315BD" w:rsidP="00C315BD">
      <w:pPr>
        <w:pStyle w:val="BodyText"/>
      </w:pPr>
      <w:r w:rsidRPr="00E12965">
        <w:t xml:space="preserve">The Gene Technology Technical Advisory Committee (GTTAC) is a statutory advisory committee established under the </w:t>
      </w:r>
      <w:r w:rsidRPr="00E12965">
        <w:rPr>
          <w:i/>
        </w:rPr>
        <w:t>Gene Technology Act 2000</w:t>
      </w:r>
      <w:r w:rsidRPr="00E12965">
        <w:t xml:space="preserve"> (the Act) to provide scientific and technical advice to the Gene Technology Regulator (the Regulator) and the Gene Technology Ministers’ Meeting. </w:t>
      </w:r>
    </w:p>
    <w:p w14:paraId="265BF5B0" w14:textId="78C948D7" w:rsidR="00C315BD" w:rsidRPr="00E12965" w:rsidRDefault="00C315BD" w:rsidP="00C315BD">
      <w:pPr>
        <w:pStyle w:val="BodyText"/>
      </w:pPr>
      <w:r w:rsidRPr="00E12965">
        <w:t xml:space="preserve">The Regulator seeks advice from GTTAC on licence applications to work with Genetically Modified Organisms (GMOs) and on Risk Assessment and Risk Management Plans (RARMPs) prepared for applications. The purpose of this Communiqué is to provide a brief overview of GTTAC’s consideration of applications and RARMPs and, in accordance with the Gene Technology Regulations 2001, to publish committee resolutions given to the Regulator. The Communiqué also provides an overview of any other deliberations of the committee. It does not include information </w:t>
      </w:r>
      <w:r w:rsidR="00067232">
        <w:t>that</w:t>
      </w:r>
      <w:r w:rsidRPr="00E12965">
        <w:t xml:space="preserve"> is treated as Confidential Commercial Information in accordance with the Act.</w:t>
      </w:r>
    </w:p>
    <w:p w14:paraId="30ED1877" w14:textId="77777777" w:rsidR="00C315BD" w:rsidRPr="00C315BD" w:rsidRDefault="00C315BD" w:rsidP="00C315BD">
      <w:pPr>
        <w:pStyle w:val="CmqHeading1"/>
      </w:pPr>
      <w:r w:rsidRPr="00C315BD">
        <w:t>Dealings Involving the Intentional Release of a GMO</w:t>
      </w:r>
    </w:p>
    <w:p w14:paraId="12D04834" w14:textId="77777777" w:rsidR="00C315BD" w:rsidRPr="00857464" w:rsidRDefault="00C315BD" w:rsidP="00C315BD">
      <w:pPr>
        <w:pStyle w:val="BodyText"/>
      </w:pPr>
      <w:r w:rsidRPr="00857464">
        <w:t>Dealings involving the Intentional Release (DIR) of a GMO into the environment can involve a limited and controlled release (clinical trial or field trial) or a commercial (general) release.</w:t>
      </w:r>
    </w:p>
    <w:p w14:paraId="5B6EA47E" w14:textId="77777777" w:rsidR="00C315BD" w:rsidRPr="007F3778" w:rsidRDefault="00C315BD" w:rsidP="00C315BD">
      <w:pPr>
        <w:pStyle w:val="BodyText"/>
      </w:pPr>
      <w:r w:rsidRPr="007F3778">
        <w:t>For commercial releases, the Regulator must seek GTTAC advice twice. The first consultation is on matters to consider when preparing the RARMP and the second is on the RARMP itself. For limited and controlled releases, the Regulator must seek GTTAC advice only once on the RARMP.</w:t>
      </w:r>
    </w:p>
    <w:p w14:paraId="3EA9590E" w14:textId="77777777" w:rsidR="00C315BD" w:rsidRDefault="00C315BD" w:rsidP="00C315BD">
      <w:pPr>
        <w:pStyle w:val="BodyText"/>
      </w:pPr>
      <w:r w:rsidRPr="00857464">
        <w:t>The RARMP for every DIR licence application is issued for public consultation.</w:t>
      </w:r>
    </w:p>
    <w:p w14:paraId="13C7C80D" w14:textId="58B276E0" w:rsidR="00C315BD" w:rsidRPr="005B26D0" w:rsidRDefault="00C315BD" w:rsidP="00C315BD">
      <w:pPr>
        <w:pStyle w:val="Cmqheading2"/>
      </w:pPr>
      <w:r w:rsidRPr="005B26D0">
        <w:t xml:space="preserve">Advice on applications – </w:t>
      </w:r>
      <w:r>
        <w:t>Commercial</w:t>
      </w:r>
      <w:r w:rsidRPr="005B26D0">
        <w:t xml:space="preserve"> release</w:t>
      </w:r>
    </w:p>
    <w:p w14:paraId="64EAEF05" w14:textId="2B747344" w:rsidR="00A13D69" w:rsidRDefault="009A73C3" w:rsidP="009A73C3">
      <w:hyperlink r:id="rId7" w:history="1">
        <w:r w:rsidRPr="00C54CAC">
          <w:rPr>
            <w:rStyle w:val="Hyperlink"/>
            <w:rFonts w:ascii="Arial" w:hAnsi="Arial" w:cs="Arial"/>
            <w:b/>
            <w:bCs/>
          </w:rPr>
          <w:t>DIR-218</w:t>
        </w:r>
      </w:hyperlink>
      <w:r w:rsidRPr="009A73C3">
        <w:rPr>
          <w:rFonts w:ascii="Arial" w:hAnsi="Arial" w:cs="Arial"/>
          <w:b/>
          <w:bCs/>
        </w:rPr>
        <w:t xml:space="preserve"> Application – Commercial release of tomato genetically modified for purple fruit </w:t>
      </w:r>
      <w:r w:rsidR="00C54CAC">
        <w:rPr>
          <w:rFonts w:ascii="Arial" w:hAnsi="Arial" w:cs="Arial"/>
          <w:b/>
          <w:bCs/>
        </w:rPr>
        <w:t>colo</w:t>
      </w:r>
      <w:r w:rsidR="00377DF4">
        <w:rPr>
          <w:rFonts w:ascii="Arial" w:hAnsi="Arial" w:cs="Arial"/>
          <w:b/>
          <w:bCs/>
        </w:rPr>
        <w:t xml:space="preserve">ur </w:t>
      </w:r>
      <w:r w:rsidR="00A13D69">
        <w:tab/>
      </w:r>
    </w:p>
    <w:p w14:paraId="0DE24288" w14:textId="334837B6" w:rsidR="00D21F10" w:rsidRDefault="00C315BD" w:rsidP="00D21F10">
      <w:pPr>
        <w:pStyle w:val="BodyText"/>
      </w:pPr>
      <w:r w:rsidRPr="00C10B19">
        <w:t>Licence application DIR</w:t>
      </w:r>
      <w:r w:rsidR="00C43D21">
        <w:t>-</w:t>
      </w:r>
      <w:r w:rsidRPr="00C10B19">
        <w:t>2</w:t>
      </w:r>
      <w:r w:rsidR="00377DF4">
        <w:t>18</w:t>
      </w:r>
      <w:r w:rsidRPr="00C10B19">
        <w:t xml:space="preserve"> from </w:t>
      </w:r>
      <w:r w:rsidR="00EA67FE" w:rsidRPr="00EA67FE">
        <w:t xml:space="preserve">All Aussie Avocados Pty Ltd </w:t>
      </w:r>
      <w:r w:rsidRPr="00C10B19">
        <w:t>is</w:t>
      </w:r>
      <w:r w:rsidR="008B4E7E" w:rsidRPr="008B4E7E">
        <w:t xml:space="preserve"> </w:t>
      </w:r>
      <w:r w:rsidR="00144DB8">
        <w:t>for</w:t>
      </w:r>
      <w:r w:rsidR="008B4E7E">
        <w:t xml:space="preserve"> </w:t>
      </w:r>
      <w:r w:rsidR="00C43D21">
        <w:t xml:space="preserve">the </w:t>
      </w:r>
      <w:r w:rsidR="008B4E7E">
        <w:t xml:space="preserve">commercial release of a </w:t>
      </w:r>
      <w:r w:rsidR="00576FB7">
        <w:t xml:space="preserve">tomato genetically modified for </w:t>
      </w:r>
      <w:r w:rsidR="006F7C37">
        <w:t>purple fruit colour</w:t>
      </w:r>
      <w:r w:rsidR="002F093B">
        <w:t xml:space="preserve">. </w:t>
      </w:r>
    </w:p>
    <w:p w14:paraId="24E0905F" w14:textId="3FE96839" w:rsidR="00C315BD" w:rsidRPr="00C10B19" w:rsidRDefault="00226419" w:rsidP="00C315BD">
      <w:pPr>
        <w:pStyle w:val="BodyText"/>
      </w:pPr>
      <w:r>
        <w:t xml:space="preserve">GTTAC provided advice on the </w:t>
      </w:r>
      <w:r w:rsidRPr="00226419">
        <w:t>preparation of the consultation RARMP</w:t>
      </w:r>
      <w:r>
        <w:t>, where the following have been identified as key issues:</w:t>
      </w:r>
    </w:p>
    <w:p w14:paraId="77D87898" w14:textId="0736DCA8" w:rsidR="008840C8" w:rsidRDefault="008840C8" w:rsidP="008840C8">
      <w:pPr>
        <w:pStyle w:val="BodyText"/>
        <w:numPr>
          <w:ilvl w:val="0"/>
          <w:numId w:val="5"/>
        </w:numPr>
      </w:pPr>
      <w:r>
        <w:t>the potential for the GM tomato to be harmful to the environment</w:t>
      </w:r>
    </w:p>
    <w:p w14:paraId="469769D6" w14:textId="677BB38F" w:rsidR="008840C8" w:rsidRDefault="008840C8" w:rsidP="008840C8">
      <w:pPr>
        <w:pStyle w:val="BodyText"/>
        <w:numPr>
          <w:ilvl w:val="0"/>
          <w:numId w:val="5"/>
        </w:numPr>
      </w:pPr>
      <w:r>
        <w:t>the potential for the GM tomato to be harmful to people through toxicity or allergenicity</w:t>
      </w:r>
    </w:p>
    <w:p w14:paraId="39C41215" w14:textId="2EF37B99" w:rsidR="008840C8" w:rsidRDefault="008840C8" w:rsidP="008840C8">
      <w:pPr>
        <w:pStyle w:val="BodyText"/>
        <w:numPr>
          <w:ilvl w:val="0"/>
          <w:numId w:val="5"/>
        </w:numPr>
      </w:pPr>
      <w:r>
        <w:t>the potential for the GM tomato to be harmful to other organisms through toxicity</w:t>
      </w:r>
    </w:p>
    <w:p w14:paraId="31F67337" w14:textId="27ACE0EC" w:rsidR="008840C8" w:rsidRDefault="008840C8" w:rsidP="008840C8">
      <w:pPr>
        <w:pStyle w:val="BodyText"/>
        <w:numPr>
          <w:ilvl w:val="0"/>
          <w:numId w:val="5"/>
        </w:numPr>
      </w:pPr>
      <w:r>
        <w:t>the potential for harm to result from gene flow to other tomatoes</w:t>
      </w:r>
    </w:p>
    <w:p w14:paraId="0CBB3A92" w14:textId="5231E4ED" w:rsidR="008840C8" w:rsidRDefault="008840C8" w:rsidP="008840C8">
      <w:pPr>
        <w:pStyle w:val="BodyText"/>
        <w:numPr>
          <w:ilvl w:val="0"/>
          <w:numId w:val="5"/>
        </w:numPr>
      </w:pPr>
      <w:r>
        <w:lastRenderedPageBreak/>
        <w:t>whether commercial release is likely to result in changes to agricultural practices that may have an</w:t>
      </w:r>
      <w:r w:rsidR="00AB40A9">
        <w:t xml:space="preserve"> </w:t>
      </w:r>
      <w:r>
        <w:t>environmental impact.</w:t>
      </w:r>
    </w:p>
    <w:p w14:paraId="05C29EBA" w14:textId="77777777" w:rsidR="008840C8" w:rsidRDefault="008840C8" w:rsidP="00AB40A9">
      <w:pPr>
        <w:pStyle w:val="BodyText"/>
      </w:pPr>
      <w:r>
        <w:t>The Regulator is seeking advice on:</w:t>
      </w:r>
    </w:p>
    <w:p w14:paraId="1479B9E3" w14:textId="43638058" w:rsidR="008840C8" w:rsidRDefault="008840C8" w:rsidP="008840C8">
      <w:pPr>
        <w:pStyle w:val="BodyText"/>
        <w:numPr>
          <w:ilvl w:val="0"/>
          <w:numId w:val="5"/>
        </w:numPr>
      </w:pPr>
      <w:r>
        <w:t>whether the committee agrees that these issues should be considered when preparing the RARMP</w:t>
      </w:r>
      <w:r w:rsidR="00AB40A9">
        <w:t xml:space="preserve"> </w:t>
      </w:r>
      <w:r>
        <w:t>and</w:t>
      </w:r>
    </w:p>
    <w:p w14:paraId="4D2E2426" w14:textId="2D775451" w:rsidR="008840C8" w:rsidRDefault="008840C8" w:rsidP="008840C8">
      <w:pPr>
        <w:pStyle w:val="BodyText"/>
        <w:numPr>
          <w:ilvl w:val="0"/>
          <w:numId w:val="5"/>
        </w:numPr>
      </w:pPr>
      <w:r>
        <w:t>any other issues that should be considered in the preparation of the RARMP for this application.</w:t>
      </w:r>
    </w:p>
    <w:p w14:paraId="4453E061" w14:textId="2F7F8F68" w:rsidR="00F377B1" w:rsidRDefault="00F377B1" w:rsidP="00F377B1">
      <w:pPr>
        <w:pStyle w:val="BodyText"/>
      </w:pPr>
      <w:r>
        <w:t>GTTAC considered</w:t>
      </w:r>
      <w:r w:rsidR="002C578B">
        <w:t xml:space="preserve"> potential </w:t>
      </w:r>
      <w:r>
        <w:t xml:space="preserve">horizontal gene transfer (HGT) of antibiotic resistance genes </w:t>
      </w:r>
      <w:r w:rsidR="00B339BE">
        <w:t>from</w:t>
      </w:r>
      <w:r>
        <w:t xml:space="preserve"> the GMO </w:t>
      </w:r>
      <w:r w:rsidR="002C578B">
        <w:t xml:space="preserve">to </w:t>
      </w:r>
      <w:r>
        <w:t>human gut microbiome or the environment</w:t>
      </w:r>
      <w:r w:rsidR="00B158F8">
        <w:t xml:space="preserve">, noting that </w:t>
      </w:r>
      <w:r>
        <w:t xml:space="preserve">the genes and expressed proteins would likely be degraded in the human digestive system. </w:t>
      </w:r>
      <w:r w:rsidR="009A48F5">
        <w:t xml:space="preserve">The </w:t>
      </w:r>
      <w:r w:rsidR="00374A8F">
        <w:t>committee</w:t>
      </w:r>
      <w:r w:rsidR="00633EE0">
        <w:t xml:space="preserve"> discussed </w:t>
      </w:r>
      <w:r>
        <w:t xml:space="preserve">the potential </w:t>
      </w:r>
      <w:r w:rsidR="00633EE0">
        <w:t>scope</w:t>
      </w:r>
      <w:r>
        <w:t xml:space="preserve"> and use of the GMO </w:t>
      </w:r>
      <w:r w:rsidR="003C5E76">
        <w:t>commercially</w:t>
      </w:r>
      <w:r w:rsidR="00930897">
        <w:t xml:space="preserve">. GTTAC </w:t>
      </w:r>
      <w:r>
        <w:t xml:space="preserve">considered </w:t>
      </w:r>
      <w:r w:rsidR="005F38B5">
        <w:t>that any information on HGT of antibiotic resistance genes</w:t>
      </w:r>
      <w:r w:rsidR="00CF2AFB">
        <w:t xml:space="preserve"> from</w:t>
      </w:r>
      <w:r w:rsidR="00F8072F">
        <w:t xml:space="preserve"> overseas trials</w:t>
      </w:r>
      <w:r w:rsidR="00D85FAC">
        <w:t xml:space="preserve"> and approvals of the GMO </w:t>
      </w:r>
      <w:r w:rsidR="005F38B5">
        <w:t>may be informative for assessment of this application</w:t>
      </w:r>
      <w:r w:rsidR="009A48F5">
        <w:t>.</w:t>
      </w:r>
      <w:r w:rsidR="005F38B5">
        <w:t xml:space="preserve"> </w:t>
      </w:r>
    </w:p>
    <w:p w14:paraId="0C12ABB6" w14:textId="26FBCDDB" w:rsidR="00F377B1" w:rsidRPr="00716AF0" w:rsidRDefault="00F377B1" w:rsidP="00285D78">
      <w:pPr>
        <w:pStyle w:val="BodyText"/>
      </w:pPr>
      <w:r>
        <w:t xml:space="preserve">GTTAC </w:t>
      </w:r>
      <w:r w:rsidR="000C32D5">
        <w:t xml:space="preserve">discussed potential for off-target </w:t>
      </w:r>
      <w:r>
        <w:t>gene expression in the GMO, leading to increased toxicity or allergenicity (e.g. toxic alkaloids)</w:t>
      </w:r>
      <w:r w:rsidR="00463DDF">
        <w:t>. The committee</w:t>
      </w:r>
      <w:r w:rsidR="000C32D5">
        <w:t xml:space="preserve"> </w:t>
      </w:r>
      <w:r w:rsidR="00F06881">
        <w:t>c</w:t>
      </w:r>
      <w:r>
        <w:t>onsidered</w:t>
      </w:r>
      <w:r w:rsidR="00F06881">
        <w:t xml:space="preserve"> that</w:t>
      </w:r>
      <w:r>
        <w:t xml:space="preserve"> it may be useful </w:t>
      </w:r>
      <w:r w:rsidR="000A20ED">
        <w:t>to obtain more information on</w:t>
      </w:r>
      <w:r w:rsidR="00463DDF">
        <w:t xml:space="preserve"> any</w:t>
      </w:r>
      <w:r>
        <w:t xml:space="preserve"> upregulated genes/proteins in the GMO which may lead to increased levels of antinutritional compounds.</w:t>
      </w:r>
    </w:p>
    <w:tbl>
      <w:tblPr>
        <w:tblStyle w:val="TableGrid"/>
        <w:tblW w:w="0" w:type="auto"/>
        <w:tblLook w:val="04A0" w:firstRow="1" w:lastRow="0" w:firstColumn="1" w:lastColumn="0" w:noHBand="0" w:noVBand="1"/>
      </w:tblPr>
      <w:tblGrid>
        <w:gridCol w:w="9628"/>
      </w:tblGrid>
      <w:tr w:rsidR="00C315BD" w:rsidRPr="00785DC0" w14:paraId="44DBFD00" w14:textId="77777777" w:rsidTr="00F555CE">
        <w:tc>
          <w:tcPr>
            <w:tcW w:w="9628" w:type="dxa"/>
          </w:tcPr>
          <w:p w14:paraId="34926755" w14:textId="77777777" w:rsidR="00C315BD" w:rsidRPr="00C10B19" w:rsidRDefault="00C315BD" w:rsidP="00F555CE">
            <w:pPr>
              <w:pStyle w:val="BodyText"/>
              <w:keepNext/>
              <w:rPr>
                <w:b/>
                <w:bCs/>
              </w:rPr>
            </w:pPr>
            <w:r w:rsidRPr="00C10B19">
              <w:rPr>
                <w:b/>
                <w:bCs/>
              </w:rPr>
              <w:t>Resolutions</w:t>
            </w:r>
          </w:p>
          <w:p w14:paraId="7B471266" w14:textId="77777777" w:rsidR="007A5092" w:rsidRPr="007A5092" w:rsidRDefault="007A5092" w:rsidP="00875219">
            <w:pPr>
              <w:numPr>
                <w:ilvl w:val="0"/>
                <w:numId w:val="1"/>
              </w:numPr>
              <w:spacing w:before="120" w:after="120" w:line="240" w:lineRule="auto"/>
              <w:ind w:left="697" w:hanging="357"/>
              <w:rPr>
                <w:rFonts w:ascii="Arial" w:hAnsi="Arial" w:cs="Arial"/>
              </w:rPr>
            </w:pPr>
            <w:r w:rsidRPr="007A5092">
              <w:rPr>
                <w:rFonts w:ascii="Arial" w:hAnsi="Arial" w:cs="Arial"/>
              </w:rPr>
              <w:t xml:space="preserve">The committee agrees that the following should be included in the RARMP: </w:t>
            </w:r>
          </w:p>
          <w:p w14:paraId="7099D487" w14:textId="77777777" w:rsidR="007A5092" w:rsidRPr="00A652FF" w:rsidRDefault="007A5092" w:rsidP="00A652FF">
            <w:pPr>
              <w:pStyle w:val="ListParagraph"/>
              <w:numPr>
                <w:ilvl w:val="0"/>
                <w:numId w:val="11"/>
              </w:numPr>
              <w:spacing w:before="120" w:after="120" w:line="240" w:lineRule="auto"/>
              <w:rPr>
                <w:rFonts w:ascii="Arial" w:hAnsi="Arial" w:cs="Arial"/>
              </w:rPr>
            </w:pPr>
            <w:r w:rsidRPr="00A652FF">
              <w:rPr>
                <w:rFonts w:ascii="Arial" w:hAnsi="Arial" w:cs="Arial"/>
              </w:rPr>
              <w:t>the potential for the GM tomato to be harmful to the environment</w:t>
            </w:r>
          </w:p>
          <w:p w14:paraId="587B3A73" w14:textId="77777777" w:rsidR="007A5092" w:rsidRPr="00A652FF" w:rsidRDefault="007A5092" w:rsidP="00A652FF">
            <w:pPr>
              <w:pStyle w:val="ListParagraph"/>
              <w:numPr>
                <w:ilvl w:val="0"/>
                <w:numId w:val="11"/>
              </w:numPr>
              <w:spacing w:before="120" w:after="120" w:line="240" w:lineRule="auto"/>
              <w:rPr>
                <w:rFonts w:ascii="Arial" w:hAnsi="Arial" w:cs="Arial"/>
              </w:rPr>
            </w:pPr>
            <w:r w:rsidRPr="00A652FF">
              <w:rPr>
                <w:rFonts w:ascii="Arial" w:hAnsi="Arial" w:cs="Arial"/>
              </w:rPr>
              <w:t>the potential for the GM tomato to be harmful to people through toxicity or allergenicity</w:t>
            </w:r>
          </w:p>
          <w:p w14:paraId="0A7E2DEA" w14:textId="77777777" w:rsidR="007A5092" w:rsidRPr="00A652FF" w:rsidRDefault="007A5092" w:rsidP="00A652FF">
            <w:pPr>
              <w:pStyle w:val="ListParagraph"/>
              <w:numPr>
                <w:ilvl w:val="0"/>
                <w:numId w:val="11"/>
              </w:numPr>
              <w:spacing w:before="120" w:after="120" w:line="240" w:lineRule="auto"/>
              <w:rPr>
                <w:rFonts w:ascii="Arial" w:hAnsi="Arial" w:cs="Arial"/>
              </w:rPr>
            </w:pPr>
            <w:r w:rsidRPr="00A652FF">
              <w:rPr>
                <w:rFonts w:ascii="Arial" w:hAnsi="Arial" w:cs="Arial"/>
              </w:rPr>
              <w:t>the potential for the GM tomato to be harmful to other organisms through toxicity</w:t>
            </w:r>
          </w:p>
          <w:p w14:paraId="25B41F35" w14:textId="77777777" w:rsidR="007A5092" w:rsidRPr="00A652FF" w:rsidRDefault="007A5092" w:rsidP="00A652FF">
            <w:pPr>
              <w:pStyle w:val="ListParagraph"/>
              <w:numPr>
                <w:ilvl w:val="0"/>
                <w:numId w:val="11"/>
              </w:numPr>
              <w:spacing w:before="120" w:after="120" w:line="240" w:lineRule="auto"/>
              <w:rPr>
                <w:rFonts w:ascii="Arial" w:hAnsi="Arial" w:cs="Arial"/>
              </w:rPr>
            </w:pPr>
            <w:r w:rsidRPr="00A652FF">
              <w:rPr>
                <w:rFonts w:ascii="Arial" w:hAnsi="Arial" w:cs="Arial"/>
              </w:rPr>
              <w:t>the potential for harm to result from gene flow to other tomatoes</w:t>
            </w:r>
          </w:p>
          <w:p w14:paraId="0A1E0CBF" w14:textId="77777777" w:rsidR="007A5092" w:rsidRPr="00A652FF" w:rsidRDefault="007A5092" w:rsidP="00A652FF">
            <w:pPr>
              <w:pStyle w:val="ListParagraph"/>
              <w:numPr>
                <w:ilvl w:val="0"/>
                <w:numId w:val="11"/>
              </w:numPr>
              <w:spacing w:before="120" w:after="120" w:line="240" w:lineRule="auto"/>
              <w:rPr>
                <w:rFonts w:ascii="Arial" w:hAnsi="Arial" w:cs="Arial"/>
              </w:rPr>
            </w:pPr>
            <w:r w:rsidRPr="00A652FF">
              <w:rPr>
                <w:rFonts w:ascii="Arial" w:hAnsi="Arial" w:cs="Arial"/>
              </w:rPr>
              <w:t>whether commercial release is likely to result in changes to agricultural practices that may have an environmental impact.</w:t>
            </w:r>
          </w:p>
          <w:p w14:paraId="3DDBC2B8" w14:textId="77777777" w:rsidR="007A5092" w:rsidRPr="007A5092" w:rsidRDefault="007A5092" w:rsidP="00875219">
            <w:pPr>
              <w:numPr>
                <w:ilvl w:val="0"/>
                <w:numId w:val="1"/>
              </w:numPr>
              <w:spacing w:before="120" w:after="120" w:line="240" w:lineRule="auto"/>
              <w:ind w:left="697" w:hanging="357"/>
              <w:rPr>
                <w:rFonts w:ascii="Arial" w:hAnsi="Arial" w:cs="Arial"/>
              </w:rPr>
            </w:pPr>
            <w:bookmarkStart w:id="1" w:name="_Hlk204177332"/>
            <w:r w:rsidRPr="007A5092">
              <w:rPr>
                <w:rFonts w:ascii="Arial" w:hAnsi="Arial" w:cs="Arial"/>
              </w:rPr>
              <w:t xml:space="preserve">The committee advised that the Regulator should further </w:t>
            </w:r>
            <w:bookmarkStart w:id="2" w:name="_Hlk198216594"/>
            <w:r w:rsidRPr="007A5092">
              <w:rPr>
                <w:rFonts w:ascii="Arial" w:hAnsi="Arial" w:cs="Arial"/>
              </w:rPr>
              <w:t>consider the potential risks associated with horizontal gene transfer to the human gut microbiome from widespread consumption.</w:t>
            </w:r>
            <w:bookmarkEnd w:id="2"/>
          </w:p>
          <w:p w14:paraId="32C9E3B0" w14:textId="77777777" w:rsidR="007A5092" w:rsidRPr="007A5092" w:rsidRDefault="007A5092" w:rsidP="00875219">
            <w:pPr>
              <w:numPr>
                <w:ilvl w:val="0"/>
                <w:numId w:val="1"/>
              </w:numPr>
              <w:spacing w:before="120" w:after="120" w:line="240" w:lineRule="auto"/>
              <w:ind w:left="697" w:hanging="357"/>
              <w:rPr>
                <w:rFonts w:ascii="Arial" w:hAnsi="Arial" w:cs="Arial"/>
              </w:rPr>
            </w:pPr>
            <w:r w:rsidRPr="007A5092">
              <w:rPr>
                <w:rFonts w:ascii="Arial" w:hAnsi="Arial" w:cs="Arial"/>
              </w:rPr>
              <w:t>The committee advised that the Regulator should further consider the potential risks to consumers from the off-target production of other compounds including toxic alkaloids.</w:t>
            </w:r>
          </w:p>
          <w:p w14:paraId="06309E6C" w14:textId="77777777" w:rsidR="007A5092" w:rsidRPr="007A5092" w:rsidRDefault="007A5092" w:rsidP="00875219">
            <w:pPr>
              <w:numPr>
                <w:ilvl w:val="0"/>
                <w:numId w:val="1"/>
              </w:numPr>
              <w:spacing w:before="120" w:after="120" w:line="240" w:lineRule="auto"/>
              <w:ind w:left="697" w:hanging="357"/>
              <w:rPr>
                <w:rFonts w:ascii="Arial" w:hAnsi="Arial" w:cs="Arial"/>
              </w:rPr>
            </w:pPr>
            <w:r w:rsidRPr="007A5092">
              <w:rPr>
                <w:rFonts w:ascii="Arial" w:hAnsi="Arial" w:cs="Arial"/>
              </w:rPr>
              <w:t>The committee advised that the Regulator should seek more information related to tomato allergens in the GMO.</w:t>
            </w:r>
          </w:p>
          <w:p w14:paraId="1EABEE26" w14:textId="562D501A" w:rsidR="00C315BD" w:rsidRPr="007A5092" w:rsidRDefault="007A5092" w:rsidP="00875219">
            <w:pPr>
              <w:numPr>
                <w:ilvl w:val="0"/>
                <w:numId w:val="1"/>
              </w:numPr>
              <w:spacing w:before="120" w:after="120" w:line="240" w:lineRule="auto"/>
              <w:ind w:left="697" w:hanging="357"/>
              <w:rPr>
                <w:rFonts w:ascii="Calibri" w:hAnsi="Calibri" w:cs="Calibri"/>
              </w:rPr>
            </w:pPr>
            <w:r w:rsidRPr="007A5092">
              <w:rPr>
                <w:rFonts w:ascii="Arial" w:hAnsi="Arial" w:cs="Arial"/>
              </w:rPr>
              <w:t xml:space="preserve">The committee advised that the Regulator should seek more information related to the </w:t>
            </w:r>
            <w:proofErr w:type="gramStart"/>
            <w:r w:rsidRPr="007A5092">
              <w:rPr>
                <w:rFonts w:ascii="Arial" w:hAnsi="Arial" w:cs="Arial"/>
              </w:rPr>
              <w:t>up-regulation</w:t>
            </w:r>
            <w:proofErr w:type="gramEnd"/>
            <w:r w:rsidRPr="007A5092">
              <w:rPr>
                <w:rFonts w:ascii="Arial" w:hAnsi="Arial" w:cs="Arial"/>
              </w:rPr>
              <w:t xml:space="preserve"> of other genes in the GMO.</w:t>
            </w:r>
            <w:bookmarkEnd w:id="1"/>
          </w:p>
        </w:tc>
      </w:tr>
    </w:tbl>
    <w:p w14:paraId="57D50E3F" w14:textId="1D030619" w:rsidR="00C315BD" w:rsidRDefault="00C315BD" w:rsidP="00C315BD">
      <w:pPr>
        <w:pStyle w:val="Cmqheading2"/>
      </w:pPr>
      <w:r w:rsidRPr="005B26D0">
        <w:t xml:space="preserve">Advice on </w:t>
      </w:r>
      <w:r w:rsidR="005A5761">
        <w:t>consultation rarmps</w:t>
      </w:r>
      <w:r w:rsidR="005A5761" w:rsidRPr="005B26D0">
        <w:t xml:space="preserve"> </w:t>
      </w:r>
      <w:r w:rsidRPr="005B26D0">
        <w:t xml:space="preserve">– </w:t>
      </w:r>
      <w:r>
        <w:t>limited and controlled</w:t>
      </w:r>
      <w:r w:rsidRPr="005B26D0">
        <w:t xml:space="preserve"> release</w:t>
      </w:r>
    </w:p>
    <w:p w14:paraId="330FD099" w14:textId="1B0EF3FD" w:rsidR="00C315BD" w:rsidRDefault="00140809" w:rsidP="00C315BD">
      <w:pPr>
        <w:pStyle w:val="BodyText"/>
        <w:rPr>
          <w:rFonts w:eastAsiaTheme="majorEastAsia"/>
          <w:b/>
        </w:rPr>
      </w:pPr>
      <w:hyperlink r:id="rId8" w:history="1">
        <w:r w:rsidRPr="00D7329F">
          <w:rPr>
            <w:rStyle w:val="Hyperlink"/>
            <w:rFonts w:eastAsiaTheme="majorEastAsia"/>
            <w:b/>
          </w:rPr>
          <w:t>DIR-212</w:t>
        </w:r>
      </w:hyperlink>
      <w:r w:rsidRPr="00140809">
        <w:rPr>
          <w:rFonts w:eastAsiaTheme="majorEastAsia"/>
          <w:b/>
        </w:rPr>
        <w:t xml:space="preserve"> RARMP – Limited and controlled release of canola genetically modified for increased photosynthesis and photorespiration (The University of Adelaide)</w:t>
      </w:r>
    </w:p>
    <w:p w14:paraId="2539EBEB" w14:textId="559A7AA0" w:rsidR="00CB3BB7" w:rsidRDefault="00C315BD" w:rsidP="00C549D5">
      <w:pPr>
        <w:pStyle w:val="BodyText"/>
      </w:pPr>
      <w:r w:rsidRPr="00C10B19">
        <w:t>Licence application DIR</w:t>
      </w:r>
      <w:r w:rsidR="00526CF2">
        <w:t>-</w:t>
      </w:r>
      <w:r w:rsidRPr="00C10B19">
        <w:t>21</w:t>
      </w:r>
      <w:r w:rsidR="00603143">
        <w:t>2</w:t>
      </w:r>
      <w:r w:rsidRPr="00C10B19">
        <w:t xml:space="preserve"> from </w:t>
      </w:r>
      <w:r w:rsidR="002F4612">
        <w:t>the</w:t>
      </w:r>
      <w:r w:rsidR="002F4612" w:rsidRPr="002F4612">
        <w:t xml:space="preserve"> University of </w:t>
      </w:r>
      <w:r w:rsidR="00603143">
        <w:t>Adelaide</w:t>
      </w:r>
      <w:r w:rsidR="002F4612" w:rsidRPr="002F4612">
        <w:t xml:space="preserve"> </w:t>
      </w:r>
      <w:r w:rsidR="005767C8">
        <w:t>is</w:t>
      </w:r>
      <w:r w:rsidR="004D0912">
        <w:t xml:space="preserve"> a field trial of canola lines genetically modified for increased photosynthesis and photorespiration.</w:t>
      </w:r>
      <w:r w:rsidR="00C549D5" w:rsidRPr="00C549D5">
        <w:t xml:space="preserve"> </w:t>
      </w:r>
      <w:r w:rsidR="00C549D5">
        <w:t>The proposed field trial would take place between April 2025 and January 2030, on one site with a maximum area of 2 hectares per year</w:t>
      </w:r>
      <w:r w:rsidR="003C5E76">
        <w:t>,</w:t>
      </w:r>
      <w:r w:rsidR="00C549D5">
        <w:t xml:space="preserve"> located in Light Regional Council in South Australia.</w:t>
      </w:r>
      <w:r w:rsidR="003C5E76">
        <w:t xml:space="preserve"> </w:t>
      </w:r>
      <w:r w:rsidR="003C5E76" w:rsidRPr="003C5E76">
        <w:t>The purpose of the trial is to evaluate the performance of the GM canola under field conditions.</w:t>
      </w:r>
    </w:p>
    <w:p w14:paraId="083B5540" w14:textId="77777777" w:rsidR="00BF5DCC" w:rsidRDefault="00BF5DCC" w:rsidP="004D0912">
      <w:pPr>
        <w:pStyle w:val="BodyText"/>
      </w:pPr>
    </w:p>
    <w:p w14:paraId="709A0FFB" w14:textId="77777777" w:rsidR="00BF5DCC" w:rsidRDefault="00BF5DCC" w:rsidP="004D0912">
      <w:pPr>
        <w:pStyle w:val="BodyText"/>
      </w:pPr>
    </w:p>
    <w:p w14:paraId="40C6E087" w14:textId="53A26E96" w:rsidR="00C315BD" w:rsidRPr="00C10B19" w:rsidRDefault="001212C7" w:rsidP="001212C7">
      <w:pPr>
        <w:pStyle w:val="BodyText"/>
      </w:pPr>
      <w:r>
        <w:t xml:space="preserve">GTTAC noted the conclusion of the RARMP that risks to the health and safety of people </w:t>
      </w:r>
      <w:r w:rsidR="005A5761">
        <w:t xml:space="preserve">and </w:t>
      </w:r>
      <w:r>
        <w:t xml:space="preserve">the environment from the proposed trial are negligible. </w:t>
      </w:r>
      <w:bookmarkStart w:id="3" w:name="_Hlk199326220"/>
    </w:p>
    <w:bookmarkEnd w:id="3"/>
    <w:p w14:paraId="42CA2E41" w14:textId="587BB48E" w:rsidR="000C741F" w:rsidRDefault="000C741F" w:rsidP="000C741F">
      <w:pPr>
        <w:pStyle w:val="BodyText"/>
      </w:pPr>
      <w:r>
        <w:t xml:space="preserve">GTTAC </w:t>
      </w:r>
      <w:r w:rsidR="00694457">
        <w:t>discussed</w:t>
      </w:r>
      <w:r>
        <w:t xml:space="preserve"> the possibility of overexpression of the Pip1;3 protein affecting pollen hydration </w:t>
      </w:r>
      <w:r w:rsidR="004368BB">
        <w:t>in</w:t>
      </w:r>
      <w:r>
        <w:t xml:space="preserve"> the female parent. </w:t>
      </w:r>
      <w:r w:rsidR="00703AF3">
        <w:t>The committee</w:t>
      </w:r>
      <w:r>
        <w:t xml:space="preserve"> suggested to clarify the evidence that Pip1;3 overexpression is only relevant in the female parent.</w:t>
      </w:r>
    </w:p>
    <w:p w14:paraId="6865B791" w14:textId="1CCA93AA" w:rsidR="001F7C6D" w:rsidRPr="00C10B19" w:rsidRDefault="000C741F" w:rsidP="000C741F">
      <w:pPr>
        <w:pStyle w:val="BodyText"/>
        <w:rPr>
          <w:highlight w:val="yellow"/>
        </w:rPr>
      </w:pPr>
      <w:r>
        <w:t xml:space="preserve">GTTAC suggested clarifying terminology to separate discussion of </w:t>
      </w:r>
      <w:r w:rsidR="0085624A">
        <w:t xml:space="preserve">seed </w:t>
      </w:r>
      <w:r>
        <w:t>dispersal characteristics and effects on the number and size of seeds.</w:t>
      </w:r>
    </w:p>
    <w:tbl>
      <w:tblPr>
        <w:tblStyle w:val="TableGrid"/>
        <w:tblW w:w="0" w:type="auto"/>
        <w:tblLook w:val="04A0" w:firstRow="1" w:lastRow="0" w:firstColumn="1" w:lastColumn="0" w:noHBand="0" w:noVBand="1"/>
      </w:tblPr>
      <w:tblGrid>
        <w:gridCol w:w="9628"/>
      </w:tblGrid>
      <w:tr w:rsidR="00C315BD" w:rsidRPr="00785DC0" w14:paraId="4871FA6A" w14:textId="77777777" w:rsidTr="00F555CE">
        <w:tc>
          <w:tcPr>
            <w:tcW w:w="9628" w:type="dxa"/>
          </w:tcPr>
          <w:p w14:paraId="7185FA31" w14:textId="77777777" w:rsidR="00C315BD" w:rsidRPr="00C10B19" w:rsidRDefault="00C315BD" w:rsidP="00F555CE">
            <w:pPr>
              <w:pStyle w:val="BodyText"/>
              <w:keepNext/>
              <w:rPr>
                <w:b/>
                <w:bCs/>
              </w:rPr>
            </w:pPr>
            <w:r w:rsidRPr="00C10B19">
              <w:rPr>
                <w:b/>
                <w:bCs/>
              </w:rPr>
              <w:t>Resolutions</w:t>
            </w:r>
          </w:p>
          <w:p w14:paraId="356372AA" w14:textId="77777777" w:rsidR="00E34853" w:rsidRPr="00E34853" w:rsidRDefault="00E34853" w:rsidP="00E34853">
            <w:pPr>
              <w:numPr>
                <w:ilvl w:val="0"/>
                <w:numId w:val="1"/>
              </w:numPr>
              <w:autoSpaceDE w:val="0"/>
              <w:autoSpaceDN w:val="0"/>
              <w:adjustRightInd w:val="0"/>
              <w:spacing w:before="120" w:after="120" w:line="240" w:lineRule="auto"/>
              <w:rPr>
                <w:rFonts w:ascii="Arial" w:eastAsia="Times New Roman" w:hAnsi="Arial" w:cs="Arial"/>
              </w:rPr>
            </w:pPr>
            <w:r w:rsidRPr="00E34853">
              <w:rPr>
                <w:rFonts w:ascii="Arial" w:eastAsia="Times New Roman" w:hAnsi="Arial" w:cs="Arial"/>
              </w:rPr>
              <w:t>The committee agrees that the risk assessment identifies all plausible risk scenarios by which the proposed release could give rise to risks relating to the health and safety of people or the environment.</w:t>
            </w:r>
          </w:p>
          <w:p w14:paraId="4332BB46" w14:textId="77777777" w:rsidR="00E34853" w:rsidRPr="00E34853" w:rsidRDefault="00E34853" w:rsidP="00E34853">
            <w:pPr>
              <w:numPr>
                <w:ilvl w:val="0"/>
                <w:numId w:val="1"/>
              </w:numPr>
              <w:autoSpaceDE w:val="0"/>
              <w:autoSpaceDN w:val="0"/>
              <w:adjustRightInd w:val="0"/>
              <w:spacing w:before="120" w:after="120" w:line="240" w:lineRule="auto"/>
              <w:rPr>
                <w:rFonts w:ascii="Arial" w:eastAsia="Times New Roman" w:hAnsi="Arial" w:cs="Arial"/>
              </w:rPr>
            </w:pPr>
            <w:r w:rsidRPr="00E34853">
              <w:rPr>
                <w:rFonts w:ascii="Arial" w:eastAsia="Times New Roman" w:hAnsi="Arial" w:cs="Arial"/>
              </w:rPr>
              <w:t>The committee agrees that the limits and controls proposed in the draft licence are appropriate for the field trial.</w:t>
            </w:r>
          </w:p>
          <w:p w14:paraId="0C474C44" w14:textId="77777777" w:rsidR="00E34853" w:rsidRPr="00E34853" w:rsidRDefault="00E34853" w:rsidP="00E34853">
            <w:pPr>
              <w:numPr>
                <w:ilvl w:val="0"/>
                <w:numId w:val="1"/>
              </w:numPr>
              <w:autoSpaceDE w:val="0"/>
              <w:autoSpaceDN w:val="0"/>
              <w:adjustRightInd w:val="0"/>
              <w:spacing w:before="120" w:after="120" w:line="240" w:lineRule="auto"/>
              <w:rPr>
                <w:rFonts w:ascii="Arial" w:eastAsia="Times New Roman" w:hAnsi="Arial" w:cs="Arial"/>
              </w:rPr>
            </w:pPr>
            <w:r w:rsidRPr="00E34853">
              <w:rPr>
                <w:rFonts w:ascii="Arial" w:eastAsia="Times New Roman" w:hAnsi="Arial" w:cs="Arial"/>
              </w:rPr>
              <w:t>The committee agrees with the overall conclusion of the RARMP.</w:t>
            </w:r>
          </w:p>
          <w:p w14:paraId="6CE5D6E5" w14:textId="28345C8F" w:rsidR="00C315BD" w:rsidRPr="00E34853" w:rsidRDefault="00E34853" w:rsidP="00E34853">
            <w:pPr>
              <w:numPr>
                <w:ilvl w:val="0"/>
                <w:numId w:val="1"/>
              </w:numPr>
              <w:autoSpaceDE w:val="0"/>
              <w:autoSpaceDN w:val="0"/>
              <w:adjustRightInd w:val="0"/>
              <w:spacing w:before="120" w:after="120" w:line="240" w:lineRule="auto"/>
              <w:rPr>
                <w:rFonts w:ascii="Arial" w:eastAsia="Times New Roman" w:hAnsi="Arial" w:cs="Arial"/>
              </w:rPr>
            </w:pPr>
            <w:r w:rsidRPr="00E34853">
              <w:rPr>
                <w:rFonts w:ascii="Arial" w:eastAsia="Times New Roman" w:hAnsi="Arial" w:cs="Arial"/>
              </w:rPr>
              <w:t>The committee advises that the Regulator should consider clarifying the degree of hydration with Pip1;3 overexpression in pollen.</w:t>
            </w:r>
          </w:p>
        </w:tc>
      </w:tr>
    </w:tbl>
    <w:p w14:paraId="029C20FF" w14:textId="77777777" w:rsidR="00C315BD" w:rsidRDefault="00C315BD" w:rsidP="00C315BD">
      <w:pPr>
        <w:pStyle w:val="BodyText"/>
        <w:rPr>
          <w:rFonts w:eastAsiaTheme="majorEastAsia"/>
          <w:b/>
        </w:rPr>
      </w:pPr>
    </w:p>
    <w:bookmarkStart w:id="4" w:name="_Hlk201937573"/>
    <w:p w14:paraId="325D091C" w14:textId="777D9849" w:rsidR="00A13D69" w:rsidRDefault="00895547" w:rsidP="00C315BD">
      <w:pPr>
        <w:pStyle w:val="BodyText"/>
        <w:rPr>
          <w:rFonts w:eastAsiaTheme="majorEastAsia"/>
          <w:b/>
        </w:rPr>
      </w:pPr>
      <w:r>
        <w:rPr>
          <w:rFonts w:eastAsiaTheme="majorEastAsia"/>
          <w:b/>
        </w:rPr>
        <w:fldChar w:fldCharType="begin"/>
      </w:r>
      <w:r>
        <w:rPr>
          <w:rFonts w:eastAsiaTheme="majorEastAsia"/>
          <w:b/>
        </w:rPr>
        <w:instrText>HYPERLINK "https://www.ogtr.gov.au/gmo-dealings/dealings-involving-intentional-release/dir-213"</w:instrText>
      </w:r>
      <w:r>
        <w:rPr>
          <w:rFonts w:eastAsiaTheme="majorEastAsia"/>
          <w:b/>
        </w:rPr>
      </w:r>
      <w:r>
        <w:rPr>
          <w:rFonts w:eastAsiaTheme="majorEastAsia"/>
          <w:b/>
        </w:rPr>
        <w:fldChar w:fldCharType="separate"/>
      </w:r>
      <w:r w:rsidR="00AC7DC7" w:rsidRPr="00895547">
        <w:rPr>
          <w:rStyle w:val="Hyperlink"/>
          <w:rFonts w:eastAsiaTheme="majorEastAsia"/>
          <w:b/>
        </w:rPr>
        <w:t>DIR-213</w:t>
      </w:r>
      <w:r>
        <w:rPr>
          <w:rFonts w:eastAsiaTheme="majorEastAsia"/>
          <w:b/>
        </w:rPr>
        <w:fldChar w:fldCharType="end"/>
      </w:r>
      <w:r w:rsidR="00AC7DC7" w:rsidRPr="00AC7DC7">
        <w:rPr>
          <w:rFonts w:eastAsiaTheme="majorEastAsia"/>
          <w:b/>
        </w:rPr>
        <w:t xml:space="preserve"> RARMP – Clinical trial </w:t>
      </w:r>
      <w:bookmarkStart w:id="5" w:name="_Hlk204182689"/>
      <w:r w:rsidR="00AC7DC7" w:rsidRPr="00AC7DC7">
        <w:rPr>
          <w:rFonts w:eastAsiaTheme="majorEastAsia"/>
          <w:b/>
        </w:rPr>
        <w:t>of a genetically modified human adenovirus for the treatment of melanoma</w:t>
      </w:r>
      <w:bookmarkEnd w:id="5"/>
      <w:r w:rsidR="00AC7DC7" w:rsidRPr="00AC7DC7">
        <w:rPr>
          <w:rFonts w:eastAsiaTheme="majorEastAsia"/>
          <w:b/>
        </w:rPr>
        <w:t xml:space="preserve"> (</w:t>
      </w:r>
      <w:proofErr w:type="spellStart"/>
      <w:r w:rsidR="00AC7DC7" w:rsidRPr="00AC7DC7">
        <w:rPr>
          <w:rFonts w:eastAsiaTheme="majorEastAsia"/>
          <w:b/>
        </w:rPr>
        <w:t>Novotech</w:t>
      </w:r>
      <w:proofErr w:type="spellEnd"/>
      <w:r w:rsidR="00AC7DC7" w:rsidRPr="00AC7DC7">
        <w:rPr>
          <w:rFonts w:eastAsiaTheme="majorEastAsia"/>
          <w:b/>
        </w:rPr>
        <w:t xml:space="preserve"> (Australia) Pty Ltd)</w:t>
      </w:r>
    </w:p>
    <w:bookmarkEnd w:id="4"/>
    <w:p w14:paraId="7D90841A" w14:textId="409A5D4C" w:rsidR="00672A50" w:rsidRDefault="00F72B57" w:rsidP="00672A50">
      <w:pPr>
        <w:pStyle w:val="BodyText"/>
      </w:pPr>
      <w:r>
        <w:t>Licence application DIR-213 from</w:t>
      </w:r>
      <w:r w:rsidR="00D327CB">
        <w:t xml:space="preserve"> </w:t>
      </w:r>
      <w:proofErr w:type="spellStart"/>
      <w:r w:rsidR="00D327CB" w:rsidRPr="00D327CB">
        <w:t>Novotech</w:t>
      </w:r>
      <w:proofErr w:type="spellEnd"/>
      <w:r w:rsidR="00D327CB" w:rsidRPr="00D327CB">
        <w:t xml:space="preserve"> (Australia) </w:t>
      </w:r>
      <w:r w:rsidR="00D327CB">
        <w:t xml:space="preserve">is a clinical trial </w:t>
      </w:r>
      <w:r w:rsidR="00E94576" w:rsidRPr="00E94576">
        <w:t>of a genetically modified human adenovirus for the treatment of melanoma</w:t>
      </w:r>
      <w:r w:rsidR="00267081">
        <w:t>.</w:t>
      </w:r>
    </w:p>
    <w:p w14:paraId="62A08B59" w14:textId="74AD7E7D" w:rsidR="005368D8" w:rsidRDefault="005368D8" w:rsidP="005368D8">
      <w:pPr>
        <w:pStyle w:val="BodyText"/>
      </w:pPr>
      <w:r>
        <w:t xml:space="preserve">The proposed trial would assess the safety and efficacy of the GMO in trial participants diagnosed with metastatic melanoma. The applicant proposes to conduct the trial at clinical trial sites and hospitals within Australia. Up to 30 participants would </w:t>
      </w:r>
      <w:r w:rsidR="0065480E">
        <w:t>participate in the trial</w:t>
      </w:r>
      <w:r>
        <w:t>.</w:t>
      </w:r>
    </w:p>
    <w:p w14:paraId="1F4FA0F3" w14:textId="0E9145D4" w:rsidR="00C315BD" w:rsidRDefault="00C315BD" w:rsidP="00515AB8">
      <w:pPr>
        <w:pStyle w:val="BodyText"/>
      </w:pPr>
      <w:r>
        <w:t xml:space="preserve">GTTAC noted the conclusion of the RARMP that the proposed </w:t>
      </w:r>
      <w:r w:rsidR="00CA0E32">
        <w:t>field</w:t>
      </w:r>
      <w:r>
        <w:t xml:space="preserve"> trial poses negligible risks to the health and safety of individuals and the environment </w:t>
      </w:r>
      <w:proofErr w:type="gramStart"/>
      <w:r>
        <w:t>as a result of</w:t>
      </w:r>
      <w:proofErr w:type="gramEnd"/>
      <w:r>
        <w:t xml:space="preserve"> gene technology.</w:t>
      </w:r>
      <w:r w:rsidR="00515AB8" w:rsidRPr="00515AB8">
        <w:t xml:space="preserve"> </w:t>
      </w:r>
      <w:r w:rsidR="00515AB8">
        <w:t>The Committee discussed the following key topics:</w:t>
      </w:r>
    </w:p>
    <w:p w14:paraId="52B9BD8E" w14:textId="2D470B9F" w:rsidR="001B18ED" w:rsidRDefault="001B18ED" w:rsidP="001B18ED">
      <w:pPr>
        <w:pStyle w:val="BodyText"/>
        <w:numPr>
          <w:ilvl w:val="0"/>
          <w:numId w:val="8"/>
        </w:numPr>
        <w:autoSpaceDE w:val="0"/>
        <w:autoSpaceDN w:val="0"/>
        <w:adjustRightInd w:val="0"/>
      </w:pPr>
      <w:r>
        <w:t>the proposed maximum dose</w:t>
      </w:r>
      <w:r w:rsidR="007F47DC">
        <w:t xml:space="preserve"> of the GMO</w:t>
      </w:r>
      <w:r>
        <w:t xml:space="preserve"> and how it compares to similar clinical trials</w:t>
      </w:r>
    </w:p>
    <w:p w14:paraId="3AA9E540" w14:textId="4DEC50D9" w:rsidR="001B18ED" w:rsidRDefault="00E34FCB" w:rsidP="001B18ED">
      <w:pPr>
        <w:pStyle w:val="BodyText"/>
        <w:numPr>
          <w:ilvl w:val="0"/>
          <w:numId w:val="8"/>
        </w:numPr>
        <w:autoSpaceDE w:val="0"/>
        <w:autoSpaceDN w:val="0"/>
        <w:adjustRightInd w:val="0"/>
      </w:pPr>
      <w:r>
        <w:t>the</w:t>
      </w:r>
      <w:r w:rsidR="001A7C8E">
        <w:t xml:space="preserve"> proposed </w:t>
      </w:r>
      <w:r w:rsidR="001B18ED">
        <w:t xml:space="preserve">technique </w:t>
      </w:r>
      <w:r>
        <w:t>for</w:t>
      </w:r>
      <w:r w:rsidR="001B18ED">
        <w:t xml:space="preserve"> </w:t>
      </w:r>
      <w:r>
        <w:t>administering the</w:t>
      </w:r>
      <w:r w:rsidR="001B18ED">
        <w:t xml:space="preserve"> GMO</w:t>
      </w:r>
    </w:p>
    <w:p w14:paraId="22CC9AF9" w14:textId="7DE68273" w:rsidR="001B18ED" w:rsidRDefault="009A595A" w:rsidP="001B18ED">
      <w:pPr>
        <w:pStyle w:val="BodyText"/>
        <w:numPr>
          <w:ilvl w:val="0"/>
          <w:numId w:val="8"/>
        </w:numPr>
        <w:autoSpaceDE w:val="0"/>
        <w:autoSpaceDN w:val="0"/>
        <w:adjustRightInd w:val="0"/>
      </w:pPr>
      <w:r>
        <w:t>the</w:t>
      </w:r>
      <w:r w:rsidR="001B18ED">
        <w:t xml:space="preserve"> specificity of the GMO for tumour cells</w:t>
      </w:r>
    </w:p>
    <w:p w14:paraId="1E620A51" w14:textId="7667A134" w:rsidR="001B18ED" w:rsidRDefault="00526D61" w:rsidP="001B18ED">
      <w:pPr>
        <w:pStyle w:val="BodyText"/>
        <w:numPr>
          <w:ilvl w:val="0"/>
          <w:numId w:val="8"/>
        </w:numPr>
        <w:autoSpaceDE w:val="0"/>
        <w:autoSpaceDN w:val="0"/>
        <w:adjustRightInd w:val="0"/>
      </w:pPr>
      <w:r>
        <w:t xml:space="preserve">consideration around </w:t>
      </w:r>
      <w:r w:rsidR="001B18ED">
        <w:t>overexpression</w:t>
      </w:r>
      <w:r w:rsidR="00D614DA">
        <w:t xml:space="preserve"> of CD40 ligand and association </w:t>
      </w:r>
      <w:r w:rsidR="001B18ED">
        <w:t>with autoimmune diseases and other conditions</w:t>
      </w:r>
    </w:p>
    <w:p w14:paraId="32328052" w14:textId="0C831389" w:rsidR="001B18ED" w:rsidRDefault="001B18ED" w:rsidP="001B18ED">
      <w:pPr>
        <w:pStyle w:val="BodyText"/>
        <w:numPr>
          <w:ilvl w:val="0"/>
          <w:numId w:val="8"/>
        </w:numPr>
        <w:autoSpaceDE w:val="0"/>
        <w:autoSpaceDN w:val="0"/>
        <w:adjustRightInd w:val="0"/>
      </w:pPr>
      <w:r>
        <w:t xml:space="preserve">appropriate precautions </w:t>
      </w:r>
      <w:r w:rsidR="00422089">
        <w:t>and training</w:t>
      </w:r>
      <w:r w:rsidR="00ED31A0">
        <w:t xml:space="preserve"> for clinical staff</w:t>
      </w:r>
      <w:r w:rsidR="00422089">
        <w:t xml:space="preserve"> to reduce </w:t>
      </w:r>
      <w:r w:rsidR="00ED31A0">
        <w:t>the risk of i</w:t>
      </w:r>
      <w:r w:rsidR="00422089">
        <w:t>nadvertent exposure to the GMO</w:t>
      </w:r>
    </w:p>
    <w:p w14:paraId="56719AC9" w14:textId="7ABB549E" w:rsidR="001B18ED" w:rsidRDefault="001B18ED" w:rsidP="001B18ED">
      <w:pPr>
        <w:pStyle w:val="BodyText"/>
        <w:numPr>
          <w:ilvl w:val="0"/>
          <w:numId w:val="8"/>
        </w:numPr>
        <w:autoSpaceDE w:val="0"/>
        <w:autoSpaceDN w:val="0"/>
        <w:adjustRightInd w:val="0"/>
      </w:pPr>
      <w:r>
        <w:t>clarifying</w:t>
      </w:r>
      <w:r w:rsidR="003D48B7">
        <w:t xml:space="preserve"> the</w:t>
      </w:r>
      <w:r>
        <w:t xml:space="preserve"> wording in the licence conditions</w:t>
      </w:r>
      <w:r w:rsidR="005C3DC3">
        <w:t xml:space="preserve"> </w:t>
      </w:r>
      <w:r w:rsidR="00930897">
        <w:t>related to</w:t>
      </w:r>
      <w:r w:rsidR="005C3DC3">
        <w:t xml:space="preserve"> </w:t>
      </w:r>
      <w:r w:rsidR="00733322" w:rsidRPr="00733322">
        <w:t>safe-sex practices</w:t>
      </w:r>
      <w:r w:rsidR="00F61E47">
        <w:t>,</w:t>
      </w:r>
      <w:r w:rsidR="00733322">
        <w:t xml:space="preserve"> </w:t>
      </w:r>
      <w:r w:rsidR="00F61E47">
        <w:t>to reduce the risk of inadvertent exposure to the GMO</w:t>
      </w:r>
    </w:p>
    <w:p w14:paraId="5F4BF86B" w14:textId="24CF944B" w:rsidR="001B18ED" w:rsidRDefault="000323B0" w:rsidP="001B18ED">
      <w:pPr>
        <w:pStyle w:val="BodyText"/>
        <w:numPr>
          <w:ilvl w:val="0"/>
          <w:numId w:val="8"/>
        </w:numPr>
        <w:autoSpaceDE w:val="0"/>
        <w:autoSpaceDN w:val="0"/>
        <w:adjustRightInd w:val="0"/>
      </w:pPr>
      <w:r>
        <w:t>clarification</w:t>
      </w:r>
      <w:r w:rsidR="00F61E47">
        <w:t xml:space="preserve"> </w:t>
      </w:r>
      <w:r w:rsidR="00930897">
        <w:t>regarding</w:t>
      </w:r>
      <w:r w:rsidR="001B18ED">
        <w:t xml:space="preserve"> decontamination procedures </w:t>
      </w:r>
    </w:p>
    <w:p w14:paraId="0239D19F" w14:textId="3F6FC318" w:rsidR="00C315BD" w:rsidRPr="007341FB" w:rsidRDefault="00B56EBF" w:rsidP="001B18ED">
      <w:pPr>
        <w:pStyle w:val="BodyText"/>
        <w:numPr>
          <w:ilvl w:val="0"/>
          <w:numId w:val="8"/>
        </w:numPr>
        <w:autoSpaceDE w:val="0"/>
        <w:autoSpaceDN w:val="0"/>
        <w:adjustRightInd w:val="0"/>
      </w:pPr>
      <w:r>
        <w:t xml:space="preserve">the </w:t>
      </w:r>
      <w:r w:rsidR="00607641">
        <w:t xml:space="preserve">difference in </w:t>
      </w:r>
      <w:r w:rsidR="001B18ED">
        <w:t xml:space="preserve">consequence </w:t>
      </w:r>
      <w:r w:rsidR="00713706">
        <w:t>of</w:t>
      </w:r>
      <w:r>
        <w:t xml:space="preserve"> inadvertent</w:t>
      </w:r>
      <w:r w:rsidR="00713706">
        <w:t xml:space="preserve"> exposure </w:t>
      </w:r>
      <w:r w:rsidR="00607641">
        <w:t xml:space="preserve">for </w:t>
      </w:r>
      <w:r w:rsidR="00F01C62">
        <w:t xml:space="preserve">immunocompromised and </w:t>
      </w:r>
      <w:r w:rsidR="001B18ED">
        <w:t xml:space="preserve">non-immunocompromised </w:t>
      </w:r>
      <w:r w:rsidR="00F01C62">
        <w:t>individuals</w:t>
      </w:r>
      <w:r w:rsidR="001B18ED">
        <w:t xml:space="preserve">. </w:t>
      </w:r>
    </w:p>
    <w:tbl>
      <w:tblPr>
        <w:tblStyle w:val="TableGrid"/>
        <w:tblW w:w="0" w:type="auto"/>
        <w:tblLook w:val="04A0" w:firstRow="1" w:lastRow="0" w:firstColumn="1" w:lastColumn="0" w:noHBand="0" w:noVBand="1"/>
      </w:tblPr>
      <w:tblGrid>
        <w:gridCol w:w="9628"/>
      </w:tblGrid>
      <w:tr w:rsidR="00C315BD" w:rsidRPr="00A40F5B" w14:paraId="135DCCDC" w14:textId="77777777" w:rsidTr="00F555CE">
        <w:trPr>
          <w:trHeight w:val="699"/>
        </w:trPr>
        <w:tc>
          <w:tcPr>
            <w:tcW w:w="9628" w:type="dxa"/>
          </w:tcPr>
          <w:p w14:paraId="7F2B60FA" w14:textId="77777777" w:rsidR="00C315BD" w:rsidRPr="00C10B19" w:rsidRDefault="00C315BD" w:rsidP="00F555CE">
            <w:pPr>
              <w:pStyle w:val="BodyText"/>
              <w:rPr>
                <w:b/>
                <w:bCs/>
              </w:rPr>
            </w:pPr>
            <w:r w:rsidRPr="00C10B19">
              <w:rPr>
                <w:b/>
                <w:bCs/>
              </w:rPr>
              <w:lastRenderedPageBreak/>
              <w:t>Resolutions</w:t>
            </w:r>
          </w:p>
          <w:p w14:paraId="7F2873B4"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agrees that the risk assessment identifies all plausible risk scenarios by which the proposed dealings could potentially give rise to risks relating to the health and safety of people or the environment.</w:t>
            </w:r>
          </w:p>
          <w:p w14:paraId="4DEBC876"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agrees that the limits and controls proposed in the draft licence to prevent the spread of the GMO are appropriate for the trial.</w:t>
            </w:r>
          </w:p>
          <w:p w14:paraId="69762B4F"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agrees with the overall conclusions of the RARMP.</w:t>
            </w:r>
          </w:p>
          <w:p w14:paraId="75686ABC"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consider clarifying the dose, sites of intervention and risks associated with delivery including the fanning technique during application in the RARMP.</w:t>
            </w:r>
          </w:p>
          <w:p w14:paraId="41D3A3DC"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consider clarifying the evidence provided by the applicant regarding the specificity of this adenovirus.</w:t>
            </w:r>
          </w:p>
          <w:p w14:paraId="6F42089C"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consider clarifying the risk potential of autoimmune diseases from the overexpression of CD40L.</w:t>
            </w:r>
          </w:p>
          <w:p w14:paraId="535132C5"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clarify the interpretation related to the exclusion of ‘immunocompromised’ individuals involved in dealing with this GMO.</w:t>
            </w:r>
          </w:p>
          <w:p w14:paraId="6D159132"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consider the risks of processing blood and other biological samples under the licence.</w:t>
            </w:r>
          </w:p>
          <w:p w14:paraId="6F701F00"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clarify the language in the RARMP related to safe-sex practices.</w:t>
            </w:r>
          </w:p>
          <w:p w14:paraId="3B623C4F" w14:textId="77777777" w:rsidR="00ED246B"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The committee advises that the Regulator should clarify the management of spills associated with this GMO.</w:t>
            </w:r>
          </w:p>
          <w:p w14:paraId="24CE2492" w14:textId="2BC145CE" w:rsidR="00C315BD" w:rsidRPr="00ED246B" w:rsidRDefault="00ED246B" w:rsidP="00ED246B">
            <w:pPr>
              <w:numPr>
                <w:ilvl w:val="0"/>
                <w:numId w:val="1"/>
              </w:numPr>
              <w:autoSpaceDE w:val="0"/>
              <w:autoSpaceDN w:val="0"/>
              <w:adjustRightInd w:val="0"/>
              <w:spacing w:before="120" w:after="120" w:line="240" w:lineRule="auto"/>
              <w:rPr>
                <w:rFonts w:ascii="Arial" w:eastAsia="Times New Roman" w:hAnsi="Arial" w:cs="Arial"/>
              </w:rPr>
            </w:pPr>
            <w:r w:rsidRPr="00ED246B">
              <w:rPr>
                <w:rFonts w:ascii="Arial" w:eastAsia="Times New Roman" w:hAnsi="Arial" w:cs="Arial"/>
              </w:rPr>
              <w:t xml:space="preserve">The committee advises that the Regulator should refine the risk level in the RARMP </w:t>
            </w:r>
            <w:proofErr w:type="gramStart"/>
            <w:r w:rsidRPr="00ED246B">
              <w:rPr>
                <w:rFonts w:ascii="Arial" w:eastAsia="Times New Roman" w:hAnsi="Arial" w:cs="Arial"/>
              </w:rPr>
              <w:t>as a result of</w:t>
            </w:r>
            <w:proofErr w:type="gramEnd"/>
            <w:r w:rsidRPr="00ED246B">
              <w:rPr>
                <w:rFonts w:ascii="Arial" w:eastAsia="Times New Roman" w:hAnsi="Arial" w:cs="Arial"/>
              </w:rPr>
              <w:t xml:space="preserve"> systemic exposure to the GMO for different populations. </w:t>
            </w:r>
          </w:p>
        </w:tc>
      </w:tr>
    </w:tbl>
    <w:p w14:paraId="2C9FE815" w14:textId="77777777" w:rsidR="00C315BD" w:rsidRPr="00BA20C7" w:rsidRDefault="00C315BD" w:rsidP="00C315BD">
      <w:pPr>
        <w:pStyle w:val="CmqHeading1"/>
      </w:pPr>
      <w:r w:rsidRPr="00BA20C7">
        <w:t>Enquiries</w:t>
      </w:r>
    </w:p>
    <w:p w14:paraId="0D974B84" w14:textId="77777777" w:rsidR="00C315BD" w:rsidRPr="00E12965" w:rsidRDefault="00C315BD" w:rsidP="00C315BD">
      <w:pPr>
        <w:pStyle w:val="BodyText"/>
      </w:pPr>
      <w:r w:rsidRPr="00E12965">
        <w:t xml:space="preserve">For all enquiries, please call the OGTR on 1800 181 030 or email </w:t>
      </w:r>
      <w:hyperlink r:id="rId9" w:history="1">
        <w:r w:rsidRPr="002E084A">
          <w:rPr>
            <w:rStyle w:val="Hyperlink"/>
          </w:rPr>
          <w:t>ogtr@health.gov.au</w:t>
        </w:r>
      </w:hyperlink>
      <w:r w:rsidRPr="00E12965">
        <w:t>.</w:t>
      </w:r>
    </w:p>
    <w:p w14:paraId="2178C631" w14:textId="77777777" w:rsidR="00280050" w:rsidRDefault="00280050"/>
    <w:sectPr w:rsidR="00280050" w:rsidSect="00C315BD">
      <w:headerReference w:type="even" r:id="rId10"/>
      <w:footerReference w:type="even" r:id="rId11"/>
      <w:footerReference w:type="default" r:id="rId12"/>
      <w:headerReference w:type="first" r:id="rId13"/>
      <w:footerReference w:type="first" r:id="rId14"/>
      <w:pgSz w:w="11906" w:h="16838" w:code="9"/>
      <w:pgMar w:top="1134" w:right="1134"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8533" w14:textId="77777777" w:rsidR="000A7205" w:rsidRDefault="000A7205" w:rsidP="00C315BD">
      <w:pPr>
        <w:spacing w:after="0" w:line="240" w:lineRule="auto"/>
      </w:pPr>
      <w:r>
        <w:separator/>
      </w:r>
    </w:p>
  </w:endnote>
  <w:endnote w:type="continuationSeparator" w:id="0">
    <w:p w14:paraId="0AC2022E" w14:textId="77777777" w:rsidR="000A7205" w:rsidRDefault="000A7205" w:rsidP="00C3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D149" w14:textId="099575AC" w:rsidR="00C315BD" w:rsidRDefault="00BB7E81" w:rsidP="002723BB">
    <w:pPr>
      <w:pStyle w:val="Footer"/>
      <w:framePr w:w="106" w:h="286" w:hRule="exact" w:wrap="around" w:vAnchor="text" w:hAnchor="page" w:x="10651" w:y="3"/>
      <w:rPr>
        <w:rStyle w:val="PageNumber"/>
      </w:rPr>
    </w:pPr>
    <w:r>
      <w:rPr>
        <w:noProof/>
        <w14:ligatures w14:val="standardContextual"/>
      </w:rPr>
      <mc:AlternateContent>
        <mc:Choice Requires="wps">
          <w:drawing>
            <wp:anchor distT="0" distB="0" distL="0" distR="0" simplePos="0" relativeHeight="251664384" behindDoc="0" locked="0" layoutInCell="1" allowOverlap="1" wp14:anchorId="45CFEDB3" wp14:editId="26CCF1CE">
              <wp:simplePos x="635" y="635"/>
              <wp:positionH relativeFrom="page">
                <wp:align>center</wp:align>
              </wp:positionH>
              <wp:positionV relativeFrom="page">
                <wp:align>bottom</wp:align>
              </wp:positionV>
              <wp:extent cx="622300" cy="404495"/>
              <wp:effectExtent l="0" t="0" r="6350" b="0"/>
              <wp:wrapNone/>
              <wp:docPr id="11422686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4BDE84" w14:textId="21A4434C" w:rsidR="00BB7E81" w:rsidRPr="00BB7E81" w:rsidRDefault="00BB7E81" w:rsidP="00BB7E81">
                          <w:pPr>
                            <w:spacing w:after="0"/>
                            <w:rPr>
                              <w:rFonts w:ascii="Aptos" w:eastAsia="Aptos" w:hAnsi="Aptos" w:cs="Aptos"/>
                              <w:noProof/>
                              <w:color w:val="FF0000"/>
                              <w:sz w:val="24"/>
                              <w:szCs w:val="24"/>
                            </w:rPr>
                          </w:pPr>
                          <w:r w:rsidRPr="00BB7E8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FEDB3"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484BDE84" w14:textId="21A4434C" w:rsidR="00BB7E81" w:rsidRPr="00BB7E81" w:rsidRDefault="00BB7E81" w:rsidP="00BB7E81">
                    <w:pPr>
                      <w:spacing w:after="0"/>
                      <w:rPr>
                        <w:rFonts w:ascii="Aptos" w:eastAsia="Aptos" w:hAnsi="Aptos" w:cs="Aptos"/>
                        <w:noProof/>
                        <w:color w:val="FF0000"/>
                        <w:sz w:val="24"/>
                        <w:szCs w:val="24"/>
                      </w:rPr>
                    </w:pPr>
                    <w:r w:rsidRPr="00BB7E81">
                      <w:rPr>
                        <w:rFonts w:ascii="Aptos" w:eastAsia="Aptos" w:hAnsi="Aptos" w:cs="Aptos"/>
                        <w:noProof/>
                        <w:color w:val="FF0000"/>
                        <w:sz w:val="24"/>
                        <w:szCs w:val="24"/>
                      </w:rPr>
                      <w:t>OFFICIAL</w:t>
                    </w:r>
                  </w:p>
                </w:txbxContent>
              </v:textbox>
              <w10:wrap anchorx="page" anchory="page"/>
            </v:shape>
          </w:pict>
        </mc:Fallback>
      </mc:AlternateContent>
    </w:r>
    <w:r w:rsidR="00C315BD">
      <w:rPr>
        <w:rStyle w:val="PageNumber"/>
      </w:rPr>
      <w:fldChar w:fldCharType="begin"/>
    </w:r>
    <w:r w:rsidR="00C315BD">
      <w:rPr>
        <w:rStyle w:val="PageNumber"/>
      </w:rPr>
      <w:instrText xml:space="preserve">PAGE  </w:instrText>
    </w:r>
    <w:r w:rsidR="00C315BD">
      <w:rPr>
        <w:rStyle w:val="PageNumber"/>
      </w:rPr>
      <w:fldChar w:fldCharType="separate"/>
    </w:r>
    <w:r w:rsidR="00C315BD">
      <w:rPr>
        <w:rStyle w:val="PageNumber"/>
        <w:noProof/>
      </w:rPr>
      <w:t>2</w:t>
    </w:r>
    <w:r w:rsidR="00C315BD">
      <w:rPr>
        <w:rStyle w:val="PageNumber"/>
      </w:rPr>
      <w:fldChar w:fldCharType="end"/>
    </w:r>
  </w:p>
  <w:p w14:paraId="1EC19831" w14:textId="77777777" w:rsidR="00C315BD" w:rsidRDefault="00C315BD" w:rsidP="002723BB">
    <w:pPr>
      <w:pStyle w:val="Footer"/>
      <w:spacing w:after="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6BFA" w14:textId="7B281CEF" w:rsidR="00C315BD" w:rsidRPr="006224A0" w:rsidRDefault="00C315BD"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sidR="00F72B57">
      <w:rPr>
        <w:rFonts w:ascii="Arial" w:hAnsi="Arial" w:cs="Arial"/>
        <w:sz w:val="20"/>
        <w:szCs w:val="20"/>
      </w:rPr>
      <w:t>5 May</w:t>
    </w:r>
    <w:r>
      <w:rPr>
        <w:rFonts w:ascii="Arial" w:hAnsi="Arial" w:cs="Arial"/>
        <w:sz w:val="20"/>
        <w:szCs w:val="20"/>
      </w:rPr>
      <w:t xml:space="preserve"> 2025</w:t>
    </w:r>
    <w:r w:rsidRPr="006224A0">
      <w:rPr>
        <w:rFonts w:ascii="Arial" w:hAnsi="Arial" w:cs="Arial"/>
        <w:sz w:val="20"/>
        <w:szCs w:val="20"/>
      </w:rPr>
      <w:tab/>
    </w:r>
    <w:r w:rsidRPr="006224A0">
      <w:rPr>
        <w:rFonts w:ascii="Arial" w:hAnsi="Arial" w:cs="Arial"/>
        <w:sz w:val="20"/>
        <w:szCs w:val="20"/>
      </w:rPr>
      <w:tab/>
      <w:t xml:space="preserve">Page </w:t>
    </w:r>
    <w:sdt>
      <w:sdtPr>
        <w:rPr>
          <w:rFonts w:ascii="Arial" w:hAnsi="Arial" w:cs="Arial"/>
          <w:sz w:val="20"/>
          <w:szCs w:val="20"/>
        </w:rPr>
        <w:id w:val="-52394294"/>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Pr>
            <w:rFonts w:ascii="Arial" w:hAnsi="Arial" w:cs="Arial"/>
            <w:sz w:val="20"/>
            <w:szCs w:val="20"/>
          </w:rPr>
          <w:t>1</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Pr>
            <w:rFonts w:ascii="Arial" w:hAnsi="Arial" w:cs="Arial"/>
            <w:noProof/>
            <w:sz w:val="20"/>
            <w:szCs w:val="20"/>
          </w:rPr>
          <w:t>3</w:t>
        </w:r>
        <w:r w:rsidRPr="006224A0">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F6D3" w14:textId="76429C55" w:rsidR="00C315BD" w:rsidRPr="006224A0" w:rsidRDefault="00C315BD" w:rsidP="006224A0">
    <w:pPr>
      <w:pStyle w:val="Footer"/>
      <w:tabs>
        <w:tab w:val="clear" w:pos="8306"/>
        <w:tab w:val="left" w:pos="8505"/>
      </w:tabs>
      <w:spacing w:after="0"/>
      <w:rPr>
        <w:rFonts w:ascii="Arial" w:hAnsi="Arial" w:cs="Arial"/>
        <w:sz w:val="20"/>
        <w:szCs w:val="20"/>
      </w:rPr>
    </w:pPr>
    <w:r w:rsidRPr="006224A0">
      <w:rPr>
        <w:rFonts w:ascii="Arial" w:hAnsi="Arial" w:cs="Arial"/>
        <w:sz w:val="20"/>
        <w:szCs w:val="20"/>
      </w:rPr>
      <w:t xml:space="preserve">GTTAC Communiqué </w:t>
    </w:r>
    <w:r w:rsidR="00F72B57">
      <w:rPr>
        <w:rFonts w:ascii="Arial" w:hAnsi="Arial" w:cs="Arial"/>
        <w:sz w:val="20"/>
        <w:szCs w:val="20"/>
      </w:rPr>
      <w:t>5 May</w:t>
    </w:r>
    <w:r>
      <w:rPr>
        <w:rFonts w:ascii="Arial" w:hAnsi="Arial" w:cs="Arial"/>
        <w:sz w:val="20"/>
        <w:szCs w:val="20"/>
      </w:rPr>
      <w:t xml:space="preserve"> 2025</w:t>
    </w:r>
    <w:r w:rsidRPr="006224A0">
      <w:rPr>
        <w:rFonts w:ascii="Arial" w:hAnsi="Arial" w:cs="Arial"/>
        <w:sz w:val="20"/>
        <w:szCs w:val="20"/>
      </w:rPr>
      <w:tab/>
    </w:r>
    <w:r w:rsidRPr="006224A0">
      <w:rPr>
        <w:rFonts w:ascii="Arial" w:hAnsi="Arial" w:cs="Arial"/>
        <w:sz w:val="20"/>
        <w:szCs w:val="20"/>
      </w:rPr>
      <w:tab/>
      <w:t xml:space="preserve">Page </w:t>
    </w:r>
    <w:sdt>
      <w:sdtPr>
        <w:rPr>
          <w:rFonts w:ascii="Arial" w:hAnsi="Arial" w:cs="Arial"/>
          <w:sz w:val="20"/>
          <w:szCs w:val="20"/>
        </w:rPr>
        <w:id w:val="1937241287"/>
        <w:docPartObj>
          <w:docPartGallery w:val="Page Numbers (Bottom of Page)"/>
          <w:docPartUnique/>
        </w:docPartObj>
      </w:sdtPr>
      <w:sdtEndPr>
        <w:rPr>
          <w:noProof/>
        </w:rPr>
      </w:sdtEndPr>
      <w:sdtContent>
        <w:r w:rsidRPr="006224A0">
          <w:rPr>
            <w:rFonts w:ascii="Arial" w:hAnsi="Arial" w:cs="Arial"/>
            <w:sz w:val="20"/>
            <w:szCs w:val="20"/>
          </w:rPr>
          <w:fldChar w:fldCharType="begin"/>
        </w:r>
        <w:r w:rsidRPr="006224A0">
          <w:rPr>
            <w:rFonts w:ascii="Arial" w:hAnsi="Arial" w:cs="Arial"/>
            <w:sz w:val="20"/>
            <w:szCs w:val="20"/>
          </w:rPr>
          <w:instrText xml:space="preserve"> PAGE   \* MERGEFORMAT </w:instrText>
        </w:r>
        <w:r w:rsidRPr="006224A0">
          <w:rPr>
            <w:rFonts w:ascii="Arial" w:hAnsi="Arial" w:cs="Arial"/>
            <w:sz w:val="20"/>
            <w:szCs w:val="20"/>
          </w:rPr>
          <w:fldChar w:fldCharType="separate"/>
        </w:r>
        <w:r w:rsidRPr="006224A0">
          <w:rPr>
            <w:rFonts w:ascii="Arial" w:hAnsi="Arial" w:cs="Arial"/>
            <w:noProof/>
            <w:sz w:val="20"/>
            <w:szCs w:val="20"/>
          </w:rPr>
          <w:t>2</w:t>
        </w:r>
        <w:r w:rsidRPr="006224A0">
          <w:rPr>
            <w:rFonts w:ascii="Arial" w:hAnsi="Arial" w:cs="Arial"/>
            <w:noProof/>
            <w:sz w:val="20"/>
            <w:szCs w:val="20"/>
          </w:rPr>
          <w:fldChar w:fldCharType="end"/>
        </w:r>
        <w:r w:rsidRPr="006224A0">
          <w:rPr>
            <w:rFonts w:ascii="Arial" w:hAnsi="Arial" w:cs="Arial"/>
            <w:noProof/>
            <w:sz w:val="20"/>
            <w:szCs w:val="20"/>
          </w:rPr>
          <w:t xml:space="preserve"> of </w:t>
        </w:r>
        <w:r w:rsidRPr="006224A0">
          <w:rPr>
            <w:rFonts w:ascii="Arial" w:hAnsi="Arial" w:cs="Arial"/>
            <w:noProof/>
            <w:sz w:val="20"/>
            <w:szCs w:val="20"/>
          </w:rPr>
          <w:fldChar w:fldCharType="begin"/>
        </w:r>
        <w:r w:rsidRPr="006224A0">
          <w:rPr>
            <w:rFonts w:ascii="Arial" w:hAnsi="Arial" w:cs="Arial"/>
            <w:noProof/>
            <w:sz w:val="20"/>
            <w:szCs w:val="20"/>
          </w:rPr>
          <w:instrText xml:space="preserve"> NUMPAGES   \* MERGEFORMAT </w:instrText>
        </w:r>
        <w:r w:rsidRPr="006224A0">
          <w:rPr>
            <w:rFonts w:ascii="Arial" w:hAnsi="Arial" w:cs="Arial"/>
            <w:noProof/>
            <w:sz w:val="20"/>
            <w:szCs w:val="20"/>
          </w:rPr>
          <w:fldChar w:fldCharType="separate"/>
        </w:r>
        <w:r w:rsidRPr="006224A0">
          <w:rPr>
            <w:rFonts w:ascii="Arial" w:hAnsi="Arial" w:cs="Arial"/>
            <w:noProof/>
            <w:sz w:val="20"/>
            <w:szCs w:val="20"/>
          </w:rPr>
          <w:t>3</w:t>
        </w:r>
        <w:r w:rsidRPr="006224A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F916" w14:textId="77777777" w:rsidR="000A7205" w:rsidRDefault="000A7205" w:rsidP="00C315BD">
      <w:pPr>
        <w:spacing w:after="0" w:line="240" w:lineRule="auto"/>
      </w:pPr>
      <w:r>
        <w:separator/>
      </w:r>
    </w:p>
  </w:footnote>
  <w:footnote w:type="continuationSeparator" w:id="0">
    <w:p w14:paraId="264366B5" w14:textId="77777777" w:rsidR="000A7205" w:rsidRDefault="000A7205" w:rsidP="00C3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1BAD" w14:textId="4364A564" w:rsidR="00BB7E81" w:rsidRDefault="00BB7E81">
    <w:pPr>
      <w:pStyle w:val="Header"/>
    </w:pPr>
    <w:r>
      <w:rPr>
        <w:noProof/>
        <w:snapToGrid/>
        <w14:ligatures w14:val="standardContextual"/>
      </w:rPr>
      <mc:AlternateContent>
        <mc:Choice Requires="wps">
          <w:drawing>
            <wp:anchor distT="0" distB="0" distL="0" distR="0" simplePos="0" relativeHeight="251661312" behindDoc="0" locked="0" layoutInCell="1" allowOverlap="1" wp14:anchorId="0729BF01" wp14:editId="491FBE2C">
              <wp:simplePos x="635" y="635"/>
              <wp:positionH relativeFrom="page">
                <wp:align>center</wp:align>
              </wp:positionH>
              <wp:positionV relativeFrom="page">
                <wp:align>top</wp:align>
              </wp:positionV>
              <wp:extent cx="622300" cy="404495"/>
              <wp:effectExtent l="0" t="0" r="6350" b="14605"/>
              <wp:wrapNone/>
              <wp:docPr id="1663879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8A9156" w14:textId="78F68294" w:rsidR="00BB7E81" w:rsidRPr="00BB7E81" w:rsidRDefault="00BB7E81" w:rsidP="00BB7E81">
                          <w:pPr>
                            <w:spacing w:after="0"/>
                            <w:rPr>
                              <w:rFonts w:ascii="Aptos" w:eastAsia="Aptos" w:hAnsi="Aptos" w:cs="Aptos"/>
                              <w:noProof/>
                              <w:color w:val="FF0000"/>
                              <w:sz w:val="24"/>
                              <w:szCs w:val="24"/>
                            </w:rPr>
                          </w:pPr>
                          <w:r w:rsidRPr="00BB7E8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9BF01"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628A9156" w14:textId="78F68294" w:rsidR="00BB7E81" w:rsidRPr="00BB7E81" w:rsidRDefault="00BB7E81" w:rsidP="00BB7E81">
                    <w:pPr>
                      <w:spacing w:after="0"/>
                      <w:rPr>
                        <w:rFonts w:ascii="Aptos" w:eastAsia="Aptos" w:hAnsi="Aptos" w:cs="Aptos"/>
                        <w:noProof/>
                        <w:color w:val="FF0000"/>
                        <w:sz w:val="24"/>
                        <w:szCs w:val="24"/>
                      </w:rPr>
                    </w:pPr>
                    <w:r w:rsidRPr="00BB7E8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7650" w14:textId="58A6DB9F" w:rsidR="00C315BD" w:rsidRDefault="001B5F11" w:rsidP="00091301">
    <w:pPr>
      <w:pStyle w:val="Header"/>
      <w:tabs>
        <w:tab w:val="clear" w:pos="4153"/>
        <w:tab w:val="clear" w:pos="8306"/>
        <w:tab w:val="left" w:pos="5245"/>
        <w:tab w:val="right" w:pos="9498"/>
      </w:tabs>
      <w:spacing w:after="0"/>
      <w:jc w:val="center"/>
      <w:rPr>
        <w:b/>
        <w:lang w:val="en-AU"/>
      </w:rPr>
    </w:pPr>
    <w:r>
      <w:rPr>
        <w:noProof/>
      </w:rPr>
      <w:drawing>
        <wp:anchor distT="0" distB="0" distL="114300" distR="114300" simplePos="0" relativeHeight="251659264" behindDoc="1" locked="0" layoutInCell="1" allowOverlap="1" wp14:anchorId="326F04E5" wp14:editId="68346A98">
          <wp:simplePos x="0" y="0"/>
          <wp:positionH relativeFrom="margin">
            <wp:align>center</wp:align>
          </wp:positionH>
          <wp:positionV relativeFrom="page">
            <wp:posOffset>313055</wp:posOffset>
          </wp:positionV>
          <wp:extent cx="2361600" cy="1022400"/>
          <wp:effectExtent l="0" t="0" r="635" b="6350"/>
          <wp:wrapTopAndBottom/>
          <wp:docPr id="2" name="Picture 2" descr="Office of the Gene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of the Gene Technolog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06FA"/>
    <w:multiLevelType w:val="hybridMultilevel"/>
    <w:tmpl w:val="C240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A337C"/>
    <w:multiLevelType w:val="hybridMultilevel"/>
    <w:tmpl w:val="F7E6D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27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C2B83"/>
    <w:multiLevelType w:val="hybridMultilevel"/>
    <w:tmpl w:val="0BDC3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97144"/>
    <w:multiLevelType w:val="hybridMultilevel"/>
    <w:tmpl w:val="312E1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A3A81"/>
    <w:multiLevelType w:val="hybridMultilevel"/>
    <w:tmpl w:val="53E0471E"/>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3473606C"/>
    <w:multiLevelType w:val="multilevel"/>
    <w:tmpl w:val="C5561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6263A"/>
    <w:multiLevelType w:val="hybridMultilevel"/>
    <w:tmpl w:val="BA94499C"/>
    <w:lvl w:ilvl="0" w:tplc="0C090003">
      <w:start w:val="1"/>
      <w:numFmt w:val="bullet"/>
      <w:lvlText w:val="o"/>
      <w:lvlJc w:val="left"/>
      <w:pPr>
        <w:ind w:left="1352" w:hanging="360"/>
      </w:pPr>
      <w:rPr>
        <w:rFonts w:ascii="Courier New" w:hAnsi="Courier New" w:cs="Courier New"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7" w15:restartNumberingAfterBreak="0">
    <w:nsid w:val="3B950E9B"/>
    <w:multiLevelType w:val="hybridMultilevel"/>
    <w:tmpl w:val="F5240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D25C9"/>
    <w:multiLevelType w:val="hybridMultilevel"/>
    <w:tmpl w:val="ADC02D0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512326"/>
    <w:multiLevelType w:val="hybridMultilevel"/>
    <w:tmpl w:val="CF08030C"/>
    <w:lvl w:ilvl="0" w:tplc="0C090003">
      <w:start w:val="1"/>
      <w:numFmt w:val="bullet"/>
      <w:lvlText w:val="o"/>
      <w:lvlJc w:val="left"/>
      <w:pPr>
        <w:ind w:left="1352" w:hanging="360"/>
      </w:pPr>
      <w:rPr>
        <w:rFonts w:ascii="Courier New" w:hAnsi="Courier New" w:cs="Courier New"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10" w15:restartNumberingAfterBreak="0">
    <w:nsid w:val="7C580173"/>
    <w:multiLevelType w:val="hybridMultilevel"/>
    <w:tmpl w:val="73C4C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6929471">
    <w:abstractNumId w:val="1"/>
  </w:num>
  <w:num w:numId="2" w16cid:durableId="729693773">
    <w:abstractNumId w:val="6"/>
  </w:num>
  <w:num w:numId="3" w16cid:durableId="768044715">
    <w:abstractNumId w:val="9"/>
  </w:num>
  <w:num w:numId="4" w16cid:durableId="1116221598">
    <w:abstractNumId w:val="8"/>
  </w:num>
  <w:num w:numId="5" w16cid:durableId="1918594719">
    <w:abstractNumId w:val="2"/>
  </w:num>
  <w:num w:numId="6" w16cid:durableId="883255008">
    <w:abstractNumId w:val="10"/>
  </w:num>
  <w:num w:numId="7" w16cid:durableId="1297637100">
    <w:abstractNumId w:val="7"/>
  </w:num>
  <w:num w:numId="8" w16cid:durableId="40440956">
    <w:abstractNumId w:val="3"/>
  </w:num>
  <w:num w:numId="9" w16cid:durableId="1627587046">
    <w:abstractNumId w:val="0"/>
  </w:num>
  <w:num w:numId="10" w16cid:durableId="1261524794">
    <w:abstractNumId w:val="5"/>
  </w:num>
  <w:num w:numId="11" w16cid:durableId="1806849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BD"/>
    <w:rsid w:val="00010537"/>
    <w:rsid w:val="000121CE"/>
    <w:rsid w:val="00017F3F"/>
    <w:rsid w:val="000323B0"/>
    <w:rsid w:val="00047280"/>
    <w:rsid w:val="000478EE"/>
    <w:rsid w:val="00067232"/>
    <w:rsid w:val="000737B1"/>
    <w:rsid w:val="000910A8"/>
    <w:rsid w:val="0009378A"/>
    <w:rsid w:val="000A20ED"/>
    <w:rsid w:val="000A7205"/>
    <w:rsid w:val="000C1B4C"/>
    <w:rsid w:val="000C32D5"/>
    <w:rsid w:val="000C741F"/>
    <w:rsid w:val="000C774B"/>
    <w:rsid w:val="000D5202"/>
    <w:rsid w:val="000D545B"/>
    <w:rsid w:val="000F072F"/>
    <w:rsid w:val="0011089C"/>
    <w:rsid w:val="001212C7"/>
    <w:rsid w:val="0012137B"/>
    <w:rsid w:val="00133879"/>
    <w:rsid w:val="00140809"/>
    <w:rsid w:val="00144DB8"/>
    <w:rsid w:val="001758E0"/>
    <w:rsid w:val="00192805"/>
    <w:rsid w:val="001A7C8E"/>
    <w:rsid w:val="001B0023"/>
    <w:rsid w:val="001B18ED"/>
    <w:rsid w:val="001B5F11"/>
    <w:rsid w:val="001B6732"/>
    <w:rsid w:val="001F1477"/>
    <w:rsid w:val="001F3620"/>
    <w:rsid w:val="001F7C6D"/>
    <w:rsid w:val="00204528"/>
    <w:rsid w:val="002072FA"/>
    <w:rsid w:val="00210B13"/>
    <w:rsid w:val="00226419"/>
    <w:rsid w:val="00235325"/>
    <w:rsid w:val="00245C6C"/>
    <w:rsid w:val="00252AB2"/>
    <w:rsid w:val="00267081"/>
    <w:rsid w:val="00272A12"/>
    <w:rsid w:val="00280050"/>
    <w:rsid w:val="00285D78"/>
    <w:rsid w:val="0028634C"/>
    <w:rsid w:val="00287350"/>
    <w:rsid w:val="002C578B"/>
    <w:rsid w:val="002F0428"/>
    <w:rsid w:val="002F093B"/>
    <w:rsid w:val="002F4612"/>
    <w:rsid w:val="00313D81"/>
    <w:rsid w:val="003239B6"/>
    <w:rsid w:val="00344D90"/>
    <w:rsid w:val="00361C46"/>
    <w:rsid w:val="00364FB3"/>
    <w:rsid w:val="00374A8F"/>
    <w:rsid w:val="00377DF4"/>
    <w:rsid w:val="003B2805"/>
    <w:rsid w:val="003B32E6"/>
    <w:rsid w:val="003C5E76"/>
    <w:rsid w:val="003D48B7"/>
    <w:rsid w:val="004065EF"/>
    <w:rsid w:val="00411BD3"/>
    <w:rsid w:val="00422089"/>
    <w:rsid w:val="004368BB"/>
    <w:rsid w:val="00447CCF"/>
    <w:rsid w:val="00462AE2"/>
    <w:rsid w:val="00463DDF"/>
    <w:rsid w:val="004A2882"/>
    <w:rsid w:val="004D0912"/>
    <w:rsid w:val="004E19EC"/>
    <w:rsid w:val="004E5C9C"/>
    <w:rsid w:val="00501210"/>
    <w:rsid w:val="00515AB8"/>
    <w:rsid w:val="00526CF2"/>
    <w:rsid w:val="00526D61"/>
    <w:rsid w:val="00534AA9"/>
    <w:rsid w:val="005368D8"/>
    <w:rsid w:val="00537D85"/>
    <w:rsid w:val="00544B5B"/>
    <w:rsid w:val="00557342"/>
    <w:rsid w:val="00562058"/>
    <w:rsid w:val="00566DB7"/>
    <w:rsid w:val="005741BD"/>
    <w:rsid w:val="005767C8"/>
    <w:rsid w:val="00576FB7"/>
    <w:rsid w:val="0059058A"/>
    <w:rsid w:val="00592D24"/>
    <w:rsid w:val="005A5761"/>
    <w:rsid w:val="005A6E2B"/>
    <w:rsid w:val="005A763A"/>
    <w:rsid w:val="005B4CA6"/>
    <w:rsid w:val="005C3DC3"/>
    <w:rsid w:val="005E7AFB"/>
    <w:rsid w:val="005F0B80"/>
    <w:rsid w:val="005F38B5"/>
    <w:rsid w:val="005F6E98"/>
    <w:rsid w:val="00603143"/>
    <w:rsid w:val="00607641"/>
    <w:rsid w:val="00614714"/>
    <w:rsid w:val="006160F7"/>
    <w:rsid w:val="00622F2C"/>
    <w:rsid w:val="00623711"/>
    <w:rsid w:val="00633EE0"/>
    <w:rsid w:val="00645F56"/>
    <w:rsid w:val="0065480E"/>
    <w:rsid w:val="00670201"/>
    <w:rsid w:val="00672A50"/>
    <w:rsid w:val="0068217F"/>
    <w:rsid w:val="00685987"/>
    <w:rsid w:val="00694457"/>
    <w:rsid w:val="006972D7"/>
    <w:rsid w:val="006B47C0"/>
    <w:rsid w:val="006B6FE9"/>
    <w:rsid w:val="006C646F"/>
    <w:rsid w:val="006D4AAD"/>
    <w:rsid w:val="006F2AA1"/>
    <w:rsid w:val="006F6EB6"/>
    <w:rsid w:val="006F7C37"/>
    <w:rsid w:val="00703AF3"/>
    <w:rsid w:val="00713706"/>
    <w:rsid w:val="00716AF0"/>
    <w:rsid w:val="00724FCE"/>
    <w:rsid w:val="00733322"/>
    <w:rsid w:val="007341FB"/>
    <w:rsid w:val="007678EE"/>
    <w:rsid w:val="00770036"/>
    <w:rsid w:val="00777C62"/>
    <w:rsid w:val="007869E0"/>
    <w:rsid w:val="00794451"/>
    <w:rsid w:val="007A5092"/>
    <w:rsid w:val="007B4FCE"/>
    <w:rsid w:val="007C55FB"/>
    <w:rsid w:val="007D1683"/>
    <w:rsid w:val="007D1B9B"/>
    <w:rsid w:val="007D2294"/>
    <w:rsid w:val="007E33B3"/>
    <w:rsid w:val="007E5389"/>
    <w:rsid w:val="007F47DC"/>
    <w:rsid w:val="007F64EC"/>
    <w:rsid w:val="007F753D"/>
    <w:rsid w:val="00817206"/>
    <w:rsid w:val="00821E24"/>
    <w:rsid w:val="00822EFF"/>
    <w:rsid w:val="0082466E"/>
    <w:rsid w:val="008349C6"/>
    <w:rsid w:val="00852D7D"/>
    <w:rsid w:val="0085624A"/>
    <w:rsid w:val="0086769D"/>
    <w:rsid w:val="00875219"/>
    <w:rsid w:val="008840C8"/>
    <w:rsid w:val="00887CBA"/>
    <w:rsid w:val="00891455"/>
    <w:rsid w:val="00895547"/>
    <w:rsid w:val="008A33A8"/>
    <w:rsid w:val="008A34C4"/>
    <w:rsid w:val="008B4E7E"/>
    <w:rsid w:val="008C05DC"/>
    <w:rsid w:val="008C074A"/>
    <w:rsid w:val="008C769B"/>
    <w:rsid w:val="008E11EF"/>
    <w:rsid w:val="00915ACC"/>
    <w:rsid w:val="00917F0A"/>
    <w:rsid w:val="00921FEA"/>
    <w:rsid w:val="00926630"/>
    <w:rsid w:val="00930897"/>
    <w:rsid w:val="009549E0"/>
    <w:rsid w:val="00962807"/>
    <w:rsid w:val="009638BF"/>
    <w:rsid w:val="00971802"/>
    <w:rsid w:val="009867CF"/>
    <w:rsid w:val="009A3ADF"/>
    <w:rsid w:val="009A48F5"/>
    <w:rsid w:val="009A595A"/>
    <w:rsid w:val="009A6B1C"/>
    <w:rsid w:val="009A73C3"/>
    <w:rsid w:val="009B1311"/>
    <w:rsid w:val="009E0B35"/>
    <w:rsid w:val="009E313F"/>
    <w:rsid w:val="009E33C4"/>
    <w:rsid w:val="009F101B"/>
    <w:rsid w:val="00A13D69"/>
    <w:rsid w:val="00A26EA8"/>
    <w:rsid w:val="00A3131E"/>
    <w:rsid w:val="00A31820"/>
    <w:rsid w:val="00A36855"/>
    <w:rsid w:val="00A51353"/>
    <w:rsid w:val="00A62D98"/>
    <w:rsid w:val="00A652FF"/>
    <w:rsid w:val="00A67FE1"/>
    <w:rsid w:val="00A71634"/>
    <w:rsid w:val="00A9772A"/>
    <w:rsid w:val="00AA1B77"/>
    <w:rsid w:val="00AB40A9"/>
    <w:rsid w:val="00AC0860"/>
    <w:rsid w:val="00AC49C4"/>
    <w:rsid w:val="00AC6A34"/>
    <w:rsid w:val="00AC7DC7"/>
    <w:rsid w:val="00AD4917"/>
    <w:rsid w:val="00B07A33"/>
    <w:rsid w:val="00B1024C"/>
    <w:rsid w:val="00B158F8"/>
    <w:rsid w:val="00B22918"/>
    <w:rsid w:val="00B321B5"/>
    <w:rsid w:val="00B339BE"/>
    <w:rsid w:val="00B34091"/>
    <w:rsid w:val="00B35BBC"/>
    <w:rsid w:val="00B476FC"/>
    <w:rsid w:val="00B55B6C"/>
    <w:rsid w:val="00B56EBF"/>
    <w:rsid w:val="00B84EDE"/>
    <w:rsid w:val="00B908C3"/>
    <w:rsid w:val="00B939EA"/>
    <w:rsid w:val="00BA19B0"/>
    <w:rsid w:val="00BA1E0A"/>
    <w:rsid w:val="00BA2930"/>
    <w:rsid w:val="00BA4B9F"/>
    <w:rsid w:val="00BB7E81"/>
    <w:rsid w:val="00BD0802"/>
    <w:rsid w:val="00BE2EBE"/>
    <w:rsid w:val="00BF5DCC"/>
    <w:rsid w:val="00C0007C"/>
    <w:rsid w:val="00C1209D"/>
    <w:rsid w:val="00C22579"/>
    <w:rsid w:val="00C2462E"/>
    <w:rsid w:val="00C25315"/>
    <w:rsid w:val="00C25443"/>
    <w:rsid w:val="00C315BD"/>
    <w:rsid w:val="00C43D21"/>
    <w:rsid w:val="00C549D5"/>
    <w:rsid w:val="00C54CAC"/>
    <w:rsid w:val="00C60F51"/>
    <w:rsid w:val="00C82778"/>
    <w:rsid w:val="00C8474D"/>
    <w:rsid w:val="00C87F18"/>
    <w:rsid w:val="00CA0647"/>
    <w:rsid w:val="00CA0E32"/>
    <w:rsid w:val="00CB39AA"/>
    <w:rsid w:val="00CB3BB7"/>
    <w:rsid w:val="00CB54E1"/>
    <w:rsid w:val="00CC35C4"/>
    <w:rsid w:val="00CD5861"/>
    <w:rsid w:val="00CE11D5"/>
    <w:rsid w:val="00CE37F2"/>
    <w:rsid w:val="00CE5917"/>
    <w:rsid w:val="00CF2AFB"/>
    <w:rsid w:val="00D12B41"/>
    <w:rsid w:val="00D21F10"/>
    <w:rsid w:val="00D2729B"/>
    <w:rsid w:val="00D327CB"/>
    <w:rsid w:val="00D614DA"/>
    <w:rsid w:val="00D7329F"/>
    <w:rsid w:val="00D73740"/>
    <w:rsid w:val="00D74314"/>
    <w:rsid w:val="00D83C35"/>
    <w:rsid w:val="00D85FAC"/>
    <w:rsid w:val="00DA141D"/>
    <w:rsid w:val="00DA3228"/>
    <w:rsid w:val="00DA32A5"/>
    <w:rsid w:val="00DA7278"/>
    <w:rsid w:val="00DB36C2"/>
    <w:rsid w:val="00DB733C"/>
    <w:rsid w:val="00DD5336"/>
    <w:rsid w:val="00DF488A"/>
    <w:rsid w:val="00DF7488"/>
    <w:rsid w:val="00E07F95"/>
    <w:rsid w:val="00E13141"/>
    <w:rsid w:val="00E34853"/>
    <w:rsid w:val="00E34FCB"/>
    <w:rsid w:val="00E6486F"/>
    <w:rsid w:val="00E71015"/>
    <w:rsid w:val="00E71B92"/>
    <w:rsid w:val="00E8293F"/>
    <w:rsid w:val="00E94576"/>
    <w:rsid w:val="00EA67FE"/>
    <w:rsid w:val="00EC318D"/>
    <w:rsid w:val="00EC454E"/>
    <w:rsid w:val="00ED246B"/>
    <w:rsid w:val="00ED31A0"/>
    <w:rsid w:val="00EE650F"/>
    <w:rsid w:val="00F01C62"/>
    <w:rsid w:val="00F0479B"/>
    <w:rsid w:val="00F06881"/>
    <w:rsid w:val="00F12665"/>
    <w:rsid w:val="00F14D6C"/>
    <w:rsid w:val="00F30978"/>
    <w:rsid w:val="00F377B1"/>
    <w:rsid w:val="00F61E47"/>
    <w:rsid w:val="00F72B57"/>
    <w:rsid w:val="00F77695"/>
    <w:rsid w:val="00F77D52"/>
    <w:rsid w:val="00F8072F"/>
    <w:rsid w:val="00FA77D3"/>
    <w:rsid w:val="00FB219C"/>
    <w:rsid w:val="00FC3EAE"/>
    <w:rsid w:val="00FC6A4B"/>
    <w:rsid w:val="00FD58C4"/>
    <w:rsid w:val="00FE0B8D"/>
    <w:rsid w:val="00FE4625"/>
    <w:rsid w:val="00FE5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82747"/>
  <w15:chartTrackingRefBased/>
  <w15:docId w15:val="{3EF41C8C-3DB9-447E-B1DE-D3BD0B0F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BD"/>
    <w:pPr>
      <w:spacing w:after="200" w:line="276" w:lineRule="auto"/>
    </w:pPr>
    <w:rPr>
      <w:rFonts w:asciiTheme="minorHAnsi" w:eastAsiaTheme="minorEastAsia" w:hAnsiTheme="minorHAnsi" w:cstheme="minorBidi"/>
      <w:kern w:val="0"/>
      <w:sz w:val="22"/>
      <w:szCs w:val="22"/>
      <w:lang w:eastAsia="en-AU"/>
      <w14:ligatures w14:val="none"/>
    </w:rPr>
  </w:style>
  <w:style w:type="paragraph" w:styleId="Heading1">
    <w:name w:val="heading 1"/>
    <w:basedOn w:val="Normal"/>
    <w:next w:val="Normal"/>
    <w:link w:val="Heading1Char"/>
    <w:uiPriority w:val="9"/>
    <w:qFormat/>
    <w:rsid w:val="00C31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15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15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15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15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15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15BD"/>
    <w:pPr>
      <w:spacing w:before="160"/>
      <w:jc w:val="center"/>
    </w:pPr>
    <w:rPr>
      <w:i/>
      <w:iCs/>
      <w:color w:val="404040" w:themeColor="text1" w:themeTint="BF"/>
    </w:rPr>
  </w:style>
  <w:style w:type="character" w:customStyle="1" w:styleId="QuoteChar">
    <w:name w:val="Quote Char"/>
    <w:basedOn w:val="DefaultParagraphFont"/>
    <w:link w:val="Quote"/>
    <w:uiPriority w:val="29"/>
    <w:rsid w:val="00C315BD"/>
    <w:rPr>
      <w:i/>
      <w:iCs/>
      <w:color w:val="404040" w:themeColor="text1" w:themeTint="BF"/>
    </w:rPr>
  </w:style>
  <w:style w:type="paragraph" w:styleId="ListParagraph">
    <w:name w:val="List Paragraph"/>
    <w:basedOn w:val="Normal"/>
    <w:uiPriority w:val="34"/>
    <w:qFormat/>
    <w:rsid w:val="00C315BD"/>
    <w:pPr>
      <w:ind w:left="720"/>
      <w:contextualSpacing/>
    </w:pPr>
  </w:style>
  <w:style w:type="character" w:styleId="IntenseEmphasis">
    <w:name w:val="Intense Emphasis"/>
    <w:basedOn w:val="DefaultParagraphFont"/>
    <w:uiPriority w:val="21"/>
    <w:qFormat/>
    <w:rsid w:val="00C315BD"/>
    <w:rPr>
      <w:i/>
      <w:iCs/>
      <w:color w:val="0F4761" w:themeColor="accent1" w:themeShade="BF"/>
    </w:rPr>
  </w:style>
  <w:style w:type="paragraph" w:styleId="IntenseQuote">
    <w:name w:val="Intense Quote"/>
    <w:basedOn w:val="Normal"/>
    <w:next w:val="Normal"/>
    <w:link w:val="IntenseQuoteChar"/>
    <w:uiPriority w:val="30"/>
    <w:qFormat/>
    <w:rsid w:val="00C31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BD"/>
    <w:rPr>
      <w:i/>
      <w:iCs/>
      <w:color w:val="0F4761" w:themeColor="accent1" w:themeShade="BF"/>
    </w:rPr>
  </w:style>
  <w:style w:type="character" w:styleId="IntenseReference">
    <w:name w:val="Intense Reference"/>
    <w:basedOn w:val="DefaultParagraphFont"/>
    <w:uiPriority w:val="32"/>
    <w:qFormat/>
    <w:rsid w:val="00C315BD"/>
    <w:rPr>
      <w:b/>
      <w:bCs/>
      <w:smallCaps/>
      <w:color w:val="0F4761" w:themeColor="accent1" w:themeShade="BF"/>
      <w:spacing w:val="5"/>
    </w:rPr>
  </w:style>
  <w:style w:type="paragraph" w:styleId="Header">
    <w:name w:val="header"/>
    <w:basedOn w:val="Normal"/>
    <w:link w:val="HeaderChar"/>
    <w:rsid w:val="00C315BD"/>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C315BD"/>
    <w:rPr>
      <w:rFonts w:asciiTheme="minorHAnsi" w:eastAsiaTheme="minorEastAsia" w:hAnsiTheme="minorHAnsi" w:cstheme="minorBidi"/>
      <w:snapToGrid w:val="0"/>
      <w:kern w:val="0"/>
      <w:sz w:val="22"/>
      <w:szCs w:val="22"/>
      <w:lang w:val="en-US"/>
      <w14:ligatures w14:val="none"/>
    </w:rPr>
  </w:style>
  <w:style w:type="paragraph" w:styleId="Footer">
    <w:name w:val="footer"/>
    <w:basedOn w:val="Normal"/>
    <w:link w:val="FooterChar"/>
    <w:uiPriority w:val="99"/>
    <w:rsid w:val="00C315BD"/>
    <w:pPr>
      <w:tabs>
        <w:tab w:val="center" w:pos="4153"/>
        <w:tab w:val="right" w:pos="8306"/>
      </w:tabs>
    </w:pPr>
  </w:style>
  <w:style w:type="character" w:customStyle="1" w:styleId="FooterChar">
    <w:name w:val="Footer Char"/>
    <w:basedOn w:val="DefaultParagraphFont"/>
    <w:link w:val="Footer"/>
    <w:uiPriority w:val="99"/>
    <w:rsid w:val="00C315BD"/>
    <w:rPr>
      <w:rFonts w:asciiTheme="minorHAnsi" w:eastAsiaTheme="minorEastAsia" w:hAnsiTheme="minorHAnsi" w:cstheme="minorBidi"/>
      <w:kern w:val="0"/>
      <w:sz w:val="22"/>
      <w:szCs w:val="22"/>
      <w:lang w:eastAsia="en-AU"/>
      <w14:ligatures w14:val="none"/>
    </w:rPr>
  </w:style>
  <w:style w:type="character" w:styleId="PageNumber">
    <w:name w:val="page number"/>
    <w:basedOn w:val="DefaultParagraphFont"/>
    <w:rsid w:val="00C315BD"/>
  </w:style>
  <w:style w:type="paragraph" w:styleId="BodyText">
    <w:name w:val="Body Text"/>
    <w:basedOn w:val="Normal"/>
    <w:link w:val="BodyTextChar"/>
    <w:rsid w:val="00C315BD"/>
    <w:pPr>
      <w:spacing w:before="120" w:after="120" w:line="264" w:lineRule="auto"/>
    </w:pPr>
    <w:rPr>
      <w:rFonts w:ascii="Arial" w:hAnsi="Arial" w:cs="Arial"/>
    </w:rPr>
  </w:style>
  <w:style w:type="character" w:customStyle="1" w:styleId="BodyTextChar">
    <w:name w:val="Body Text Char"/>
    <w:basedOn w:val="DefaultParagraphFont"/>
    <w:link w:val="BodyText"/>
    <w:rsid w:val="00C315BD"/>
    <w:rPr>
      <w:rFonts w:ascii="Arial" w:eastAsiaTheme="minorEastAsia" w:hAnsi="Arial" w:cs="Arial"/>
      <w:kern w:val="0"/>
      <w:sz w:val="22"/>
      <w:szCs w:val="22"/>
      <w:lang w:eastAsia="en-AU"/>
      <w14:ligatures w14:val="none"/>
    </w:rPr>
  </w:style>
  <w:style w:type="paragraph" w:customStyle="1" w:styleId="CmqHeading1">
    <w:name w:val="Cmq Heading 1"/>
    <w:basedOn w:val="Heading3"/>
    <w:link w:val="CmqHeading1Char"/>
    <w:autoRedefine/>
    <w:qFormat/>
    <w:rsid w:val="00C315BD"/>
    <w:pPr>
      <w:keepLines w:val="0"/>
      <w:spacing w:before="360" w:after="120" w:line="240" w:lineRule="auto"/>
    </w:pPr>
    <w:rPr>
      <w:rFonts w:ascii="Arial Bold" w:eastAsia="Times" w:hAnsi="Arial Bold" w:cs="Arial"/>
      <w:b/>
      <w:caps/>
      <w:color w:val="auto"/>
      <w:sz w:val="26"/>
      <w:szCs w:val="26"/>
    </w:rPr>
  </w:style>
  <w:style w:type="paragraph" w:customStyle="1" w:styleId="Cmqheading2">
    <w:name w:val="Cmq heading 2"/>
    <w:basedOn w:val="BodyText"/>
    <w:link w:val="Cmqheading2Char"/>
    <w:qFormat/>
    <w:rsid w:val="00C315BD"/>
    <w:pPr>
      <w:keepNext/>
      <w:spacing w:before="360" w:after="240" w:line="240" w:lineRule="auto"/>
    </w:pPr>
    <w:rPr>
      <w:rFonts w:eastAsia="Times"/>
      <w:b/>
      <w:bCs/>
      <w:i/>
      <w:caps/>
      <w:color w:val="000000"/>
    </w:rPr>
  </w:style>
  <w:style w:type="character" w:customStyle="1" w:styleId="CmqHeading1Char">
    <w:name w:val="Cmq Heading 1 Char"/>
    <w:basedOn w:val="Heading3Char"/>
    <w:link w:val="CmqHeading1"/>
    <w:rsid w:val="00C315BD"/>
    <w:rPr>
      <w:rFonts w:ascii="Arial Bold" w:eastAsia="Times" w:hAnsi="Arial Bold" w:cs="Arial"/>
      <w:b/>
      <w:caps/>
      <w:color w:val="0F4761" w:themeColor="accent1" w:themeShade="BF"/>
      <w:kern w:val="0"/>
      <w:sz w:val="26"/>
      <w:szCs w:val="26"/>
      <w:lang w:eastAsia="en-AU"/>
      <w14:ligatures w14:val="none"/>
    </w:rPr>
  </w:style>
  <w:style w:type="paragraph" w:customStyle="1" w:styleId="Cmqheading3">
    <w:name w:val="Cmq heading 3"/>
    <w:basedOn w:val="Heading3"/>
    <w:link w:val="Cmqheading3Char"/>
    <w:qFormat/>
    <w:rsid w:val="00C315BD"/>
    <w:pPr>
      <w:keepNext w:val="0"/>
      <w:keepLines w:val="0"/>
      <w:spacing w:before="240" w:after="120" w:line="23" w:lineRule="atLeast"/>
      <w:ind w:left="1191" w:hanging="1191"/>
      <w:contextualSpacing/>
      <w:outlineLvl w:val="9"/>
    </w:pPr>
    <w:rPr>
      <w:rFonts w:ascii="Arial" w:hAnsi="Arial" w:cs="Arial"/>
      <w:b/>
      <w:color w:val="0A2F40" w:themeColor="accent1" w:themeShade="7F"/>
      <w:sz w:val="22"/>
      <w:szCs w:val="22"/>
    </w:rPr>
  </w:style>
  <w:style w:type="character" w:customStyle="1" w:styleId="Cmqheading2Char">
    <w:name w:val="Cmq heading 2 Char"/>
    <w:basedOn w:val="BodyTextChar"/>
    <w:link w:val="Cmqheading2"/>
    <w:rsid w:val="00C315BD"/>
    <w:rPr>
      <w:rFonts w:ascii="Arial" w:eastAsia="Times" w:hAnsi="Arial" w:cs="Arial"/>
      <w:b/>
      <w:bCs/>
      <w:i/>
      <w:caps/>
      <w:color w:val="000000"/>
      <w:kern w:val="0"/>
      <w:sz w:val="22"/>
      <w:szCs w:val="22"/>
      <w:lang w:eastAsia="en-AU"/>
      <w14:ligatures w14:val="none"/>
    </w:rPr>
  </w:style>
  <w:style w:type="paragraph" w:customStyle="1" w:styleId="CmqTitle1">
    <w:name w:val="Cmq Title 1"/>
    <w:basedOn w:val="Normal"/>
    <w:qFormat/>
    <w:rsid w:val="00C315BD"/>
    <w:pPr>
      <w:spacing w:before="120" w:after="120" w:line="260" w:lineRule="exact"/>
      <w:jc w:val="center"/>
    </w:pPr>
    <w:rPr>
      <w:rFonts w:ascii="Arial" w:eastAsiaTheme="minorHAnsi" w:hAnsi="Arial" w:cs="Arial"/>
      <w:b/>
      <w:bCs/>
      <w:color w:val="000000"/>
      <w:sz w:val="24"/>
      <w:szCs w:val="28"/>
      <w:lang w:eastAsia="en-US"/>
    </w:rPr>
  </w:style>
  <w:style w:type="character" w:customStyle="1" w:styleId="Cmqheading3Char">
    <w:name w:val="Cmq heading 3 Char"/>
    <w:basedOn w:val="Heading3Char"/>
    <w:link w:val="Cmqheading3"/>
    <w:rsid w:val="00C315BD"/>
    <w:rPr>
      <w:rFonts w:ascii="Arial" w:eastAsiaTheme="majorEastAsia" w:hAnsi="Arial" w:cs="Arial"/>
      <w:b/>
      <w:color w:val="0A2F40" w:themeColor="accent1" w:themeShade="7F"/>
      <w:kern w:val="0"/>
      <w:sz w:val="22"/>
      <w:szCs w:val="22"/>
      <w:lang w:eastAsia="en-AU"/>
      <w14:ligatures w14:val="none"/>
    </w:rPr>
  </w:style>
  <w:style w:type="paragraph" w:customStyle="1" w:styleId="CmqTitle2">
    <w:name w:val="Cmq Title 2"/>
    <w:basedOn w:val="Normal"/>
    <w:qFormat/>
    <w:rsid w:val="00C315BD"/>
    <w:pPr>
      <w:pBdr>
        <w:top w:val="single" w:sz="4" w:space="12" w:color="auto"/>
        <w:bottom w:val="single" w:sz="4" w:space="12" w:color="auto"/>
      </w:pBdr>
      <w:spacing w:after="0" w:line="240" w:lineRule="auto"/>
      <w:ind w:left="360"/>
      <w:jc w:val="center"/>
    </w:pPr>
    <w:rPr>
      <w:rFonts w:ascii="Arial" w:eastAsia="Times" w:hAnsi="Arial" w:cs="Arial"/>
      <w:b/>
      <w:i/>
      <w:iCs/>
      <w:lang w:eastAsia="en-US"/>
    </w:rPr>
  </w:style>
  <w:style w:type="character" w:styleId="Hyperlink">
    <w:name w:val="Hyperlink"/>
    <w:basedOn w:val="DefaultParagraphFont"/>
    <w:uiPriority w:val="99"/>
    <w:unhideWhenUsed/>
    <w:rsid w:val="00C315BD"/>
    <w:rPr>
      <w:color w:val="467886" w:themeColor="hyperlink"/>
      <w:u w:val="single"/>
    </w:rPr>
  </w:style>
  <w:style w:type="table" w:styleId="TableGrid">
    <w:name w:val="Table Grid"/>
    <w:basedOn w:val="TableNormal"/>
    <w:uiPriority w:val="59"/>
    <w:rsid w:val="00C315BD"/>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os">
    <w:name w:val="folios"/>
    <w:basedOn w:val="Normal"/>
    <w:link w:val="foliosChar"/>
    <w:rsid w:val="00C315BD"/>
    <w:pPr>
      <w:spacing w:after="360" w:line="240" w:lineRule="auto"/>
      <w:contextualSpacing/>
      <w:jc w:val="right"/>
    </w:pPr>
    <w:rPr>
      <w:rFonts w:ascii="Calibri" w:eastAsia="Times New Roman" w:hAnsi="Calibri" w:cs="Times New Roman"/>
      <w:sz w:val="18"/>
    </w:rPr>
  </w:style>
  <w:style w:type="character" w:customStyle="1" w:styleId="foliosChar">
    <w:name w:val="folios Char"/>
    <w:basedOn w:val="DefaultParagraphFont"/>
    <w:link w:val="folios"/>
    <w:rsid w:val="00C315BD"/>
    <w:rPr>
      <w:rFonts w:ascii="Calibri" w:eastAsia="Times New Roman" w:hAnsi="Calibri"/>
      <w:kern w:val="0"/>
      <w:sz w:val="18"/>
      <w:szCs w:val="22"/>
      <w:lang w:eastAsia="en-AU"/>
      <w14:ligatures w14:val="none"/>
    </w:rPr>
  </w:style>
  <w:style w:type="character" w:styleId="CommentReference">
    <w:name w:val="annotation reference"/>
    <w:basedOn w:val="DefaultParagraphFont"/>
    <w:uiPriority w:val="99"/>
    <w:semiHidden/>
    <w:unhideWhenUsed/>
    <w:rsid w:val="00C43D21"/>
    <w:rPr>
      <w:sz w:val="16"/>
      <w:szCs w:val="16"/>
    </w:rPr>
  </w:style>
  <w:style w:type="paragraph" w:styleId="CommentText">
    <w:name w:val="annotation text"/>
    <w:basedOn w:val="Normal"/>
    <w:link w:val="CommentTextChar"/>
    <w:uiPriority w:val="99"/>
    <w:unhideWhenUsed/>
    <w:rsid w:val="00C43D21"/>
    <w:pPr>
      <w:spacing w:line="240" w:lineRule="auto"/>
    </w:pPr>
    <w:rPr>
      <w:sz w:val="20"/>
      <w:szCs w:val="20"/>
    </w:rPr>
  </w:style>
  <w:style w:type="character" w:customStyle="1" w:styleId="CommentTextChar">
    <w:name w:val="Comment Text Char"/>
    <w:basedOn w:val="DefaultParagraphFont"/>
    <w:link w:val="CommentText"/>
    <w:uiPriority w:val="99"/>
    <w:rsid w:val="00C43D21"/>
    <w:rPr>
      <w:rFonts w:asciiTheme="minorHAnsi" w:eastAsiaTheme="minorEastAsia" w:hAnsiTheme="minorHAnsi" w:cstheme="minorBid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C43D21"/>
    <w:rPr>
      <w:b/>
      <w:bCs/>
    </w:rPr>
  </w:style>
  <w:style w:type="character" w:customStyle="1" w:styleId="CommentSubjectChar">
    <w:name w:val="Comment Subject Char"/>
    <w:basedOn w:val="CommentTextChar"/>
    <w:link w:val="CommentSubject"/>
    <w:uiPriority w:val="99"/>
    <w:semiHidden/>
    <w:rsid w:val="00C43D21"/>
    <w:rPr>
      <w:rFonts w:asciiTheme="minorHAnsi" w:eastAsiaTheme="minorEastAsia" w:hAnsiTheme="minorHAnsi" w:cstheme="minorBidi"/>
      <w:b/>
      <w:bCs/>
      <w:kern w:val="0"/>
      <w:sz w:val="20"/>
      <w:szCs w:val="20"/>
      <w:lang w:eastAsia="en-AU"/>
      <w14:ligatures w14:val="none"/>
    </w:rPr>
  </w:style>
  <w:style w:type="paragraph" w:styleId="Revision">
    <w:name w:val="Revision"/>
    <w:hidden/>
    <w:uiPriority w:val="99"/>
    <w:semiHidden/>
    <w:rsid w:val="00C43D21"/>
    <w:pPr>
      <w:spacing w:after="0" w:line="240" w:lineRule="auto"/>
    </w:pPr>
    <w:rPr>
      <w:rFonts w:asciiTheme="minorHAnsi" w:eastAsiaTheme="minorEastAsia" w:hAnsiTheme="minorHAnsi" w:cstheme="minorBidi"/>
      <w:kern w:val="0"/>
      <w:sz w:val="22"/>
      <w:szCs w:val="22"/>
      <w:lang w:eastAsia="en-AU"/>
      <w14:ligatures w14:val="none"/>
    </w:rPr>
  </w:style>
  <w:style w:type="character" w:styleId="UnresolvedMention">
    <w:name w:val="Unresolved Mention"/>
    <w:basedOn w:val="DefaultParagraphFont"/>
    <w:uiPriority w:val="99"/>
    <w:semiHidden/>
    <w:unhideWhenUsed/>
    <w:rsid w:val="0022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gtr.gov.au/gmo-dealings/dealings-involving-intentional-release/dir-2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gtr@health.gov.a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Technical Advisory Committee 5 May 2025 Communiqué</dc:title>
  <dc:subject/>
  <dc:creator>OGTR.Voicemail@health.gov.au</dc:creator>
  <cp:keywords/>
  <dc:description/>
  <cp:lastModifiedBy>SMITH, Justine</cp:lastModifiedBy>
  <cp:revision>4</cp:revision>
  <dcterms:created xsi:type="dcterms:W3CDTF">2026-02-06T03:48:00Z</dcterms:created>
  <dcterms:modified xsi:type="dcterms:W3CDTF">2026-02-06T04:59:00Z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26179a17,632cc91e,48d13d7d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6bec6be2,4415a2cb,4331dfb4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2026-02-06T03:21:17Z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dc1a623b-9160-4eeb-a1dc-612a7c2a4af7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