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7FDF2" w14:textId="326FAA32" w:rsidR="00331601" w:rsidRPr="00E12965" w:rsidRDefault="00331601" w:rsidP="00331601">
      <w:pPr>
        <w:pStyle w:val="CmqTitle1"/>
        <w:spacing w:before="240"/>
        <w:rPr>
          <w:color w:val="auto"/>
        </w:rPr>
      </w:pPr>
      <w:bookmarkStart w:id="0" w:name="_Toc123029785"/>
      <w:r w:rsidRPr="00E12965">
        <w:rPr>
          <w:color w:val="auto"/>
        </w:rPr>
        <w:t>Gene Technology Technical Advisory Committee</w:t>
      </w:r>
      <w:bookmarkEnd w:id="0"/>
    </w:p>
    <w:p w14:paraId="2155E915" w14:textId="4E1E529B" w:rsidR="00331601" w:rsidRPr="00E12965" w:rsidRDefault="00E0571D" w:rsidP="00331601">
      <w:pPr>
        <w:pStyle w:val="CmqTitle1"/>
        <w:rPr>
          <w:color w:val="auto"/>
          <w:szCs w:val="24"/>
        </w:rPr>
      </w:pPr>
      <w:r>
        <w:rPr>
          <w:color w:val="auto"/>
          <w:szCs w:val="24"/>
        </w:rPr>
        <w:t>3 June</w:t>
      </w:r>
      <w:r w:rsidR="00331601">
        <w:rPr>
          <w:color w:val="auto"/>
          <w:szCs w:val="24"/>
        </w:rPr>
        <w:t xml:space="preserve"> 202</w:t>
      </w:r>
      <w:r>
        <w:rPr>
          <w:color w:val="auto"/>
          <w:szCs w:val="24"/>
        </w:rPr>
        <w:t>5</w:t>
      </w:r>
    </w:p>
    <w:p w14:paraId="77DB9EFF" w14:textId="77777777" w:rsidR="00331601" w:rsidRPr="00E12965" w:rsidRDefault="00331601" w:rsidP="00331601">
      <w:pPr>
        <w:pStyle w:val="CmqTitle1"/>
        <w:spacing w:after="240"/>
        <w:rPr>
          <w:color w:val="auto"/>
          <w:szCs w:val="24"/>
        </w:rPr>
      </w:pPr>
      <w:r w:rsidRPr="00E12965">
        <w:rPr>
          <w:color w:val="auto"/>
          <w:szCs w:val="24"/>
        </w:rPr>
        <w:t>Communiqué</w:t>
      </w:r>
    </w:p>
    <w:p w14:paraId="3F6F8AB5" w14:textId="0815F392" w:rsidR="00331601" w:rsidRPr="00E12965" w:rsidRDefault="00331601" w:rsidP="00331601">
      <w:pPr>
        <w:pStyle w:val="CmqTitle2"/>
        <w:ind w:left="0"/>
      </w:pPr>
      <w:r w:rsidRPr="00E12965">
        <w:t xml:space="preserve">This Communiqué covers matters considered at the </w:t>
      </w:r>
      <w:r>
        <w:t>4</w:t>
      </w:r>
      <w:r w:rsidR="00E0571D">
        <w:t>5</w:t>
      </w:r>
      <w:r w:rsidRPr="00F5278A">
        <w:rPr>
          <w:vertAlign w:val="superscript"/>
        </w:rPr>
        <w:t>th</w:t>
      </w:r>
      <w:r>
        <w:rPr>
          <w:vertAlign w:val="superscript"/>
        </w:rPr>
        <w:t xml:space="preserve"> </w:t>
      </w:r>
      <w:r>
        <w:t xml:space="preserve">videoconference </w:t>
      </w:r>
      <w:r w:rsidRPr="00E12965">
        <w:t xml:space="preserve">of the </w:t>
      </w:r>
      <w:r w:rsidRPr="00E12965">
        <w:br/>
        <w:t>Gene Technology Technical Advisory Committee (</w:t>
      </w:r>
      <w:r w:rsidR="00E0571D">
        <w:t>3 June</w:t>
      </w:r>
      <w:r>
        <w:t xml:space="preserve"> 202</w:t>
      </w:r>
      <w:r w:rsidR="00A5056D">
        <w:t>5</w:t>
      </w:r>
      <w:r w:rsidRPr="00E12965">
        <w:t>)</w:t>
      </w:r>
    </w:p>
    <w:p w14:paraId="35291526" w14:textId="77777777" w:rsidR="00331601" w:rsidRPr="00E12965" w:rsidRDefault="00331601" w:rsidP="00331601">
      <w:pPr>
        <w:pStyle w:val="BodyText"/>
      </w:pPr>
      <w:r w:rsidRPr="00E12965">
        <w:t xml:space="preserve">The Gene Technology Technical Advisory Committee (GTTAC) is a statutory advisory committee established under the </w:t>
      </w:r>
      <w:r w:rsidRPr="00E12965">
        <w:rPr>
          <w:i/>
        </w:rPr>
        <w:t>Gene Technology Act 2000</w:t>
      </w:r>
      <w:r w:rsidRPr="00E12965">
        <w:t xml:space="preserve"> (the Act) to provide scientific and technical advice to the Gene Technology Regulator (the Regulator) and the Gene Technology Ministers’ Meeting. </w:t>
      </w:r>
    </w:p>
    <w:p w14:paraId="041D3304" w14:textId="77777777" w:rsidR="00331601" w:rsidRPr="00E12965" w:rsidRDefault="00331601" w:rsidP="00331601">
      <w:pPr>
        <w:pStyle w:val="BodyText"/>
      </w:pPr>
      <w:r w:rsidRPr="00E12965">
        <w:t xml:space="preserve">The Regulator seeks advice from GTTAC on licence applications to work with Genetically Modified Organisms (GMOs) and on Risk Assessment and Risk Management Plans (RARMPs) prepared for applications. The purpose of this Communiqué is to provide a brief overview of GTTAC’s consideration of applications and RARMPs and, in accordance with the Gene Technology Regulations 2001, to publish committee resolutions given to the Regulator. The Communiqué also provides an overview of any other deliberations of the committee. It does not include information </w:t>
      </w:r>
      <w:r>
        <w:t>that</w:t>
      </w:r>
      <w:r w:rsidRPr="00E12965">
        <w:t xml:space="preserve"> is treated as Confidential Commercial Information in accordance with the Act.</w:t>
      </w:r>
    </w:p>
    <w:p w14:paraId="6F3ADC9E" w14:textId="77777777" w:rsidR="00331601" w:rsidRPr="00331601" w:rsidRDefault="00331601" w:rsidP="00331601">
      <w:pPr>
        <w:pStyle w:val="CmqHeading1"/>
      </w:pPr>
      <w:r w:rsidRPr="00331601">
        <w:t>Dealings Involving the Intentional Release of a GMO</w:t>
      </w:r>
    </w:p>
    <w:p w14:paraId="402E9422" w14:textId="77777777" w:rsidR="00331601" w:rsidRPr="00857464" w:rsidRDefault="00331601" w:rsidP="00331601">
      <w:pPr>
        <w:pStyle w:val="BodyText"/>
      </w:pPr>
      <w:r w:rsidRPr="00857464">
        <w:t>Dealings involving the Intentional Release (DIR) of a GMO into the environment can involve a limited and controlled release (clinical trial or field trial) or a commercial (general) release.</w:t>
      </w:r>
    </w:p>
    <w:p w14:paraId="55F5A435" w14:textId="77777777" w:rsidR="00331601" w:rsidRPr="007F3778" w:rsidRDefault="00331601" w:rsidP="00331601">
      <w:pPr>
        <w:pStyle w:val="BodyText"/>
      </w:pPr>
      <w:r w:rsidRPr="007F3778">
        <w:t>For commercial releases, the Regulator must seek GTTAC advice twice. The first consultation is on matters to consider when preparing the RARMP and the second is on the RARMP itself. For limited and controlled releases, the Regulator must seek GTTAC advice only once on the RARMP.</w:t>
      </w:r>
    </w:p>
    <w:p w14:paraId="4BA96683" w14:textId="77777777" w:rsidR="00331601" w:rsidRDefault="00331601" w:rsidP="00331601">
      <w:pPr>
        <w:pStyle w:val="BodyText"/>
      </w:pPr>
      <w:r w:rsidRPr="00857464">
        <w:t>The RARMP for every DIR licence application is issued for public consultation.</w:t>
      </w:r>
    </w:p>
    <w:p w14:paraId="7148A95B" w14:textId="48A6D783" w:rsidR="00D72C27" w:rsidRDefault="00D72C27" w:rsidP="00D72C27">
      <w:pPr>
        <w:pStyle w:val="Cmqheading2"/>
      </w:pPr>
      <w:r>
        <w:t xml:space="preserve">Advice on </w:t>
      </w:r>
      <w:r w:rsidR="00BC13CE">
        <w:t>CONSULTATION RARMPS</w:t>
      </w:r>
      <w:r>
        <w:t xml:space="preserve"> – COmmercial release</w:t>
      </w:r>
    </w:p>
    <w:p w14:paraId="0B95FFA6" w14:textId="7EBD7597" w:rsidR="00D72C27" w:rsidRPr="00D55761" w:rsidRDefault="00D55761" w:rsidP="00D55761">
      <w:pPr>
        <w:rPr>
          <w:rFonts w:ascii="Arial" w:hAnsi="Arial" w:cs="Arial"/>
          <w:b/>
          <w:bCs/>
        </w:rPr>
      </w:pPr>
      <w:hyperlink r:id="rId7" w:history="1">
        <w:r w:rsidRPr="007E7D8E">
          <w:rPr>
            <w:rStyle w:val="Hyperlink"/>
            <w:rFonts w:ascii="Arial" w:hAnsi="Arial" w:cs="Arial"/>
            <w:b/>
            <w:bCs/>
          </w:rPr>
          <w:t>DIR-207</w:t>
        </w:r>
      </w:hyperlink>
      <w:r w:rsidRPr="00D55761">
        <w:rPr>
          <w:rFonts w:ascii="Arial" w:hAnsi="Arial" w:cs="Arial"/>
          <w:b/>
          <w:bCs/>
        </w:rPr>
        <w:t xml:space="preserve"> RARMP – Commercial release of a genetically modified (GM) mosquito strain to help prevent dengue outbreaks</w:t>
      </w:r>
    </w:p>
    <w:p w14:paraId="147D32E3" w14:textId="47A8273E" w:rsidR="00D72C27" w:rsidRDefault="00D72C27" w:rsidP="00D72C27">
      <w:pPr>
        <w:pStyle w:val="BodyText"/>
      </w:pPr>
      <w:r>
        <w:t>Licence application DIR</w:t>
      </w:r>
      <w:r w:rsidR="001B6AEC">
        <w:t>-</w:t>
      </w:r>
      <w:r>
        <w:t>20</w:t>
      </w:r>
      <w:r w:rsidR="00FD1451">
        <w:t>7</w:t>
      </w:r>
      <w:r>
        <w:t xml:space="preserve"> from</w:t>
      </w:r>
      <w:r w:rsidR="000C27B4" w:rsidRPr="000C27B4">
        <w:t xml:space="preserve"> Oxitec Ltd (Australia)</w:t>
      </w:r>
      <w:r>
        <w:t xml:space="preserve"> is for </w:t>
      </w:r>
      <w:r w:rsidR="002348FA">
        <w:t xml:space="preserve">commercial release of </w:t>
      </w:r>
      <w:r w:rsidR="00E71741">
        <w:t xml:space="preserve">a </w:t>
      </w:r>
      <w:r w:rsidR="002335D4">
        <w:t xml:space="preserve">GM mosquito strain </w:t>
      </w:r>
      <w:r w:rsidR="001B6AEC">
        <w:t xml:space="preserve">to reduce </w:t>
      </w:r>
      <w:r w:rsidR="00E71741">
        <w:t xml:space="preserve">the </w:t>
      </w:r>
      <w:r w:rsidR="001B6AEC">
        <w:t xml:space="preserve">population </w:t>
      </w:r>
      <w:r w:rsidR="00E71741">
        <w:t xml:space="preserve">of </w:t>
      </w:r>
      <w:r w:rsidR="00E71741" w:rsidRPr="00ED3ECD">
        <w:rPr>
          <w:i/>
          <w:iCs/>
        </w:rPr>
        <w:t>Aedes aegypti</w:t>
      </w:r>
      <w:r w:rsidR="00E71741">
        <w:t xml:space="preserve"> mosquitoes to </w:t>
      </w:r>
      <w:r w:rsidR="001B6AEC">
        <w:t>help prevent</w:t>
      </w:r>
      <w:r w:rsidR="009C6CC7">
        <w:t xml:space="preserve"> dengue outbreaks</w:t>
      </w:r>
      <w:r w:rsidR="00E71741">
        <w:t xml:space="preserve"> in Queensland</w:t>
      </w:r>
      <w:r w:rsidR="009C6CC7">
        <w:t xml:space="preserve">. </w:t>
      </w:r>
    </w:p>
    <w:p w14:paraId="2BE36544" w14:textId="48862356" w:rsidR="00AB3900" w:rsidRDefault="00AB3900" w:rsidP="00AB3900">
      <w:pPr>
        <w:pStyle w:val="BodyText"/>
      </w:pPr>
      <w:r>
        <w:t xml:space="preserve">GTTAC </w:t>
      </w:r>
      <w:r w:rsidR="00A82E95">
        <w:t>discussed whether</w:t>
      </w:r>
      <w:r>
        <w:t xml:space="preserve"> tetracycline present in the environment may </w:t>
      </w:r>
      <w:r w:rsidR="004949DE">
        <w:t>influence</w:t>
      </w:r>
      <w:r w:rsidR="00A82E95">
        <w:t xml:space="preserve"> the </w:t>
      </w:r>
      <w:r>
        <w:t xml:space="preserve">survival of female GM </w:t>
      </w:r>
      <w:r w:rsidR="00311EDA">
        <w:t>mosquitoes but</w:t>
      </w:r>
      <w:r w:rsidR="004949DE">
        <w:t xml:space="preserve"> was satisfied</w:t>
      </w:r>
      <w:r>
        <w:t xml:space="preserve"> that </w:t>
      </w:r>
      <w:r w:rsidR="004949DE">
        <w:t>this wouldn’t be</w:t>
      </w:r>
      <w:r w:rsidR="00311EDA">
        <w:t xml:space="preserve"> expected to be</w:t>
      </w:r>
      <w:r w:rsidR="004949DE">
        <w:t xml:space="preserve"> the case</w:t>
      </w:r>
      <w:r>
        <w:t>.</w:t>
      </w:r>
    </w:p>
    <w:p w14:paraId="6AC342F6" w14:textId="1C43E066" w:rsidR="00D72C27" w:rsidRDefault="00AB3900" w:rsidP="00AB3900">
      <w:pPr>
        <w:pStyle w:val="BodyText"/>
      </w:pPr>
      <w:r>
        <w:t xml:space="preserve">GTTAC </w:t>
      </w:r>
      <w:r w:rsidR="005E5A4F">
        <w:t>discussed</w:t>
      </w:r>
      <w:r>
        <w:t xml:space="preserve"> the </w:t>
      </w:r>
      <w:r w:rsidR="00311EDA">
        <w:t xml:space="preserve">ability of the </w:t>
      </w:r>
      <w:r>
        <w:t xml:space="preserve">GM mosquitoes </w:t>
      </w:r>
      <w:r w:rsidR="00311EDA">
        <w:t>to</w:t>
      </w:r>
      <w:r>
        <w:t xml:space="preserve"> interbreed with the </w:t>
      </w:r>
      <w:r w:rsidRPr="004C18E5">
        <w:rPr>
          <w:i/>
          <w:iCs/>
        </w:rPr>
        <w:t>Aedes aegypti</w:t>
      </w:r>
      <w:r>
        <w:t xml:space="preserve"> found in Queensland (including those carrying </w:t>
      </w:r>
      <w:r w:rsidRPr="004C18E5">
        <w:rPr>
          <w:i/>
          <w:iCs/>
        </w:rPr>
        <w:t>Wolbachia</w:t>
      </w:r>
      <w:r>
        <w:t>)</w:t>
      </w:r>
      <w:r w:rsidR="00311EDA">
        <w:t xml:space="preserve">. The committee </w:t>
      </w:r>
      <w:r w:rsidR="000B3139">
        <w:t xml:space="preserve">considered that the </w:t>
      </w:r>
      <w:r>
        <w:t>RARMP comprehensively addresse</w:t>
      </w:r>
      <w:r w:rsidR="000B3139">
        <w:t>d</w:t>
      </w:r>
      <w:r>
        <w:t xml:space="preserve"> </w:t>
      </w:r>
      <w:r w:rsidR="000B3139">
        <w:t>this issue</w:t>
      </w:r>
      <w:r>
        <w:t>.</w:t>
      </w:r>
    </w:p>
    <w:tbl>
      <w:tblPr>
        <w:tblStyle w:val="TableGrid"/>
        <w:tblW w:w="0" w:type="auto"/>
        <w:tblLook w:val="04A0" w:firstRow="1" w:lastRow="0" w:firstColumn="1" w:lastColumn="0" w:noHBand="0" w:noVBand="1"/>
      </w:tblPr>
      <w:tblGrid>
        <w:gridCol w:w="9628"/>
      </w:tblGrid>
      <w:tr w:rsidR="00D72C27" w14:paraId="2750868D" w14:textId="77777777" w:rsidTr="00D72C27">
        <w:tc>
          <w:tcPr>
            <w:tcW w:w="9628" w:type="dxa"/>
            <w:tcBorders>
              <w:top w:val="single" w:sz="4" w:space="0" w:color="auto"/>
              <w:left w:val="single" w:sz="4" w:space="0" w:color="auto"/>
              <w:bottom w:val="single" w:sz="4" w:space="0" w:color="auto"/>
              <w:right w:val="single" w:sz="4" w:space="0" w:color="auto"/>
            </w:tcBorders>
            <w:hideMark/>
          </w:tcPr>
          <w:p w14:paraId="5FECC0CA" w14:textId="77777777" w:rsidR="00D72C27" w:rsidRDefault="00D72C27">
            <w:pPr>
              <w:pStyle w:val="BodyText"/>
              <w:keepNext/>
              <w:rPr>
                <w:b/>
                <w:bCs/>
                <w:lang w:eastAsia="en-US"/>
              </w:rPr>
            </w:pPr>
            <w:r>
              <w:rPr>
                <w:b/>
                <w:bCs/>
                <w:lang w:eastAsia="en-US"/>
              </w:rPr>
              <w:lastRenderedPageBreak/>
              <w:t>Resolutions</w:t>
            </w:r>
          </w:p>
          <w:p w14:paraId="12EFE70B" w14:textId="77777777" w:rsidR="001212BF" w:rsidRPr="001212BF" w:rsidRDefault="001212BF" w:rsidP="001212BF">
            <w:pPr>
              <w:numPr>
                <w:ilvl w:val="0"/>
                <w:numId w:val="3"/>
              </w:numPr>
              <w:autoSpaceDE w:val="0"/>
              <w:autoSpaceDN w:val="0"/>
              <w:adjustRightInd w:val="0"/>
              <w:spacing w:before="120" w:after="120" w:line="240" w:lineRule="auto"/>
              <w:rPr>
                <w:rFonts w:ascii="Arial" w:eastAsia="Times New Roman" w:hAnsi="Arial" w:cs="Arial"/>
                <w:lang w:eastAsia="en-US"/>
              </w:rPr>
            </w:pPr>
            <w:r w:rsidRPr="001212BF">
              <w:rPr>
                <w:rFonts w:ascii="Arial" w:eastAsia="Times New Roman" w:hAnsi="Arial" w:cs="Arial"/>
                <w:lang w:eastAsia="en-US"/>
              </w:rPr>
              <w:t>The committee agrees that the risk assessment identifies all plausible risk scenarios by which the proposed release could give rise to risks relating to the health and safety of people or the environment.</w:t>
            </w:r>
          </w:p>
          <w:p w14:paraId="187F5063" w14:textId="77777777" w:rsidR="001212BF" w:rsidRPr="001212BF" w:rsidRDefault="001212BF" w:rsidP="001212BF">
            <w:pPr>
              <w:numPr>
                <w:ilvl w:val="0"/>
                <w:numId w:val="3"/>
              </w:numPr>
              <w:autoSpaceDE w:val="0"/>
              <w:autoSpaceDN w:val="0"/>
              <w:adjustRightInd w:val="0"/>
              <w:spacing w:before="120" w:after="120" w:line="240" w:lineRule="auto"/>
              <w:rPr>
                <w:rFonts w:ascii="Arial" w:eastAsia="Times New Roman" w:hAnsi="Arial" w:cs="Arial"/>
                <w:lang w:eastAsia="en-US"/>
              </w:rPr>
            </w:pPr>
            <w:r w:rsidRPr="001212BF">
              <w:rPr>
                <w:rFonts w:ascii="Arial" w:eastAsia="Times New Roman" w:hAnsi="Arial" w:cs="Arial"/>
                <w:lang w:eastAsia="en-US"/>
              </w:rPr>
              <w:t>The committee agrees that the licence conditions in the draft licence are appropriate for the commercial release of the GMO.</w:t>
            </w:r>
          </w:p>
          <w:p w14:paraId="673BB310" w14:textId="77777777" w:rsidR="001212BF" w:rsidRPr="001212BF" w:rsidRDefault="001212BF" w:rsidP="001212BF">
            <w:pPr>
              <w:numPr>
                <w:ilvl w:val="0"/>
                <w:numId w:val="3"/>
              </w:numPr>
              <w:autoSpaceDE w:val="0"/>
              <w:autoSpaceDN w:val="0"/>
              <w:adjustRightInd w:val="0"/>
              <w:spacing w:before="120" w:after="120" w:line="240" w:lineRule="auto"/>
              <w:rPr>
                <w:rFonts w:ascii="Arial" w:eastAsia="Times New Roman" w:hAnsi="Arial" w:cs="Arial"/>
                <w:lang w:eastAsia="en-US"/>
              </w:rPr>
            </w:pPr>
            <w:r w:rsidRPr="001212BF">
              <w:rPr>
                <w:rFonts w:ascii="Arial" w:eastAsia="Times New Roman" w:hAnsi="Arial" w:cs="Arial"/>
                <w:lang w:eastAsia="en-US"/>
              </w:rPr>
              <w:t>The committee agrees with the overall conclusion of the RARMP.</w:t>
            </w:r>
          </w:p>
          <w:p w14:paraId="37BB4B9D" w14:textId="2BCE22DE" w:rsidR="00D72C27" w:rsidRPr="001212BF" w:rsidRDefault="001212BF" w:rsidP="001212BF">
            <w:pPr>
              <w:numPr>
                <w:ilvl w:val="0"/>
                <w:numId w:val="3"/>
              </w:numPr>
              <w:autoSpaceDE w:val="0"/>
              <w:autoSpaceDN w:val="0"/>
              <w:adjustRightInd w:val="0"/>
              <w:spacing w:before="120" w:after="120" w:line="240" w:lineRule="auto"/>
              <w:rPr>
                <w:rFonts w:ascii="Arial" w:eastAsia="Times New Roman" w:hAnsi="Arial" w:cs="Arial"/>
                <w:lang w:eastAsia="en-US"/>
              </w:rPr>
            </w:pPr>
            <w:r w:rsidRPr="001212BF">
              <w:rPr>
                <w:rFonts w:ascii="Arial" w:eastAsia="Times New Roman" w:hAnsi="Arial" w:cs="Arial"/>
                <w:lang w:eastAsia="en-US"/>
              </w:rPr>
              <w:t>The committee recommends that the fold concentration of tetracycline required in the environment to reverse the mortality of the GM female mosquitos be noted in the RARMP.</w:t>
            </w:r>
          </w:p>
        </w:tc>
      </w:tr>
    </w:tbl>
    <w:p w14:paraId="18C23BD5" w14:textId="77777777" w:rsidR="00331601" w:rsidRDefault="00331601" w:rsidP="00331601">
      <w:pPr>
        <w:pStyle w:val="CmqHeading1"/>
      </w:pPr>
      <w:r>
        <w:t>Dealings Not Involving the Intentional Release of a GMO</w:t>
      </w:r>
    </w:p>
    <w:p w14:paraId="6E7E0709" w14:textId="77777777" w:rsidR="00331601" w:rsidRDefault="00331601" w:rsidP="00331601">
      <w:pPr>
        <w:pStyle w:val="BodyText"/>
      </w:pPr>
      <w:r>
        <w:t>The Regulator may seek GTTAC advice on RARMPs prepared for an application for Dealings Not involving an Intentional Release (DNIR) into the environment. DNIR licences include research work with GMOs undertaken in physical containment facilities (e.g. certified by the Regulator) and clinical trials undertaken in clinical facilities.</w:t>
      </w:r>
    </w:p>
    <w:p w14:paraId="73E0C7FF" w14:textId="77777777" w:rsidR="00331601" w:rsidRDefault="00331601" w:rsidP="00331601">
      <w:pPr>
        <w:pStyle w:val="Cmqheading2"/>
      </w:pPr>
      <w:r>
        <w:t>Advice on DNIR RARMPS</w:t>
      </w:r>
    </w:p>
    <w:p w14:paraId="40768092" w14:textId="64356BBA" w:rsidR="002E3FFA" w:rsidRPr="002E3FFA" w:rsidRDefault="002E3FFA" w:rsidP="002E3FFA">
      <w:pPr>
        <w:rPr>
          <w:rFonts w:ascii="Arial" w:eastAsiaTheme="majorEastAsia" w:hAnsi="Arial" w:cs="Arial"/>
          <w:b/>
          <w:bCs/>
        </w:rPr>
      </w:pPr>
      <w:r w:rsidRPr="002E3FFA">
        <w:rPr>
          <w:rFonts w:ascii="Arial" w:eastAsia="Times New Roman" w:hAnsi="Arial" w:cs="Arial"/>
          <w:b/>
          <w:bCs/>
        </w:rPr>
        <w:t xml:space="preserve">DNIR-729 RARMP – Clinical trial of a genetically modified </w:t>
      </w:r>
      <w:r w:rsidRPr="002E3FFA">
        <w:rPr>
          <w:rFonts w:ascii="Arial" w:eastAsia="Times New Roman" w:hAnsi="Arial" w:cs="Arial"/>
          <w:b/>
          <w:bCs/>
          <w:i/>
        </w:rPr>
        <w:t>Plasmodium falciparum</w:t>
      </w:r>
      <w:r w:rsidRPr="002E3FFA">
        <w:rPr>
          <w:rFonts w:ascii="Arial" w:eastAsia="Times New Roman" w:hAnsi="Arial" w:cs="Arial"/>
          <w:b/>
          <w:bCs/>
        </w:rPr>
        <w:t xml:space="preserve"> in healthy adult participants </w:t>
      </w:r>
    </w:p>
    <w:p w14:paraId="4C9E143D" w14:textId="43444043" w:rsidR="00392A12" w:rsidRDefault="008F07C5" w:rsidP="007C72A5">
      <w:pPr>
        <w:pStyle w:val="BodyText"/>
      </w:pPr>
      <w:r w:rsidRPr="008F07C5">
        <w:t>The Walter and Eliza Hall Institute of Medical Research</w:t>
      </w:r>
      <w:r w:rsidR="00E303A0">
        <w:t xml:space="preserve"> (WEHI)</w:t>
      </w:r>
      <w:r w:rsidRPr="008F07C5">
        <w:t xml:space="preserve"> </w:t>
      </w:r>
      <w:r w:rsidR="00392A12">
        <w:t>applied for a licence</w:t>
      </w:r>
      <w:r w:rsidR="001D3422">
        <w:t xml:space="preserve"> to generate </w:t>
      </w:r>
      <w:r w:rsidR="00F04D36">
        <w:t xml:space="preserve">human </w:t>
      </w:r>
      <w:r w:rsidR="001D3422">
        <w:t>blood infect</w:t>
      </w:r>
      <w:r w:rsidR="00F04D36">
        <w:t>ed</w:t>
      </w:r>
      <w:r w:rsidR="00A967DC">
        <w:t xml:space="preserve"> with GM </w:t>
      </w:r>
      <w:r w:rsidR="00A967DC" w:rsidRPr="00425BF5">
        <w:rPr>
          <w:i/>
          <w:iCs/>
        </w:rPr>
        <w:t>Plasmodium falciparum</w:t>
      </w:r>
      <w:r w:rsidR="001D3422">
        <w:t xml:space="preserve"> which can be used </w:t>
      </w:r>
      <w:r w:rsidR="00D4726B">
        <w:t xml:space="preserve">to </w:t>
      </w:r>
      <w:r w:rsidR="00F5694A">
        <w:t xml:space="preserve">study and develop </w:t>
      </w:r>
      <w:r w:rsidR="00D87B1F">
        <w:t xml:space="preserve">future </w:t>
      </w:r>
      <w:r w:rsidR="00EA5023">
        <w:t>treatment against malaria</w:t>
      </w:r>
      <w:r w:rsidR="001D3422">
        <w:t>.</w:t>
      </w:r>
      <w:r w:rsidR="00BE11CB" w:rsidRPr="00BE11CB">
        <w:t xml:space="preserve"> </w:t>
      </w:r>
      <w:r w:rsidR="00D31033">
        <w:t>The</w:t>
      </w:r>
      <w:r w:rsidR="007C5D1F">
        <w:t xml:space="preserve"> trial would </w:t>
      </w:r>
      <w:r w:rsidR="004E2924">
        <w:t>be conducted at the</w:t>
      </w:r>
      <w:r w:rsidR="004E2FF2">
        <w:t xml:space="preserve"> </w:t>
      </w:r>
      <w:r w:rsidR="007C72A5">
        <w:t>Doherty Clinical Trials Limited and</w:t>
      </w:r>
      <w:r w:rsidR="00E303A0">
        <w:t xml:space="preserve"> </w:t>
      </w:r>
      <w:r w:rsidR="007C72A5">
        <w:t>WEH</w:t>
      </w:r>
      <w:r w:rsidR="00E303A0">
        <w:t>I</w:t>
      </w:r>
      <w:r w:rsidR="007C5D1F">
        <w:t>,</w:t>
      </w:r>
      <w:r w:rsidR="004E2924">
        <w:t xml:space="preserve"> involving 6 patients,</w:t>
      </w:r>
      <w:r w:rsidR="007C5D1F">
        <w:t xml:space="preserve"> and </w:t>
      </w:r>
      <w:r w:rsidR="00B43901">
        <w:t>would</w:t>
      </w:r>
      <w:r w:rsidR="00517985">
        <w:t xml:space="preserve"> </w:t>
      </w:r>
      <w:r w:rsidR="00545DCE">
        <w:t>run</w:t>
      </w:r>
      <w:r w:rsidR="00517985">
        <w:t xml:space="preserve"> </w:t>
      </w:r>
      <w:r w:rsidR="00A97BBB">
        <w:t xml:space="preserve">over </w:t>
      </w:r>
      <w:r w:rsidR="00D357ED">
        <w:t>a period of</w:t>
      </w:r>
      <w:r w:rsidR="00B74E43">
        <w:t xml:space="preserve"> 5 years.</w:t>
      </w:r>
    </w:p>
    <w:p w14:paraId="677B3988" w14:textId="07F20306" w:rsidR="00392A12" w:rsidRPr="00392A12" w:rsidRDefault="00392A12" w:rsidP="00392A12">
      <w:pPr>
        <w:autoSpaceDE w:val="0"/>
        <w:autoSpaceDN w:val="0"/>
        <w:adjustRightInd w:val="0"/>
        <w:spacing w:before="120" w:after="120" w:line="240" w:lineRule="auto"/>
        <w:rPr>
          <w:rFonts w:ascii="Arial" w:hAnsi="Arial" w:cs="Arial"/>
        </w:rPr>
      </w:pPr>
      <w:r>
        <w:rPr>
          <w:rFonts w:ascii="Arial" w:hAnsi="Arial" w:cs="Arial"/>
        </w:rPr>
        <w:t xml:space="preserve">GTTAC noted the conclusion of the RARMP that the proposed </w:t>
      </w:r>
      <w:r w:rsidR="00A9710E">
        <w:rPr>
          <w:rFonts w:ascii="Arial" w:hAnsi="Arial" w:cs="Arial"/>
        </w:rPr>
        <w:t xml:space="preserve">GMO dealings </w:t>
      </w:r>
      <w:r>
        <w:rPr>
          <w:rFonts w:ascii="Arial" w:hAnsi="Arial" w:cs="Arial"/>
        </w:rPr>
        <w:t xml:space="preserve">pose </w:t>
      </w:r>
      <w:r w:rsidR="00100D9A" w:rsidRPr="00100D9A">
        <w:rPr>
          <w:rFonts w:ascii="Arial" w:eastAsia="Times New Roman" w:hAnsi="Arial" w:cs="Arial"/>
        </w:rPr>
        <w:t xml:space="preserve">negligible to </w:t>
      </w:r>
      <w:r w:rsidR="00D025A7">
        <w:rPr>
          <w:rFonts w:ascii="Arial" w:eastAsia="Times New Roman" w:hAnsi="Arial" w:cs="Arial"/>
        </w:rPr>
        <w:t>low</w:t>
      </w:r>
      <w:r w:rsidR="00100D9A" w:rsidRPr="00CE1F5B">
        <w:rPr>
          <w:rFonts w:ascii="Arial" w:eastAsia="Times New Roman" w:hAnsi="Arial" w:cs="Arial"/>
        </w:rPr>
        <w:t xml:space="preserve"> </w:t>
      </w:r>
      <w:r w:rsidR="00152FCD" w:rsidRPr="00CE1F5B">
        <w:rPr>
          <w:rFonts w:ascii="Arial" w:eastAsia="Times New Roman" w:hAnsi="Arial" w:cs="Arial"/>
        </w:rPr>
        <w:t xml:space="preserve">risk </w:t>
      </w:r>
      <w:r w:rsidRPr="00CE1F5B">
        <w:rPr>
          <w:rFonts w:ascii="Arial" w:hAnsi="Arial" w:cs="Arial"/>
        </w:rPr>
        <w:t>to the health</w:t>
      </w:r>
      <w:r>
        <w:rPr>
          <w:rFonts w:ascii="Arial" w:hAnsi="Arial" w:cs="Arial"/>
        </w:rPr>
        <w:t xml:space="preserve"> </w:t>
      </w:r>
      <w:r w:rsidRPr="00392A12">
        <w:rPr>
          <w:rFonts w:ascii="Arial" w:hAnsi="Arial" w:cs="Arial"/>
        </w:rPr>
        <w:t xml:space="preserve">and safety of </w:t>
      </w:r>
      <w:r w:rsidR="00CE1F5B">
        <w:rPr>
          <w:rFonts w:ascii="Arial" w:hAnsi="Arial" w:cs="Arial"/>
        </w:rPr>
        <w:t>people</w:t>
      </w:r>
      <w:r w:rsidRPr="00392A12">
        <w:rPr>
          <w:rFonts w:ascii="Arial" w:hAnsi="Arial" w:cs="Arial"/>
        </w:rPr>
        <w:t xml:space="preserve"> or the environment. The </w:t>
      </w:r>
      <w:r w:rsidR="00590249">
        <w:rPr>
          <w:rFonts w:ascii="Arial" w:hAnsi="Arial" w:cs="Arial"/>
        </w:rPr>
        <w:t>c</w:t>
      </w:r>
      <w:r w:rsidRPr="00392A12">
        <w:rPr>
          <w:rFonts w:ascii="Arial" w:hAnsi="Arial" w:cs="Arial"/>
        </w:rPr>
        <w:t>ommittee discussed key topics</w:t>
      </w:r>
      <w:r w:rsidR="00ED3ECD">
        <w:rPr>
          <w:rFonts w:ascii="Arial" w:hAnsi="Arial" w:cs="Arial"/>
        </w:rPr>
        <w:t xml:space="preserve"> including</w:t>
      </w:r>
      <w:r w:rsidRPr="00392A12">
        <w:rPr>
          <w:rFonts w:ascii="Arial" w:hAnsi="Arial" w:cs="Arial"/>
        </w:rPr>
        <w:t>:</w:t>
      </w:r>
    </w:p>
    <w:p w14:paraId="23692E8B" w14:textId="50AF34B7" w:rsidR="008F07C5" w:rsidRDefault="008C3C8A" w:rsidP="008F07C5">
      <w:pPr>
        <w:pStyle w:val="BodyText"/>
        <w:numPr>
          <w:ilvl w:val="0"/>
          <w:numId w:val="6"/>
        </w:numPr>
      </w:pPr>
      <w:r>
        <w:t>clarif</w:t>
      </w:r>
      <w:r w:rsidR="00DD2372">
        <w:t>y in the</w:t>
      </w:r>
      <w:r w:rsidR="00A77E97">
        <w:t xml:space="preserve"> </w:t>
      </w:r>
      <w:r w:rsidR="008F07C5">
        <w:t xml:space="preserve">exclusion criteria </w:t>
      </w:r>
      <w:r w:rsidR="00DD2372">
        <w:t>of</w:t>
      </w:r>
      <w:r w:rsidR="008F07C5">
        <w:t xml:space="preserve"> the RARMP that female participants should prevent pregnancy through contraception</w:t>
      </w:r>
    </w:p>
    <w:p w14:paraId="152B61F1" w14:textId="74A654A3" w:rsidR="008F07C5" w:rsidRDefault="003D7FD4" w:rsidP="008F07C5">
      <w:pPr>
        <w:pStyle w:val="BodyText"/>
        <w:numPr>
          <w:ilvl w:val="0"/>
          <w:numId w:val="6"/>
        </w:numPr>
      </w:pPr>
      <w:r>
        <w:t>clarif</w:t>
      </w:r>
      <w:r w:rsidR="00DD2372">
        <w:t>y</w:t>
      </w:r>
      <w:r w:rsidR="008C3C8A">
        <w:t xml:space="preserve"> in</w:t>
      </w:r>
      <w:r w:rsidR="008F07C5">
        <w:t xml:space="preserve"> the RARMP and licence </w:t>
      </w:r>
      <w:r w:rsidR="008C3C8A">
        <w:t>the locations</w:t>
      </w:r>
      <w:r w:rsidR="008F07C5">
        <w:t xml:space="preserve"> where trial participants are not allowed to travel</w:t>
      </w:r>
    </w:p>
    <w:p w14:paraId="3C590D0E" w14:textId="4D206255" w:rsidR="008F07C5" w:rsidRDefault="003A0EB9" w:rsidP="00E810CD">
      <w:pPr>
        <w:pStyle w:val="BodyText"/>
        <w:numPr>
          <w:ilvl w:val="0"/>
          <w:numId w:val="6"/>
        </w:numPr>
      </w:pPr>
      <w:r>
        <w:t xml:space="preserve">considerations around </w:t>
      </w:r>
      <w:r w:rsidR="00F63F1B">
        <w:t>the sensitivity of blood tests for residual parasites</w:t>
      </w:r>
      <w:r>
        <w:t xml:space="preserve"> to </w:t>
      </w:r>
      <w:r w:rsidR="00E810CD">
        <w:t xml:space="preserve">better </w:t>
      </w:r>
      <w:r w:rsidR="008F07C5">
        <w:t>inform the management of risk</w:t>
      </w:r>
    </w:p>
    <w:p w14:paraId="3F5695E5" w14:textId="11B066A0" w:rsidR="008F07C5" w:rsidRDefault="00961786" w:rsidP="008F07C5">
      <w:pPr>
        <w:pStyle w:val="BodyText"/>
        <w:numPr>
          <w:ilvl w:val="0"/>
          <w:numId w:val="6"/>
        </w:numPr>
      </w:pPr>
      <w:r>
        <w:t xml:space="preserve">a </w:t>
      </w:r>
      <w:r w:rsidR="008F07C5">
        <w:t xml:space="preserve">Human Research Ethics Committee would </w:t>
      </w:r>
      <w:r w:rsidR="003904C1">
        <w:t xml:space="preserve">separately </w:t>
      </w:r>
      <w:r w:rsidR="008F07C5">
        <w:t>consider the benefits and risks of the trial</w:t>
      </w:r>
    </w:p>
    <w:p w14:paraId="20AE033C" w14:textId="38BCEE0E" w:rsidR="003904C1" w:rsidRDefault="008F07C5" w:rsidP="008F07C5">
      <w:pPr>
        <w:pStyle w:val="BodyText"/>
        <w:numPr>
          <w:ilvl w:val="0"/>
          <w:numId w:val="6"/>
        </w:numPr>
      </w:pPr>
      <w:r>
        <w:t xml:space="preserve">GTTAC noted that while trimethoprim exposure is to be avoided to prevent triggering a high level of gametocyte production, it recognised that this antibiotic is generally available in the community and is used </w:t>
      </w:r>
      <w:r w:rsidR="00470087">
        <w:t>to</w:t>
      </w:r>
      <w:r>
        <w:t xml:space="preserve"> treat cuts </w:t>
      </w:r>
      <w:r w:rsidR="00470087">
        <w:t xml:space="preserve">and </w:t>
      </w:r>
      <w:r>
        <w:t xml:space="preserve">eye infections. </w:t>
      </w:r>
    </w:p>
    <w:p w14:paraId="754E8E81" w14:textId="445DBAB5" w:rsidR="004C18E5" w:rsidRDefault="00200826" w:rsidP="008F07C5">
      <w:pPr>
        <w:pStyle w:val="BodyText"/>
        <w:numPr>
          <w:ilvl w:val="0"/>
          <w:numId w:val="6"/>
        </w:numPr>
      </w:pPr>
      <w:r>
        <w:t xml:space="preserve">greater </w:t>
      </w:r>
      <w:r w:rsidR="008F07C5">
        <w:t xml:space="preserve">consideration of the wide </w:t>
      </w:r>
      <w:r w:rsidR="001D0AF7">
        <w:t xml:space="preserve">variety of forms and preparations </w:t>
      </w:r>
      <w:r w:rsidR="008F07C5">
        <w:t>of trimethoprim</w:t>
      </w:r>
      <w:r w:rsidR="008F7326">
        <w:t>.</w:t>
      </w:r>
    </w:p>
    <w:p w14:paraId="4DFB7FAC" w14:textId="0CF29E9E" w:rsidR="00331601" w:rsidRPr="004C18E5" w:rsidRDefault="004C18E5" w:rsidP="004C18E5">
      <w:pPr>
        <w:spacing w:after="160" w:line="259" w:lineRule="auto"/>
        <w:rPr>
          <w:rFonts w:ascii="Arial" w:hAnsi="Arial" w:cs="Arial"/>
        </w:rPr>
      </w:pPr>
      <w:r>
        <w:br w:type="page"/>
      </w:r>
    </w:p>
    <w:tbl>
      <w:tblPr>
        <w:tblStyle w:val="TableGrid"/>
        <w:tblpPr w:leftFromText="180" w:rightFromText="180" w:vertAnchor="text" w:horzAnchor="margin" w:tblpY="216"/>
        <w:tblW w:w="0" w:type="auto"/>
        <w:tblLook w:val="04A0" w:firstRow="1" w:lastRow="0" w:firstColumn="1" w:lastColumn="0" w:noHBand="0" w:noVBand="1"/>
      </w:tblPr>
      <w:tblGrid>
        <w:gridCol w:w="9628"/>
      </w:tblGrid>
      <w:tr w:rsidR="008A5F7A" w:rsidRPr="00785DC0" w14:paraId="282B25E1" w14:textId="77777777" w:rsidTr="00BD6B8B">
        <w:tc>
          <w:tcPr>
            <w:tcW w:w="9628" w:type="dxa"/>
          </w:tcPr>
          <w:p w14:paraId="738C29F8" w14:textId="77777777" w:rsidR="008A5F7A" w:rsidRPr="00626291" w:rsidRDefault="008A5F7A" w:rsidP="004C18E5">
            <w:pPr>
              <w:pStyle w:val="BodyText"/>
              <w:keepNext/>
              <w:rPr>
                <w:b/>
                <w:bCs/>
              </w:rPr>
            </w:pPr>
            <w:r w:rsidRPr="00626291">
              <w:rPr>
                <w:b/>
                <w:bCs/>
              </w:rPr>
              <w:lastRenderedPageBreak/>
              <w:t>Resolutions</w:t>
            </w:r>
          </w:p>
          <w:p w14:paraId="02866341" w14:textId="77777777" w:rsidR="000C0013" w:rsidRPr="000C0013" w:rsidRDefault="000C0013" w:rsidP="004C18E5">
            <w:pPr>
              <w:keepNext/>
              <w:numPr>
                <w:ilvl w:val="0"/>
                <w:numId w:val="1"/>
              </w:numPr>
              <w:autoSpaceDE w:val="0"/>
              <w:autoSpaceDN w:val="0"/>
              <w:adjustRightInd w:val="0"/>
              <w:spacing w:before="120" w:after="120" w:line="240" w:lineRule="auto"/>
              <w:rPr>
                <w:rFonts w:ascii="Arial" w:eastAsia="Times New Roman" w:hAnsi="Arial" w:cs="Arial"/>
              </w:rPr>
            </w:pPr>
            <w:r w:rsidRPr="000C0013">
              <w:rPr>
                <w:rFonts w:ascii="Arial" w:eastAsia="Times New Roman" w:hAnsi="Arial" w:cs="Arial"/>
              </w:rPr>
              <w:t>The committee agrees that the risk assessment identifies all plausible risk scenarios by which the proposed dealings could potentially give rise to risks relating to the health and safety of people or the environment.</w:t>
            </w:r>
          </w:p>
          <w:p w14:paraId="789A653D" w14:textId="77777777" w:rsidR="000C0013" w:rsidRPr="000C0013" w:rsidRDefault="000C0013" w:rsidP="004C18E5">
            <w:pPr>
              <w:keepNext/>
              <w:numPr>
                <w:ilvl w:val="0"/>
                <w:numId w:val="1"/>
              </w:numPr>
              <w:autoSpaceDE w:val="0"/>
              <w:autoSpaceDN w:val="0"/>
              <w:adjustRightInd w:val="0"/>
              <w:spacing w:before="120" w:after="120" w:line="240" w:lineRule="auto"/>
              <w:rPr>
                <w:rFonts w:ascii="Arial" w:eastAsia="Times New Roman" w:hAnsi="Arial" w:cs="Arial"/>
              </w:rPr>
            </w:pPr>
            <w:r w:rsidRPr="000C0013">
              <w:rPr>
                <w:rFonts w:ascii="Arial" w:eastAsia="Times New Roman" w:hAnsi="Arial" w:cs="Arial"/>
              </w:rPr>
              <w:t>The committee agrees that the licence conditions in the draft licence are generally appropriate for the clinical use of the GMO.</w:t>
            </w:r>
          </w:p>
          <w:p w14:paraId="562AD0F1" w14:textId="77777777" w:rsidR="000C0013" w:rsidRPr="000C0013" w:rsidRDefault="000C0013" w:rsidP="004C18E5">
            <w:pPr>
              <w:keepNext/>
              <w:numPr>
                <w:ilvl w:val="0"/>
                <w:numId w:val="1"/>
              </w:numPr>
              <w:autoSpaceDE w:val="0"/>
              <w:autoSpaceDN w:val="0"/>
              <w:adjustRightInd w:val="0"/>
              <w:spacing w:before="120" w:after="120" w:line="240" w:lineRule="auto"/>
              <w:rPr>
                <w:rFonts w:ascii="Arial" w:eastAsia="Times New Roman" w:hAnsi="Arial" w:cs="Arial"/>
              </w:rPr>
            </w:pPr>
            <w:r w:rsidRPr="000C0013">
              <w:rPr>
                <w:rFonts w:ascii="Arial" w:eastAsia="Times New Roman" w:hAnsi="Arial" w:cs="Arial"/>
              </w:rPr>
              <w:t>The committee agrees with the overall conclusions of the RARMP.</w:t>
            </w:r>
          </w:p>
          <w:p w14:paraId="439EA12A" w14:textId="77777777" w:rsidR="000C0013" w:rsidRPr="000C0013" w:rsidRDefault="000C0013" w:rsidP="004C18E5">
            <w:pPr>
              <w:keepNext/>
              <w:numPr>
                <w:ilvl w:val="0"/>
                <w:numId w:val="1"/>
              </w:numPr>
              <w:autoSpaceDE w:val="0"/>
              <w:autoSpaceDN w:val="0"/>
              <w:adjustRightInd w:val="0"/>
              <w:spacing w:before="120" w:after="120" w:line="240" w:lineRule="auto"/>
              <w:rPr>
                <w:rFonts w:ascii="Arial" w:eastAsia="Times New Roman" w:hAnsi="Arial" w:cs="Arial"/>
              </w:rPr>
            </w:pPr>
            <w:r w:rsidRPr="000C0013">
              <w:rPr>
                <w:rFonts w:ascii="Arial" w:eastAsia="Times New Roman" w:hAnsi="Arial" w:cs="Arial"/>
              </w:rPr>
              <w:t>The committee advises that the pregnancy exclusion criteria for trial participants should be better expressed in the RARMP and the licence.</w:t>
            </w:r>
          </w:p>
          <w:p w14:paraId="3799AC83" w14:textId="77777777" w:rsidR="000C0013" w:rsidRPr="000C0013" w:rsidRDefault="000C0013" w:rsidP="004C18E5">
            <w:pPr>
              <w:keepNext/>
              <w:numPr>
                <w:ilvl w:val="0"/>
                <w:numId w:val="1"/>
              </w:numPr>
              <w:autoSpaceDE w:val="0"/>
              <w:autoSpaceDN w:val="0"/>
              <w:adjustRightInd w:val="0"/>
              <w:spacing w:before="120" w:after="120" w:line="240" w:lineRule="auto"/>
              <w:rPr>
                <w:rFonts w:ascii="Arial" w:eastAsia="Times New Roman" w:hAnsi="Arial" w:cs="Arial"/>
              </w:rPr>
            </w:pPr>
            <w:r w:rsidRPr="000C0013">
              <w:rPr>
                <w:rFonts w:ascii="Arial" w:eastAsia="Times New Roman" w:hAnsi="Arial" w:cs="Arial"/>
              </w:rPr>
              <w:t>The committee recommends that clear instructions are provided in the RARMP and the licence when and where the participants can travel.</w:t>
            </w:r>
          </w:p>
          <w:p w14:paraId="1D7BF8C8" w14:textId="77777777" w:rsidR="000C0013" w:rsidRPr="000C0013" w:rsidRDefault="000C0013" w:rsidP="004C18E5">
            <w:pPr>
              <w:keepNext/>
              <w:numPr>
                <w:ilvl w:val="0"/>
                <w:numId w:val="1"/>
              </w:numPr>
              <w:autoSpaceDE w:val="0"/>
              <w:autoSpaceDN w:val="0"/>
              <w:adjustRightInd w:val="0"/>
              <w:spacing w:before="120" w:after="120" w:line="240" w:lineRule="auto"/>
              <w:rPr>
                <w:rFonts w:ascii="Arial" w:eastAsia="Times New Roman" w:hAnsi="Arial" w:cs="Arial"/>
              </w:rPr>
            </w:pPr>
            <w:r w:rsidRPr="000C0013">
              <w:rPr>
                <w:rFonts w:ascii="Arial" w:eastAsia="Times New Roman" w:hAnsi="Arial" w:cs="Arial"/>
              </w:rPr>
              <w:t xml:space="preserve">The committee recommends further clarity of the extent and confidence with the efficacy of the pharmacological elimination of the </w:t>
            </w:r>
            <w:r w:rsidRPr="004C18E5">
              <w:rPr>
                <w:rFonts w:ascii="Arial" w:eastAsia="Times New Roman" w:hAnsi="Arial" w:cs="Arial"/>
                <w:i/>
                <w:iCs/>
              </w:rPr>
              <w:t>Plasmodium falciparum</w:t>
            </w:r>
            <w:r w:rsidRPr="000C0013">
              <w:rPr>
                <w:rFonts w:ascii="Arial" w:eastAsia="Times New Roman" w:hAnsi="Arial" w:cs="Arial"/>
              </w:rPr>
              <w:t xml:space="preserve"> in the trial participants.</w:t>
            </w:r>
          </w:p>
          <w:p w14:paraId="3803C64E" w14:textId="77777777" w:rsidR="000C0013" w:rsidRPr="000C0013" w:rsidRDefault="000C0013" w:rsidP="004C18E5">
            <w:pPr>
              <w:keepNext/>
              <w:numPr>
                <w:ilvl w:val="0"/>
                <w:numId w:val="1"/>
              </w:numPr>
              <w:autoSpaceDE w:val="0"/>
              <w:autoSpaceDN w:val="0"/>
              <w:adjustRightInd w:val="0"/>
              <w:spacing w:before="120" w:after="120" w:line="240" w:lineRule="auto"/>
              <w:rPr>
                <w:rFonts w:ascii="Arial" w:eastAsia="Times New Roman" w:hAnsi="Arial" w:cs="Arial"/>
              </w:rPr>
            </w:pPr>
            <w:r w:rsidRPr="000C0013">
              <w:rPr>
                <w:rFonts w:ascii="Arial" w:eastAsia="Times New Roman" w:hAnsi="Arial" w:cs="Arial"/>
              </w:rPr>
              <w:t xml:space="preserve">The committee recommends further clarity be sought about the sensitivity of the test assay for </w:t>
            </w:r>
            <w:r w:rsidRPr="004C18E5">
              <w:rPr>
                <w:rFonts w:ascii="Arial" w:eastAsia="Times New Roman" w:hAnsi="Arial" w:cs="Arial"/>
                <w:i/>
                <w:iCs/>
              </w:rPr>
              <w:t>Plasmodium falciparum</w:t>
            </w:r>
            <w:r w:rsidRPr="000C0013">
              <w:rPr>
                <w:rFonts w:ascii="Arial" w:eastAsia="Times New Roman" w:hAnsi="Arial" w:cs="Arial"/>
              </w:rPr>
              <w:t xml:space="preserve"> in blood samples from the trial participants. </w:t>
            </w:r>
          </w:p>
          <w:p w14:paraId="03DB7A47" w14:textId="77777777" w:rsidR="000C0013" w:rsidRPr="000C0013" w:rsidRDefault="000C0013" w:rsidP="004C18E5">
            <w:pPr>
              <w:keepNext/>
              <w:numPr>
                <w:ilvl w:val="0"/>
                <w:numId w:val="1"/>
              </w:numPr>
              <w:autoSpaceDE w:val="0"/>
              <w:autoSpaceDN w:val="0"/>
              <w:adjustRightInd w:val="0"/>
              <w:spacing w:before="120" w:after="120" w:line="240" w:lineRule="auto"/>
              <w:rPr>
                <w:rFonts w:ascii="Arial" w:eastAsia="Times New Roman" w:hAnsi="Arial" w:cs="Arial"/>
              </w:rPr>
            </w:pPr>
            <w:r w:rsidRPr="000C0013">
              <w:rPr>
                <w:rFonts w:ascii="Arial" w:eastAsia="Times New Roman" w:hAnsi="Arial" w:cs="Arial"/>
              </w:rPr>
              <w:t>The committee recommends further clarity be provided about the transport, processing and storage of the blood samples from the trial participants that are used in the Master Cell Bank.</w:t>
            </w:r>
          </w:p>
          <w:p w14:paraId="15EEA467" w14:textId="77777777" w:rsidR="000C0013" w:rsidRPr="000C0013" w:rsidRDefault="000C0013" w:rsidP="004C18E5">
            <w:pPr>
              <w:keepNext/>
              <w:numPr>
                <w:ilvl w:val="0"/>
                <w:numId w:val="1"/>
              </w:numPr>
              <w:autoSpaceDE w:val="0"/>
              <w:autoSpaceDN w:val="0"/>
              <w:adjustRightInd w:val="0"/>
              <w:spacing w:before="120" w:after="120" w:line="240" w:lineRule="auto"/>
              <w:rPr>
                <w:rFonts w:ascii="Arial" w:eastAsia="Times New Roman" w:hAnsi="Arial" w:cs="Arial"/>
              </w:rPr>
            </w:pPr>
            <w:r w:rsidRPr="000C0013">
              <w:rPr>
                <w:rFonts w:ascii="Arial" w:eastAsia="Times New Roman" w:hAnsi="Arial" w:cs="Arial"/>
              </w:rPr>
              <w:t>The committee recommends further clarity be sought about the widespread use of the trimethoprim and similar drugs in the community.</w:t>
            </w:r>
          </w:p>
          <w:p w14:paraId="7C7ED12A" w14:textId="0510BB6A" w:rsidR="008A5F7A" w:rsidRPr="000C0013" w:rsidRDefault="000C0013" w:rsidP="004C18E5">
            <w:pPr>
              <w:keepNext/>
              <w:numPr>
                <w:ilvl w:val="0"/>
                <w:numId w:val="1"/>
              </w:numPr>
              <w:autoSpaceDE w:val="0"/>
              <w:autoSpaceDN w:val="0"/>
              <w:adjustRightInd w:val="0"/>
              <w:spacing w:before="120" w:after="120" w:line="240" w:lineRule="auto"/>
              <w:rPr>
                <w:rFonts w:ascii="Arial" w:eastAsia="Times New Roman" w:hAnsi="Arial" w:cs="Arial"/>
              </w:rPr>
            </w:pPr>
            <w:r w:rsidRPr="000C0013">
              <w:rPr>
                <w:rFonts w:ascii="Arial" w:eastAsia="Times New Roman" w:hAnsi="Arial" w:cs="Arial"/>
              </w:rPr>
              <w:t xml:space="preserve">The committee advises the Regulator that advice should be provided to a HREC </w:t>
            </w:r>
            <w:proofErr w:type="gramStart"/>
            <w:r w:rsidRPr="000C0013">
              <w:rPr>
                <w:rFonts w:ascii="Arial" w:eastAsia="Times New Roman" w:hAnsi="Arial" w:cs="Arial"/>
              </w:rPr>
              <w:t>regarding:</w:t>
            </w:r>
            <w:proofErr w:type="gramEnd"/>
            <w:r w:rsidRPr="000C0013">
              <w:rPr>
                <w:rFonts w:ascii="Arial" w:eastAsia="Times New Roman" w:hAnsi="Arial" w:cs="Arial"/>
              </w:rPr>
              <w:t xml:space="preserve"> travel, re-emergence of the GMO, trimethoprim and the large blood volume extracted from trial participants.</w:t>
            </w:r>
          </w:p>
        </w:tc>
      </w:tr>
    </w:tbl>
    <w:p w14:paraId="2A5F60F2" w14:textId="77777777" w:rsidR="00331601" w:rsidRPr="0037074C" w:rsidRDefault="00331601" w:rsidP="00331601">
      <w:pPr>
        <w:pStyle w:val="BodyText"/>
        <w:ind w:left="360"/>
      </w:pPr>
    </w:p>
    <w:p w14:paraId="2816F00B" w14:textId="77777777" w:rsidR="00331601" w:rsidRPr="0037074C" w:rsidRDefault="00331601" w:rsidP="00331601">
      <w:pPr>
        <w:pStyle w:val="BodyText"/>
        <w:ind w:left="360"/>
      </w:pPr>
    </w:p>
    <w:p w14:paraId="13039E74" w14:textId="77777777" w:rsidR="00331601" w:rsidRPr="00BA20C7" w:rsidRDefault="00331601" w:rsidP="00331601">
      <w:pPr>
        <w:pStyle w:val="CmqHeading1"/>
      </w:pPr>
      <w:r w:rsidRPr="00BA20C7">
        <w:t>Enquiries</w:t>
      </w:r>
    </w:p>
    <w:p w14:paraId="4614D422" w14:textId="66C280FC" w:rsidR="00280050" w:rsidRDefault="00331601" w:rsidP="00CC509F">
      <w:pPr>
        <w:pStyle w:val="BodyText"/>
      </w:pPr>
      <w:r w:rsidRPr="00E12965">
        <w:t xml:space="preserve">For all enquiries, please call the OGTR on 1800 181 030 or email </w:t>
      </w:r>
      <w:hyperlink r:id="rId8" w:history="1">
        <w:r w:rsidRPr="002E084A">
          <w:rPr>
            <w:rStyle w:val="Hyperlink"/>
          </w:rPr>
          <w:t>ogtr@health.gov.au</w:t>
        </w:r>
      </w:hyperlink>
      <w:r w:rsidRPr="00E12965">
        <w:t>.</w:t>
      </w:r>
    </w:p>
    <w:sectPr w:rsidR="00280050" w:rsidSect="00331601">
      <w:headerReference w:type="even" r:id="rId9"/>
      <w:footerReference w:type="even" r:id="rId10"/>
      <w:footerReference w:type="default" r:id="rId11"/>
      <w:headerReference w:type="first" r:id="rId12"/>
      <w:footerReference w:type="first" r:id="rId13"/>
      <w:pgSz w:w="11906" w:h="16838" w:code="9"/>
      <w:pgMar w:top="1134" w:right="1134" w:bottom="1134" w:left="1134" w:header="567" w:footer="567"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E1E48" w14:textId="77777777" w:rsidR="00702B7B" w:rsidRDefault="00702B7B">
      <w:pPr>
        <w:spacing w:after="0" w:line="240" w:lineRule="auto"/>
      </w:pPr>
      <w:r>
        <w:separator/>
      </w:r>
    </w:p>
  </w:endnote>
  <w:endnote w:type="continuationSeparator" w:id="0">
    <w:p w14:paraId="582CA9E8" w14:textId="77777777" w:rsidR="00702B7B" w:rsidRDefault="00702B7B">
      <w:pPr>
        <w:spacing w:after="0" w:line="240" w:lineRule="auto"/>
      </w:pPr>
      <w:r>
        <w:continuationSeparator/>
      </w:r>
    </w:p>
  </w:endnote>
  <w:endnote w:type="continuationNotice" w:id="1">
    <w:p w14:paraId="5A8D2C91" w14:textId="77777777" w:rsidR="00702B7B" w:rsidRDefault="00702B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A343" w14:textId="09CB50C6" w:rsidR="00331601" w:rsidRDefault="00A5056D" w:rsidP="002723BB">
    <w:pPr>
      <w:pStyle w:val="Footer"/>
      <w:framePr w:w="106" w:h="286" w:hRule="exact" w:wrap="around" w:vAnchor="text" w:hAnchor="page" w:x="10651" w:y="3"/>
      <w:rPr>
        <w:rStyle w:val="PageNumber"/>
      </w:rPr>
    </w:pPr>
    <w:r>
      <w:rPr>
        <w:noProof/>
        <w14:ligatures w14:val="standardContextual"/>
      </w:rPr>
      <mc:AlternateContent>
        <mc:Choice Requires="wps">
          <w:drawing>
            <wp:anchor distT="0" distB="0" distL="0" distR="0" simplePos="0" relativeHeight="251662336" behindDoc="0" locked="0" layoutInCell="1" allowOverlap="1" wp14:anchorId="57E67985" wp14:editId="565B7BB1">
              <wp:simplePos x="635" y="635"/>
              <wp:positionH relativeFrom="page">
                <wp:align>center</wp:align>
              </wp:positionH>
              <wp:positionV relativeFrom="page">
                <wp:align>bottom</wp:align>
              </wp:positionV>
              <wp:extent cx="622300" cy="404495"/>
              <wp:effectExtent l="0" t="0" r="6350" b="0"/>
              <wp:wrapNone/>
              <wp:docPr id="154418468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4ACF402" w14:textId="7A19AD6A" w:rsidR="00A5056D" w:rsidRPr="00A5056D" w:rsidRDefault="00A5056D" w:rsidP="00A5056D">
                          <w:pPr>
                            <w:spacing w:after="0"/>
                            <w:rPr>
                              <w:rFonts w:ascii="Aptos" w:eastAsia="Aptos" w:hAnsi="Aptos" w:cs="Aptos"/>
                              <w:noProof/>
                              <w:color w:val="FF0000"/>
                              <w:sz w:val="24"/>
                              <w:szCs w:val="24"/>
                            </w:rPr>
                          </w:pPr>
                          <w:r w:rsidRPr="00A5056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E67985" id="_x0000_t202" coordsize="21600,21600" o:spt="202" path="m,l,21600r21600,l21600,xe">
              <v:stroke joinstyle="miter"/>
              <v:path gradientshapeok="t" o:connecttype="rect"/>
            </v:shapetype>
            <v:shape id="Text Box 5" o:spid="_x0000_s1027"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v88lUAwCAAAcBAAA&#10;DgAAAAAAAAAAAAAAAAAuAgAAZHJzL2Uyb0RvYy54bWxQSwECLQAUAAYACAAAACEAVqe4ytoAAAAD&#10;AQAADwAAAAAAAAAAAAAAAABmBAAAZHJzL2Rvd25yZXYueG1sUEsFBgAAAAAEAAQA8wAAAG0FAAAA&#10;AA==&#10;" filled="f" stroked="f">
              <v:textbox style="mso-fit-shape-to-text:t" inset="0,0,0,15pt">
                <w:txbxContent>
                  <w:p w14:paraId="04ACF402" w14:textId="7A19AD6A" w:rsidR="00A5056D" w:rsidRPr="00A5056D" w:rsidRDefault="00A5056D" w:rsidP="00A5056D">
                    <w:pPr>
                      <w:spacing w:after="0"/>
                      <w:rPr>
                        <w:rFonts w:ascii="Aptos" w:eastAsia="Aptos" w:hAnsi="Aptos" w:cs="Aptos"/>
                        <w:noProof/>
                        <w:color w:val="FF0000"/>
                        <w:sz w:val="24"/>
                        <w:szCs w:val="24"/>
                      </w:rPr>
                    </w:pPr>
                    <w:r w:rsidRPr="00A5056D">
                      <w:rPr>
                        <w:rFonts w:ascii="Aptos" w:eastAsia="Aptos" w:hAnsi="Aptos" w:cs="Aptos"/>
                        <w:noProof/>
                        <w:color w:val="FF0000"/>
                        <w:sz w:val="24"/>
                        <w:szCs w:val="24"/>
                      </w:rPr>
                      <w:t>OFFICIAL</w:t>
                    </w:r>
                  </w:p>
                </w:txbxContent>
              </v:textbox>
              <w10:wrap anchorx="page" anchory="page"/>
            </v:shape>
          </w:pict>
        </mc:Fallback>
      </mc:AlternateContent>
    </w:r>
    <w:r w:rsidR="00331601">
      <w:rPr>
        <w:rStyle w:val="PageNumber"/>
      </w:rPr>
      <w:fldChar w:fldCharType="begin"/>
    </w:r>
    <w:r w:rsidR="00331601">
      <w:rPr>
        <w:rStyle w:val="PageNumber"/>
      </w:rPr>
      <w:instrText xml:space="preserve">PAGE  </w:instrText>
    </w:r>
    <w:r w:rsidR="00331601">
      <w:rPr>
        <w:rStyle w:val="PageNumber"/>
      </w:rPr>
      <w:fldChar w:fldCharType="separate"/>
    </w:r>
    <w:r w:rsidR="00331601">
      <w:rPr>
        <w:rStyle w:val="PageNumber"/>
        <w:noProof/>
      </w:rPr>
      <w:t>2</w:t>
    </w:r>
    <w:r w:rsidR="00331601">
      <w:rPr>
        <w:rStyle w:val="PageNumber"/>
      </w:rPr>
      <w:fldChar w:fldCharType="end"/>
    </w:r>
  </w:p>
  <w:p w14:paraId="0ED82BBE" w14:textId="77777777" w:rsidR="00331601" w:rsidRDefault="00331601" w:rsidP="002723BB">
    <w:pPr>
      <w:pStyle w:val="Footer"/>
      <w:spacing w:after="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43D3" w14:textId="27A24259" w:rsidR="00331601" w:rsidRPr="006224A0" w:rsidRDefault="00331601" w:rsidP="006224A0">
    <w:pPr>
      <w:pStyle w:val="Footer"/>
      <w:tabs>
        <w:tab w:val="clear" w:pos="8306"/>
        <w:tab w:val="left" w:pos="8505"/>
      </w:tabs>
      <w:spacing w:after="0"/>
      <w:rPr>
        <w:rFonts w:ascii="Arial" w:hAnsi="Arial" w:cs="Arial"/>
        <w:sz w:val="20"/>
        <w:szCs w:val="20"/>
      </w:rPr>
    </w:pPr>
    <w:r w:rsidRPr="006224A0">
      <w:rPr>
        <w:rFonts w:ascii="Arial" w:hAnsi="Arial" w:cs="Arial"/>
        <w:sz w:val="20"/>
        <w:szCs w:val="20"/>
      </w:rPr>
      <w:t xml:space="preserve">GTTAC Communiqué </w:t>
    </w:r>
    <w:r w:rsidR="006F739D">
      <w:rPr>
        <w:rFonts w:ascii="Arial" w:hAnsi="Arial" w:cs="Arial"/>
        <w:sz w:val="20"/>
        <w:szCs w:val="20"/>
      </w:rPr>
      <w:t xml:space="preserve">- meeting on </w:t>
    </w:r>
    <w:r w:rsidR="008F7326">
      <w:rPr>
        <w:rFonts w:ascii="Arial" w:hAnsi="Arial" w:cs="Arial"/>
        <w:sz w:val="20"/>
        <w:szCs w:val="20"/>
      </w:rPr>
      <w:t>3 June 2025</w:t>
    </w:r>
    <w:r w:rsidRPr="006224A0">
      <w:rPr>
        <w:rFonts w:ascii="Arial" w:hAnsi="Arial" w:cs="Arial"/>
        <w:sz w:val="20"/>
        <w:szCs w:val="20"/>
      </w:rPr>
      <w:tab/>
      <w:t xml:space="preserve">Page </w:t>
    </w:r>
    <w:sdt>
      <w:sdtPr>
        <w:rPr>
          <w:rFonts w:ascii="Arial" w:hAnsi="Arial" w:cs="Arial"/>
          <w:sz w:val="20"/>
          <w:szCs w:val="20"/>
        </w:rPr>
        <w:id w:val="-52394294"/>
        <w:docPartObj>
          <w:docPartGallery w:val="Page Numbers (Bottom of Page)"/>
          <w:docPartUnique/>
        </w:docPartObj>
      </w:sdtPr>
      <w:sdtEndPr>
        <w:rPr>
          <w:noProof/>
        </w:rPr>
      </w:sdtEndPr>
      <w:sdtContent>
        <w:r w:rsidRPr="006224A0">
          <w:rPr>
            <w:rFonts w:ascii="Arial" w:hAnsi="Arial" w:cs="Arial"/>
            <w:sz w:val="20"/>
            <w:szCs w:val="20"/>
          </w:rPr>
          <w:fldChar w:fldCharType="begin"/>
        </w:r>
        <w:r w:rsidRPr="006224A0">
          <w:rPr>
            <w:rFonts w:ascii="Arial" w:hAnsi="Arial" w:cs="Arial"/>
            <w:sz w:val="20"/>
            <w:szCs w:val="20"/>
          </w:rPr>
          <w:instrText xml:space="preserve"> PAGE   \* MERGEFORMAT </w:instrText>
        </w:r>
        <w:r w:rsidRPr="006224A0">
          <w:rPr>
            <w:rFonts w:ascii="Arial" w:hAnsi="Arial" w:cs="Arial"/>
            <w:sz w:val="20"/>
            <w:szCs w:val="20"/>
          </w:rPr>
          <w:fldChar w:fldCharType="separate"/>
        </w:r>
        <w:r>
          <w:rPr>
            <w:rFonts w:ascii="Arial" w:hAnsi="Arial" w:cs="Arial"/>
            <w:sz w:val="20"/>
            <w:szCs w:val="20"/>
          </w:rPr>
          <w:t>1</w:t>
        </w:r>
        <w:r w:rsidRPr="006224A0">
          <w:rPr>
            <w:rFonts w:ascii="Arial" w:hAnsi="Arial" w:cs="Arial"/>
            <w:noProof/>
            <w:sz w:val="20"/>
            <w:szCs w:val="20"/>
          </w:rPr>
          <w:fldChar w:fldCharType="end"/>
        </w:r>
        <w:r w:rsidRPr="006224A0">
          <w:rPr>
            <w:rFonts w:ascii="Arial" w:hAnsi="Arial" w:cs="Arial"/>
            <w:noProof/>
            <w:sz w:val="20"/>
            <w:szCs w:val="20"/>
          </w:rPr>
          <w:t xml:space="preserve"> of </w:t>
        </w:r>
        <w:r w:rsidRPr="006224A0">
          <w:rPr>
            <w:rFonts w:ascii="Arial" w:hAnsi="Arial" w:cs="Arial"/>
            <w:noProof/>
            <w:sz w:val="20"/>
            <w:szCs w:val="20"/>
          </w:rPr>
          <w:fldChar w:fldCharType="begin"/>
        </w:r>
        <w:r w:rsidRPr="006224A0">
          <w:rPr>
            <w:rFonts w:ascii="Arial" w:hAnsi="Arial" w:cs="Arial"/>
            <w:noProof/>
            <w:sz w:val="20"/>
            <w:szCs w:val="20"/>
          </w:rPr>
          <w:instrText xml:space="preserve"> NUMPAGES   \* MERGEFORMAT </w:instrText>
        </w:r>
        <w:r w:rsidRPr="006224A0">
          <w:rPr>
            <w:rFonts w:ascii="Arial" w:hAnsi="Arial" w:cs="Arial"/>
            <w:noProof/>
            <w:sz w:val="20"/>
            <w:szCs w:val="20"/>
          </w:rPr>
          <w:fldChar w:fldCharType="separate"/>
        </w:r>
        <w:r>
          <w:rPr>
            <w:rFonts w:ascii="Arial" w:hAnsi="Arial" w:cs="Arial"/>
            <w:noProof/>
            <w:sz w:val="20"/>
            <w:szCs w:val="20"/>
          </w:rPr>
          <w:t>3</w:t>
        </w:r>
        <w:r w:rsidRPr="006224A0">
          <w:rPr>
            <w:rFonts w:ascii="Arial" w:hAnsi="Arial" w:cs="Arial"/>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F1E0" w14:textId="7A20E0DA" w:rsidR="00331601" w:rsidRPr="006224A0" w:rsidRDefault="00331601" w:rsidP="006224A0">
    <w:pPr>
      <w:pStyle w:val="Footer"/>
      <w:tabs>
        <w:tab w:val="clear" w:pos="8306"/>
        <w:tab w:val="left" w:pos="8505"/>
      </w:tabs>
      <w:spacing w:after="0"/>
      <w:rPr>
        <w:rFonts w:ascii="Arial" w:hAnsi="Arial" w:cs="Arial"/>
        <w:sz w:val="20"/>
        <w:szCs w:val="20"/>
      </w:rPr>
    </w:pPr>
    <w:r w:rsidRPr="006224A0">
      <w:rPr>
        <w:rFonts w:ascii="Arial" w:hAnsi="Arial" w:cs="Arial"/>
        <w:sz w:val="20"/>
        <w:szCs w:val="20"/>
      </w:rPr>
      <w:t xml:space="preserve">GTTAC Communiqué </w:t>
    </w:r>
    <w:r>
      <w:rPr>
        <w:rFonts w:ascii="Arial" w:hAnsi="Arial" w:cs="Arial"/>
        <w:sz w:val="20"/>
        <w:szCs w:val="20"/>
      </w:rPr>
      <w:t xml:space="preserve">– meeting on </w:t>
    </w:r>
    <w:r w:rsidR="008F7326">
      <w:rPr>
        <w:rFonts w:ascii="Arial" w:hAnsi="Arial" w:cs="Arial"/>
        <w:sz w:val="20"/>
        <w:szCs w:val="20"/>
      </w:rPr>
      <w:t>3 June 2025</w:t>
    </w:r>
    <w:r w:rsidRPr="006224A0">
      <w:rPr>
        <w:rFonts w:ascii="Arial" w:hAnsi="Arial" w:cs="Arial"/>
        <w:sz w:val="20"/>
        <w:szCs w:val="20"/>
      </w:rPr>
      <w:tab/>
      <w:t xml:space="preserve">Page </w:t>
    </w:r>
    <w:sdt>
      <w:sdtPr>
        <w:rPr>
          <w:rFonts w:ascii="Arial" w:hAnsi="Arial" w:cs="Arial"/>
          <w:sz w:val="20"/>
          <w:szCs w:val="20"/>
        </w:rPr>
        <w:id w:val="1937241287"/>
        <w:docPartObj>
          <w:docPartGallery w:val="Page Numbers (Bottom of Page)"/>
          <w:docPartUnique/>
        </w:docPartObj>
      </w:sdtPr>
      <w:sdtEndPr>
        <w:rPr>
          <w:noProof/>
        </w:rPr>
      </w:sdtEndPr>
      <w:sdtContent>
        <w:r w:rsidRPr="006224A0">
          <w:rPr>
            <w:rFonts w:ascii="Arial" w:hAnsi="Arial" w:cs="Arial"/>
            <w:sz w:val="20"/>
            <w:szCs w:val="20"/>
          </w:rPr>
          <w:fldChar w:fldCharType="begin"/>
        </w:r>
        <w:r w:rsidRPr="006224A0">
          <w:rPr>
            <w:rFonts w:ascii="Arial" w:hAnsi="Arial" w:cs="Arial"/>
            <w:sz w:val="20"/>
            <w:szCs w:val="20"/>
          </w:rPr>
          <w:instrText xml:space="preserve"> PAGE   \* MERGEFORMAT </w:instrText>
        </w:r>
        <w:r w:rsidRPr="006224A0">
          <w:rPr>
            <w:rFonts w:ascii="Arial" w:hAnsi="Arial" w:cs="Arial"/>
            <w:sz w:val="20"/>
            <w:szCs w:val="20"/>
          </w:rPr>
          <w:fldChar w:fldCharType="separate"/>
        </w:r>
        <w:r w:rsidRPr="006224A0">
          <w:rPr>
            <w:rFonts w:ascii="Arial" w:hAnsi="Arial" w:cs="Arial"/>
            <w:noProof/>
            <w:sz w:val="20"/>
            <w:szCs w:val="20"/>
          </w:rPr>
          <w:t>2</w:t>
        </w:r>
        <w:r w:rsidRPr="006224A0">
          <w:rPr>
            <w:rFonts w:ascii="Arial" w:hAnsi="Arial" w:cs="Arial"/>
            <w:noProof/>
            <w:sz w:val="20"/>
            <w:szCs w:val="20"/>
          </w:rPr>
          <w:fldChar w:fldCharType="end"/>
        </w:r>
        <w:r w:rsidRPr="006224A0">
          <w:rPr>
            <w:rFonts w:ascii="Arial" w:hAnsi="Arial" w:cs="Arial"/>
            <w:noProof/>
            <w:sz w:val="20"/>
            <w:szCs w:val="20"/>
          </w:rPr>
          <w:t xml:space="preserve"> of </w:t>
        </w:r>
        <w:r w:rsidRPr="006224A0">
          <w:rPr>
            <w:rFonts w:ascii="Arial" w:hAnsi="Arial" w:cs="Arial"/>
            <w:noProof/>
            <w:sz w:val="20"/>
            <w:szCs w:val="20"/>
          </w:rPr>
          <w:fldChar w:fldCharType="begin"/>
        </w:r>
        <w:r w:rsidRPr="006224A0">
          <w:rPr>
            <w:rFonts w:ascii="Arial" w:hAnsi="Arial" w:cs="Arial"/>
            <w:noProof/>
            <w:sz w:val="20"/>
            <w:szCs w:val="20"/>
          </w:rPr>
          <w:instrText xml:space="preserve"> NUMPAGES   \* MERGEFORMAT </w:instrText>
        </w:r>
        <w:r w:rsidRPr="006224A0">
          <w:rPr>
            <w:rFonts w:ascii="Arial" w:hAnsi="Arial" w:cs="Arial"/>
            <w:noProof/>
            <w:sz w:val="20"/>
            <w:szCs w:val="20"/>
          </w:rPr>
          <w:fldChar w:fldCharType="separate"/>
        </w:r>
        <w:r w:rsidRPr="006224A0">
          <w:rPr>
            <w:rFonts w:ascii="Arial" w:hAnsi="Arial" w:cs="Arial"/>
            <w:noProof/>
            <w:sz w:val="20"/>
            <w:szCs w:val="20"/>
          </w:rPr>
          <w:t>3</w:t>
        </w:r>
        <w:r w:rsidRPr="006224A0">
          <w:rPr>
            <w:rFonts w:ascii="Arial"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B9699" w14:textId="77777777" w:rsidR="00702B7B" w:rsidRDefault="00702B7B">
      <w:pPr>
        <w:spacing w:after="0" w:line="240" w:lineRule="auto"/>
      </w:pPr>
      <w:r>
        <w:separator/>
      </w:r>
    </w:p>
  </w:footnote>
  <w:footnote w:type="continuationSeparator" w:id="0">
    <w:p w14:paraId="07F06E29" w14:textId="77777777" w:rsidR="00702B7B" w:rsidRDefault="00702B7B">
      <w:pPr>
        <w:spacing w:after="0" w:line="240" w:lineRule="auto"/>
      </w:pPr>
      <w:r>
        <w:continuationSeparator/>
      </w:r>
    </w:p>
  </w:footnote>
  <w:footnote w:type="continuationNotice" w:id="1">
    <w:p w14:paraId="0B450C98" w14:textId="77777777" w:rsidR="00702B7B" w:rsidRDefault="00702B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8173" w14:textId="0231E940" w:rsidR="00A5056D" w:rsidRDefault="00A5056D">
    <w:pPr>
      <w:pStyle w:val="Header"/>
    </w:pPr>
    <w:r>
      <w:rPr>
        <w:noProof/>
        <w:snapToGrid/>
        <w14:ligatures w14:val="standardContextual"/>
      </w:rPr>
      <mc:AlternateContent>
        <mc:Choice Requires="wps">
          <w:drawing>
            <wp:anchor distT="0" distB="0" distL="0" distR="0" simplePos="0" relativeHeight="251659264" behindDoc="0" locked="0" layoutInCell="1" allowOverlap="1" wp14:anchorId="4FCDF56B" wp14:editId="39BE2C87">
              <wp:simplePos x="635" y="635"/>
              <wp:positionH relativeFrom="page">
                <wp:align>center</wp:align>
              </wp:positionH>
              <wp:positionV relativeFrom="page">
                <wp:align>top</wp:align>
              </wp:positionV>
              <wp:extent cx="622300" cy="404495"/>
              <wp:effectExtent l="0" t="0" r="6350" b="14605"/>
              <wp:wrapNone/>
              <wp:docPr id="14271788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4E481F1" w14:textId="1D59C807" w:rsidR="00A5056D" w:rsidRPr="00A5056D" w:rsidRDefault="00A5056D" w:rsidP="00A5056D">
                          <w:pPr>
                            <w:spacing w:after="0"/>
                            <w:rPr>
                              <w:rFonts w:ascii="Aptos" w:eastAsia="Aptos" w:hAnsi="Aptos" w:cs="Aptos"/>
                              <w:noProof/>
                              <w:color w:val="FF0000"/>
                              <w:sz w:val="24"/>
                              <w:szCs w:val="24"/>
                            </w:rPr>
                          </w:pPr>
                          <w:r w:rsidRPr="00A5056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CDF56B"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14E481F1" w14:textId="1D59C807" w:rsidR="00A5056D" w:rsidRPr="00A5056D" w:rsidRDefault="00A5056D" w:rsidP="00A5056D">
                    <w:pPr>
                      <w:spacing w:after="0"/>
                      <w:rPr>
                        <w:rFonts w:ascii="Aptos" w:eastAsia="Aptos" w:hAnsi="Aptos" w:cs="Aptos"/>
                        <w:noProof/>
                        <w:color w:val="FF0000"/>
                        <w:sz w:val="24"/>
                        <w:szCs w:val="24"/>
                      </w:rPr>
                    </w:pPr>
                    <w:r w:rsidRPr="00A5056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EDCD" w14:textId="7A40EA83" w:rsidR="00331601" w:rsidRDefault="00F43EB3" w:rsidP="00091301">
    <w:pPr>
      <w:pStyle w:val="Header"/>
      <w:tabs>
        <w:tab w:val="clear" w:pos="4153"/>
        <w:tab w:val="clear" w:pos="8306"/>
        <w:tab w:val="left" w:pos="5245"/>
        <w:tab w:val="right" w:pos="9498"/>
      </w:tabs>
      <w:spacing w:after="0"/>
      <w:jc w:val="center"/>
      <w:rPr>
        <w:b/>
        <w:lang w:val="en-AU"/>
      </w:rPr>
    </w:pPr>
    <w:r>
      <w:rPr>
        <w:noProof/>
      </w:rPr>
      <w:drawing>
        <wp:anchor distT="0" distB="0" distL="114300" distR="114300" simplePos="0" relativeHeight="251665408" behindDoc="1" locked="0" layoutInCell="1" allowOverlap="1" wp14:anchorId="3D9F8901" wp14:editId="39C8F2D6">
          <wp:simplePos x="0" y="0"/>
          <wp:positionH relativeFrom="margin">
            <wp:align>center</wp:align>
          </wp:positionH>
          <wp:positionV relativeFrom="page">
            <wp:posOffset>445770</wp:posOffset>
          </wp:positionV>
          <wp:extent cx="2361600" cy="1022400"/>
          <wp:effectExtent l="0" t="0" r="635" b="6350"/>
          <wp:wrapTopAndBottom/>
          <wp:docPr id="2" name="Picture 2" descr="Office of the Gene Technology Regul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ffice of the Gene Technology Regulator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61600" cy="102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11FE"/>
    <w:multiLevelType w:val="hybridMultilevel"/>
    <w:tmpl w:val="D5A8210C"/>
    <w:lvl w:ilvl="0" w:tplc="54722ABC">
      <w:start w:val="1"/>
      <w:numFmt w:val="bullet"/>
      <w:lvlText w:val=""/>
      <w:lvlJc w:val="left"/>
      <w:pPr>
        <w:ind w:left="720" w:hanging="360"/>
      </w:pPr>
      <w:rPr>
        <w:rFonts w:ascii="Symbol" w:hAnsi="Symbol"/>
      </w:rPr>
    </w:lvl>
    <w:lvl w:ilvl="1" w:tplc="C5ACDBAC">
      <w:start w:val="1"/>
      <w:numFmt w:val="bullet"/>
      <w:lvlText w:val=""/>
      <w:lvlJc w:val="left"/>
      <w:pPr>
        <w:ind w:left="720" w:hanging="360"/>
      </w:pPr>
      <w:rPr>
        <w:rFonts w:ascii="Symbol" w:hAnsi="Symbol"/>
      </w:rPr>
    </w:lvl>
    <w:lvl w:ilvl="2" w:tplc="18E8EACE">
      <w:start w:val="1"/>
      <w:numFmt w:val="bullet"/>
      <w:lvlText w:val=""/>
      <w:lvlJc w:val="left"/>
      <w:pPr>
        <w:ind w:left="720" w:hanging="360"/>
      </w:pPr>
      <w:rPr>
        <w:rFonts w:ascii="Symbol" w:hAnsi="Symbol"/>
      </w:rPr>
    </w:lvl>
    <w:lvl w:ilvl="3" w:tplc="8EF6F812">
      <w:start w:val="1"/>
      <w:numFmt w:val="bullet"/>
      <w:lvlText w:val=""/>
      <w:lvlJc w:val="left"/>
      <w:pPr>
        <w:ind w:left="720" w:hanging="360"/>
      </w:pPr>
      <w:rPr>
        <w:rFonts w:ascii="Symbol" w:hAnsi="Symbol"/>
      </w:rPr>
    </w:lvl>
    <w:lvl w:ilvl="4" w:tplc="60CE51D0">
      <w:start w:val="1"/>
      <w:numFmt w:val="bullet"/>
      <w:lvlText w:val=""/>
      <w:lvlJc w:val="left"/>
      <w:pPr>
        <w:ind w:left="720" w:hanging="360"/>
      </w:pPr>
      <w:rPr>
        <w:rFonts w:ascii="Symbol" w:hAnsi="Symbol"/>
      </w:rPr>
    </w:lvl>
    <w:lvl w:ilvl="5" w:tplc="119E5B3E">
      <w:start w:val="1"/>
      <w:numFmt w:val="bullet"/>
      <w:lvlText w:val=""/>
      <w:lvlJc w:val="left"/>
      <w:pPr>
        <w:ind w:left="720" w:hanging="360"/>
      </w:pPr>
      <w:rPr>
        <w:rFonts w:ascii="Symbol" w:hAnsi="Symbol"/>
      </w:rPr>
    </w:lvl>
    <w:lvl w:ilvl="6" w:tplc="F18E5C34">
      <w:start w:val="1"/>
      <w:numFmt w:val="bullet"/>
      <w:lvlText w:val=""/>
      <w:lvlJc w:val="left"/>
      <w:pPr>
        <w:ind w:left="720" w:hanging="360"/>
      </w:pPr>
      <w:rPr>
        <w:rFonts w:ascii="Symbol" w:hAnsi="Symbol"/>
      </w:rPr>
    </w:lvl>
    <w:lvl w:ilvl="7" w:tplc="D0EED694">
      <w:start w:val="1"/>
      <w:numFmt w:val="bullet"/>
      <w:lvlText w:val=""/>
      <w:lvlJc w:val="left"/>
      <w:pPr>
        <w:ind w:left="720" w:hanging="360"/>
      </w:pPr>
      <w:rPr>
        <w:rFonts w:ascii="Symbol" w:hAnsi="Symbol"/>
      </w:rPr>
    </w:lvl>
    <w:lvl w:ilvl="8" w:tplc="65D2B88E">
      <w:start w:val="1"/>
      <w:numFmt w:val="bullet"/>
      <w:lvlText w:val=""/>
      <w:lvlJc w:val="left"/>
      <w:pPr>
        <w:ind w:left="720" w:hanging="360"/>
      </w:pPr>
      <w:rPr>
        <w:rFonts w:ascii="Symbol" w:hAnsi="Symbol"/>
      </w:rPr>
    </w:lvl>
  </w:abstractNum>
  <w:abstractNum w:abstractNumId="1" w15:restartNumberingAfterBreak="0">
    <w:nsid w:val="0FEA337C"/>
    <w:multiLevelType w:val="hybridMultilevel"/>
    <w:tmpl w:val="B8E855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AE3545"/>
    <w:multiLevelType w:val="hybridMultilevel"/>
    <w:tmpl w:val="F0A6CECA"/>
    <w:lvl w:ilvl="0" w:tplc="4A343364">
      <w:start w:val="1"/>
      <w:numFmt w:val="bullet"/>
      <w:lvlText w:val=""/>
      <w:lvlJc w:val="left"/>
      <w:pPr>
        <w:ind w:left="720" w:hanging="360"/>
      </w:pPr>
      <w:rPr>
        <w:rFonts w:ascii="Symbol" w:eastAsiaTheme="minorEastAsia"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34A84AA6"/>
    <w:multiLevelType w:val="hybridMultilevel"/>
    <w:tmpl w:val="105021C2"/>
    <w:lvl w:ilvl="0" w:tplc="8DFC9B14">
      <w:start w:val="1"/>
      <w:numFmt w:val="bullet"/>
      <w:lvlText w:val=""/>
      <w:lvlJc w:val="left"/>
      <w:pPr>
        <w:ind w:left="720" w:hanging="360"/>
      </w:pPr>
      <w:rPr>
        <w:rFonts w:ascii="Symbol" w:hAnsi="Symbol"/>
      </w:rPr>
    </w:lvl>
    <w:lvl w:ilvl="1" w:tplc="E36AED38">
      <w:start w:val="1"/>
      <w:numFmt w:val="bullet"/>
      <w:lvlText w:val=""/>
      <w:lvlJc w:val="left"/>
      <w:pPr>
        <w:ind w:left="720" w:hanging="360"/>
      </w:pPr>
      <w:rPr>
        <w:rFonts w:ascii="Symbol" w:hAnsi="Symbol"/>
      </w:rPr>
    </w:lvl>
    <w:lvl w:ilvl="2" w:tplc="170693CE">
      <w:start w:val="1"/>
      <w:numFmt w:val="bullet"/>
      <w:lvlText w:val=""/>
      <w:lvlJc w:val="left"/>
      <w:pPr>
        <w:ind w:left="720" w:hanging="360"/>
      </w:pPr>
      <w:rPr>
        <w:rFonts w:ascii="Symbol" w:hAnsi="Symbol"/>
      </w:rPr>
    </w:lvl>
    <w:lvl w:ilvl="3" w:tplc="EA08B9D0">
      <w:start w:val="1"/>
      <w:numFmt w:val="bullet"/>
      <w:lvlText w:val=""/>
      <w:lvlJc w:val="left"/>
      <w:pPr>
        <w:ind w:left="720" w:hanging="360"/>
      </w:pPr>
      <w:rPr>
        <w:rFonts w:ascii="Symbol" w:hAnsi="Symbol"/>
      </w:rPr>
    </w:lvl>
    <w:lvl w:ilvl="4" w:tplc="F5B6F8BE">
      <w:start w:val="1"/>
      <w:numFmt w:val="bullet"/>
      <w:lvlText w:val=""/>
      <w:lvlJc w:val="left"/>
      <w:pPr>
        <w:ind w:left="720" w:hanging="360"/>
      </w:pPr>
      <w:rPr>
        <w:rFonts w:ascii="Symbol" w:hAnsi="Symbol"/>
      </w:rPr>
    </w:lvl>
    <w:lvl w:ilvl="5" w:tplc="1D70A16E">
      <w:start w:val="1"/>
      <w:numFmt w:val="bullet"/>
      <w:lvlText w:val=""/>
      <w:lvlJc w:val="left"/>
      <w:pPr>
        <w:ind w:left="720" w:hanging="360"/>
      </w:pPr>
      <w:rPr>
        <w:rFonts w:ascii="Symbol" w:hAnsi="Symbol"/>
      </w:rPr>
    </w:lvl>
    <w:lvl w:ilvl="6" w:tplc="67D6E254">
      <w:start w:val="1"/>
      <w:numFmt w:val="bullet"/>
      <w:lvlText w:val=""/>
      <w:lvlJc w:val="left"/>
      <w:pPr>
        <w:ind w:left="720" w:hanging="360"/>
      </w:pPr>
      <w:rPr>
        <w:rFonts w:ascii="Symbol" w:hAnsi="Symbol"/>
      </w:rPr>
    </w:lvl>
    <w:lvl w:ilvl="7" w:tplc="4F140814">
      <w:start w:val="1"/>
      <w:numFmt w:val="bullet"/>
      <w:lvlText w:val=""/>
      <w:lvlJc w:val="left"/>
      <w:pPr>
        <w:ind w:left="720" w:hanging="360"/>
      </w:pPr>
      <w:rPr>
        <w:rFonts w:ascii="Symbol" w:hAnsi="Symbol"/>
      </w:rPr>
    </w:lvl>
    <w:lvl w:ilvl="8" w:tplc="6966D138">
      <w:start w:val="1"/>
      <w:numFmt w:val="bullet"/>
      <w:lvlText w:val=""/>
      <w:lvlJc w:val="left"/>
      <w:pPr>
        <w:ind w:left="720" w:hanging="360"/>
      </w:pPr>
      <w:rPr>
        <w:rFonts w:ascii="Symbol" w:hAnsi="Symbol"/>
      </w:rPr>
    </w:lvl>
  </w:abstractNum>
  <w:abstractNum w:abstractNumId="4" w15:restartNumberingAfterBreak="0">
    <w:nsid w:val="3D7E403D"/>
    <w:multiLevelType w:val="hybridMultilevel"/>
    <w:tmpl w:val="5F7467EE"/>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5" w15:restartNumberingAfterBreak="0">
    <w:nsid w:val="3DB579D5"/>
    <w:multiLevelType w:val="hybridMultilevel"/>
    <w:tmpl w:val="EB1AC32E"/>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069"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E710E79"/>
    <w:multiLevelType w:val="hybridMultilevel"/>
    <w:tmpl w:val="61464AB2"/>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0AB6C50"/>
    <w:multiLevelType w:val="hybridMultilevel"/>
    <w:tmpl w:val="0E401ADA"/>
    <w:lvl w:ilvl="0" w:tplc="9D705288">
      <w:start w:val="1"/>
      <w:numFmt w:val="bullet"/>
      <w:lvlText w:val=""/>
      <w:lvlJc w:val="left"/>
      <w:pPr>
        <w:ind w:left="720" w:hanging="360"/>
      </w:pPr>
      <w:rPr>
        <w:rFonts w:ascii="Symbol" w:hAnsi="Symbol"/>
      </w:rPr>
    </w:lvl>
    <w:lvl w:ilvl="1" w:tplc="7D324E94">
      <w:start w:val="1"/>
      <w:numFmt w:val="bullet"/>
      <w:lvlText w:val=""/>
      <w:lvlJc w:val="left"/>
      <w:pPr>
        <w:ind w:left="720" w:hanging="360"/>
      </w:pPr>
      <w:rPr>
        <w:rFonts w:ascii="Symbol" w:hAnsi="Symbol"/>
      </w:rPr>
    </w:lvl>
    <w:lvl w:ilvl="2" w:tplc="DC788568">
      <w:start w:val="1"/>
      <w:numFmt w:val="bullet"/>
      <w:lvlText w:val=""/>
      <w:lvlJc w:val="left"/>
      <w:pPr>
        <w:ind w:left="720" w:hanging="360"/>
      </w:pPr>
      <w:rPr>
        <w:rFonts w:ascii="Symbol" w:hAnsi="Symbol"/>
      </w:rPr>
    </w:lvl>
    <w:lvl w:ilvl="3" w:tplc="8DC42D1E">
      <w:start w:val="1"/>
      <w:numFmt w:val="bullet"/>
      <w:lvlText w:val=""/>
      <w:lvlJc w:val="left"/>
      <w:pPr>
        <w:ind w:left="720" w:hanging="360"/>
      </w:pPr>
      <w:rPr>
        <w:rFonts w:ascii="Symbol" w:hAnsi="Symbol"/>
      </w:rPr>
    </w:lvl>
    <w:lvl w:ilvl="4" w:tplc="4D307E3E">
      <w:start w:val="1"/>
      <w:numFmt w:val="bullet"/>
      <w:lvlText w:val=""/>
      <w:lvlJc w:val="left"/>
      <w:pPr>
        <w:ind w:left="720" w:hanging="360"/>
      </w:pPr>
      <w:rPr>
        <w:rFonts w:ascii="Symbol" w:hAnsi="Symbol"/>
      </w:rPr>
    </w:lvl>
    <w:lvl w:ilvl="5" w:tplc="9A96F81E">
      <w:start w:val="1"/>
      <w:numFmt w:val="bullet"/>
      <w:lvlText w:val=""/>
      <w:lvlJc w:val="left"/>
      <w:pPr>
        <w:ind w:left="720" w:hanging="360"/>
      </w:pPr>
      <w:rPr>
        <w:rFonts w:ascii="Symbol" w:hAnsi="Symbol"/>
      </w:rPr>
    </w:lvl>
    <w:lvl w:ilvl="6" w:tplc="268C2586">
      <w:start w:val="1"/>
      <w:numFmt w:val="bullet"/>
      <w:lvlText w:val=""/>
      <w:lvlJc w:val="left"/>
      <w:pPr>
        <w:ind w:left="720" w:hanging="360"/>
      </w:pPr>
      <w:rPr>
        <w:rFonts w:ascii="Symbol" w:hAnsi="Symbol"/>
      </w:rPr>
    </w:lvl>
    <w:lvl w:ilvl="7" w:tplc="FFD8AFEA">
      <w:start w:val="1"/>
      <w:numFmt w:val="bullet"/>
      <w:lvlText w:val=""/>
      <w:lvlJc w:val="left"/>
      <w:pPr>
        <w:ind w:left="720" w:hanging="360"/>
      </w:pPr>
      <w:rPr>
        <w:rFonts w:ascii="Symbol" w:hAnsi="Symbol"/>
      </w:rPr>
    </w:lvl>
    <w:lvl w:ilvl="8" w:tplc="59688220">
      <w:start w:val="1"/>
      <w:numFmt w:val="bullet"/>
      <w:lvlText w:val=""/>
      <w:lvlJc w:val="left"/>
      <w:pPr>
        <w:ind w:left="720" w:hanging="360"/>
      </w:pPr>
      <w:rPr>
        <w:rFonts w:ascii="Symbol" w:hAnsi="Symbol"/>
      </w:rPr>
    </w:lvl>
  </w:abstractNum>
  <w:abstractNum w:abstractNumId="8" w15:restartNumberingAfterBreak="0">
    <w:nsid w:val="677E11C6"/>
    <w:multiLevelType w:val="hybridMultilevel"/>
    <w:tmpl w:val="FDAE8B56"/>
    <w:lvl w:ilvl="0" w:tplc="08FAC3EC">
      <w:start w:val="1"/>
      <w:numFmt w:val="bullet"/>
      <w:lvlText w:val=""/>
      <w:lvlJc w:val="left"/>
      <w:pPr>
        <w:ind w:left="720" w:hanging="360"/>
      </w:pPr>
      <w:rPr>
        <w:rFonts w:ascii="Symbol" w:hAnsi="Symbol"/>
      </w:rPr>
    </w:lvl>
    <w:lvl w:ilvl="1" w:tplc="E7F42B5E">
      <w:start w:val="1"/>
      <w:numFmt w:val="bullet"/>
      <w:lvlText w:val=""/>
      <w:lvlJc w:val="left"/>
      <w:pPr>
        <w:ind w:left="720" w:hanging="360"/>
      </w:pPr>
      <w:rPr>
        <w:rFonts w:ascii="Symbol" w:hAnsi="Symbol"/>
      </w:rPr>
    </w:lvl>
    <w:lvl w:ilvl="2" w:tplc="165AD522">
      <w:start w:val="1"/>
      <w:numFmt w:val="bullet"/>
      <w:lvlText w:val=""/>
      <w:lvlJc w:val="left"/>
      <w:pPr>
        <w:ind w:left="720" w:hanging="360"/>
      </w:pPr>
      <w:rPr>
        <w:rFonts w:ascii="Symbol" w:hAnsi="Symbol"/>
      </w:rPr>
    </w:lvl>
    <w:lvl w:ilvl="3" w:tplc="20EED37A">
      <w:start w:val="1"/>
      <w:numFmt w:val="bullet"/>
      <w:lvlText w:val=""/>
      <w:lvlJc w:val="left"/>
      <w:pPr>
        <w:ind w:left="720" w:hanging="360"/>
      </w:pPr>
      <w:rPr>
        <w:rFonts w:ascii="Symbol" w:hAnsi="Symbol"/>
      </w:rPr>
    </w:lvl>
    <w:lvl w:ilvl="4" w:tplc="920450F8">
      <w:start w:val="1"/>
      <w:numFmt w:val="bullet"/>
      <w:lvlText w:val=""/>
      <w:lvlJc w:val="left"/>
      <w:pPr>
        <w:ind w:left="720" w:hanging="360"/>
      </w:pPr>
      <w:rPr>
        <w:rFonts w:ascii="Symbol" w:hAnsi="Symbol"/>
      </w:rPr>
    </w:lvl>
    <w:lvl w:ilvl="5" w:tplc="C3F05232">
      <w:start w:val="1"/>
      <w:numFmt w:val="bullet"/>
      <w:lvlText w:val=""/>
      <w:lvlJc w:val="left"/>
      <w:pPr>
        <w:ind w:left="720" w:hanging="360"/>
      </w:pPr>
      <w:rPr>
        <w:rFonts w:ascii="Symbol" w:hAnsi="Symbol"/>
      </w:rPr>
    </w:lvl>
    <w:lvl w:ilvl="6" w:tplc="D7C05806">
      <w:start w:val="1"/>
      <w:numFmt w:val="bullet"/>
      <w:lvlText w:val=""/>
      <w:lvlJc w:val="left"/>
      <w:pPr>
        <w:ind w:left="720" w:hanging="360"/>
      </w:pPr>
      <w:rPr>
        <w:rFonts w:ascii="Symbol" w:hAnsi="Symbol"/>
      </w:rPr>
    </w:lvl>
    <w:lvl w:ilvl="7" w:tplc="4208AC5E">
      <w:start w:val="1"/>
      <w:numFmt w:val="bullet"/>
      <w:lvlText w:val=""/>
      <w:lvlJc w:val="left"/>
      <w:pPr>
        <w:ind w:left="720" w:hanging="360"/>
      </w:pPr>
      <w:rPr>
        <w:rFonts w:ascii="Symbol" w:hAnsi="Symbol"/>
      </w:rPr>
    </w:lvl>
    <w:lvl w:ilvl="8" w:tplc="1792B3EA">
      <w:start w:val="1"/>
      <w:numFmt w:val="bullet"/>
      <w:lvlText w:val=""/>
      <w:lvlJc w:val="left"/>
      <w:pPr>
        <w:ind w:left="720" w:hanging="360"/>
      </w:pPr>
      <w:rPr>
        <w:rFonts w:ascii="Symbol" w:hAnsi="Symbol"/>
      </w:rPr>
    </w:lvl>
  </w:abstractNum>
  <w:abstractNum w:abstractNumId="9" w15:restartNumberingAfterBreak="0">
    <w:nsid w:val="69B06157"/>
    <w:multiLevelType w:val="hybridMultilevel"/>
    <w:tmpl w:val="149AA1CE"/>
    <w:lvl w:ilvl="0" w:tplc="C6A42B86">
      <w:start w:val="1"/>
      <w:numFmt w:val="bullet"/>
      <w:lvlText w:val=""/>
      <w:lvlJc w:val="left"/>
      <w:pPr>
        <w:ind w:left="720" w:hanging="360"/>
      </w:pPr>
      <w:rPr>
        <w:rFonts w:ascii="Symbol" w:hAnsi="Symbol"/>
      </w:rPr>
    </w:lvl>
    <w:lvl w:ilvl="1" w:tplc="1EE8F258">
      <w:start w:val="1"/>
      <w:numFmt w:val="bullet"/>
      <w:lvlText w:val=""/>
      <w:lvlJc w:val="left"/>
      <w:pPr>
        <w:ind w:left="720" w:hanging="360"/>
      </w:pPr>
      <w:rPr>
        <w:rFonts w:ascii="Symbol" w:hAnsi="Symbol"/>
      </w:rPr>
    </w:lvl>
    <w:lvl w:ilvl="2" w:tplc="BE94EB68">
      <w:start w:val="1"/>
      <w:numFmt w:val="bullet"/>
      <w:lvlText w:val=""/>
      <w:lvlJc w:val="left"/>
      <w:pPr>
        <w:ind w:left="720" w:hanging="360"/>
      </w:pPr>
      <w:rPr>
        <w:rFonts w:ascii="Symbol" w:hAnsi="Symbol"/>
      </w:rPr>
    </w:lvl>
    <w:lvl w:ilvl="3" w:tplc="8A6A8634">
      <w:start w:val="1"/>
      <w:numFmt w:val="bullet"/>
      <w:lvlText w:val=""/>
      <w:lvlJc w:val="left"/>
      <w:pPr>
        <w:ind w:left="720" w:hanging="360"/>
      </w:pPr>
      <w:rPr>
        <w:rFonts w:ascii="Symbol" w:hAnsi="Symbol"/>
      </w:rPr>
    </w:lvl>
    <w:lvl w:ilvl="4" w:tplc="13FE5C2E">
      <w:start w:val="1"/>
      <w:numFmt w:val="bullet"/>
      <w:lvlText w:val=""/>
      <w:lvlJc w:val="left"/>
      <w:pPr>
        <w:ind w:left="720" w:hanging="360"/>
      </w:pPr>
      <w:rPr>
        <w:rFonts w:ascii="Symbol" w:hAnsi="Symbol"/>
      </w:rPr>
    </w:lvl>
    <w:lvl w:ilvl="5" w:tplc="AE82367E">
      <w:start w:val="1"/>
      <w:numFmt w:val="bullet"/>
      <w:lvlText w:val=""/>
      <w:lvlJc w:val="left"/>
      <w:pPr>
        <w:ind w:left="720" w:hanging="360"/>
      </w:pPr>
      <w:rPr>
        <w:rFonts w:ascii="Symbol" w:hAnsi="Symbol"/>
      </w:rPr>
    </w:lvl>
    <w:lvl w:ilvl="6" w:tplc="D676E5A6">
      <w:start w:val="1"/>
      <w:numFmt w:val="bullet"/>
      <w:lvlText w:val=""/>
      <w:lvlJc w:val="left"/>
      <w:pPr>
        <w:ind w:left="720" w:hanging="360"/>
      </w:pPr>
      <w:rPr>
        <w:rFonts w:ascii="Symbol" w:hAnsi="Symbol"/>
      </w:rPr>
    </w:lvl>
    <w:lvl w:ilvl="7" w:tplc="9CA887FC">
      <w:start w:val="1"/>
      <w:numFmt w:val="bullet"/>
      <w:lvlText w:val=""/>
      <w:lvlJc w:val="left"/>
      <w:pPr>
        <w:ind w:left="720" w:hanging="360"/>
      </w:pPr>
      <w:rPr>
        <w:rFonts w:ascii="Symbol" w:hAnsi="Symbol"/>
      </w:rPr>
    </w:lvl>
    <w:lvl w:ilvl="8" w:tplc="316C53A2">
      <w:start w:val="1"/>
      <w:numFmt w:val="bullet"/>
      <w:lvlText w:val=""/>
      <w:lvlJc w:val="left"/>
      <w:pPr>
        <w:ind w:left="720" w:hanging="360"/>
      </w:pPr>
      <w:rPr>
        <w:rFonts w:ascii="Symbol" w:hAnsi="Symbol"/>
      </w:rPr>
    </w:lvl>
  </w:abstractNum>
  <w:abstractNum w:abstractNumId="10" w15:restartNumberingAfterBreak="0">
    <w:nsid w:val="716F0505"/>
    <w:multiLevelType w:val="hybridMultilevel"/>
    <w:tmpl w:val="70A6FAF2"/>
    <w:lvl w:ilvl="0" w:tplc="D0DE7882">
      <w:start w:val="1"/>
      <w:numFmt w:val="bullet"/>
      <w:lvlText w:val=""/>
      <w:lvlJc w:val="left"/>
      <w:pPr>
        <w:ind w:left="720" w:hanging="360"/>
      </w:pPr>
      <w:rPr>
        <w:rFonts w:ascii="Symbol" w:hAnsi="Symbol"/>
      </w:rPr>
    </w:lvl>
    <w:lvl w:ilvl="1" w:tplc="8A0C8FC2">
      <w:start w:val="1"/>
      <w:numFmt w:val="bullet"/>
      <w:lvlText w:val=""/>
      <w:lvlJc w:val="left"/>
      <w:pPr>
        <w:ind w:left="720" w:hanging="360"/>
      </w:pPr>
      <w:rPr>
        <w:rFonts w:ascii="Symbol" w:hAnsi="Symbol"/>
      </w:rPr>
    </w:lvl>
    <w:lvl w:ilvl="2" w:tplc="A93258BA">
      <w:start w:val="1"/>
      <w:numFmt w:val="bullet"/>
      <w:lvlText w:val=""/>
      <w:lvlJc w:val="left"/>
      <w:pPr>
        <w:ind w:left="720" w:hanging="360"/>
      </w:pPr>
      <w:rPr>
        <w:rFonts w:ascii="Symbol" w:hAnsi="Symbol"/>
      </w:rPr>
    </w:lvl>
    <w:lvl w:ilvl="3" w:tplc="50683064">
      <w:start w:val="1"/>
      <w:numFmt w:val="bullet"/>
      <w:lvlText w:val=""/>
      <w:lvlJc w:val="left"/>
      <w:pPr>
        <w:ind w:left="720" w:hanging="360"/>
      </w:pPr>
      <w:rPr>
        <w:rFonts w:ascii="Symbol" w:hAnsi="Symbol"/>
      </w:rPr>
    </w:lvl>
    <w:lvl w:ilvl="4" w:tplc="F97A6B5A">
      <w:start w:val="1"/>
      <w:numFmt w:val="bullet"/>
      <w:lvlText w:val=""/>
      <w:lvlJc w:val="left"/>
      <w:pPr>
        <w:ind w:left="720" w:hanging="360"/>
      </w:pPr>
      <w:rPr>
        <w:rFonts w:ascii="Symbol" w:hAnsi="Symbol"/>
      </w:rPr>
    </w:lvl>
    <w:lvl w:ilvl="5" w:tplc="B82A9294">
      <w:start w:val="1"/>
      <w:numFmt w:val="bullet"/>
      <w:lvlText w:val=""/>
      <w:lvlJc w:val="left"/>
      <w:pPr>
        <w:ind w:left="720" w:hanging="360"/>
      </w:pPr>
      <w:rPr>
        <w:rFonts w:ascii="Symbol" w:hAnsi="Symbol"/>
      </w:rPr>
    </w:lvl>
    <w:lvl w:ilvl="6" w:tplc="CAE41F68">
      <w:start w:val="1"/>
      <w:numFmt w:val="bullet"/>
      <w:lvlText w:val=""/>
      <w:lvlJc w:val="left"/>
      <w:pPr>
        <w:ind w:left="720" w:hanging="360"/>
      </w:pPr>
      <w:rPr>
        <w:rFonts w:ascii="Symbol" w:hAnsi="Symbol"/>
      </w:rPr>
    </w:lvl>
    <w:lvl w:ilvl="7" w:tplc="63C02A40">
      <w:start w:val="1"/>
      <w:numFmt w:val="bullet"/>
      <w:lvlText w:val=""/>
      <w:lvlJc w:val="left"/>
      <w:pPr>
        <w:ind w:left="720" w:hanging="360"/>
      </w:pPr>
      <w:rPr>
        <w:rFonts w:ascii="Symbol" w:hAnsi="Symbol"/>
      </w:rPr>
    </w:lvl>
    <w:lvl w:ilvl="8" w:tplc="3FA4EF52">
      <w:start w:val="1"/>
      <w:numFmt w:val="bullet"/>
      <w:lvlText w:val=""/>
      <w:lvlJc w:val="left"/>
      <w:pPr>
        <w:ind w:left="720" w:hanging="360"/>
      </w:pPr>
      <w:rPr>
        <w:rFonts w:ascii="Symbol" w:hAnsi="Symbol"/>
      </w:rPr>
    </w:lvl>
  </w:abstractNum>
  <w:abstractNum w:abstractNumId="11" w15:restartNumberingAfterBreak="0">
    <w:nsid w:val="7A4D27A2"/>
    <w:multiLevelType w:val="hybridMultilevel"/>
    <w:tmpl w:val="36BE9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6929471">
    <w:abstractNumId w:val="1"/>
  </w:num>
  <w:num w:numId="2" w16cid:durableId="2036150877">
    <w:abstractNumId w:val="2"/>
  </w:num>
  <w:num w:numId="3" w16cid:durableId="596640122">
    <w:abstractNumId w:val="1"/>
  </w:num>
  <w:num w:numId="4" w16cid:durableId="1580752062">
    <w:abstractNumId w:val="6"/>
  </w:num>
  <w:num w:numId="5" w16cid:durableId="943421961">
    <w:abstractNumId w:val="5"/>
  </w:num>
  <w:num w:numId="6" w16cid:durableId="221450392">
    <w:abstractNumId w:val="4"/>
  </w:num>
  <w:num w:numId="7" w16cid:durableId="378551409">
    <w:abstractNumId w:val="11"/>
  </w:num>
  <w:num w:numId="8" w16cid:durableId="1997025236">
    <w:abstractNumId w:val="3"/>
  </w:num>
  <w:num w:numId="9" w16cid:durableId="1342507087">
    <w:abstractNumId w:val="7"/>
  </w:num>
  <w:num w:numId="10" w16cid:durableId="1525747946">
    <w:abstractNumId w:val="8"/>
  </w:num>
  <w:num w:numId="11" w16cid:durableId="1491168234">
    <w:abstractNumId w:val="10"/>
  </w:num>
  <w:num w:numId="12" w16cid:durableId="1458841298">
    <w:abstractNumId w:val="0"/>
  </w:num>
  <w:num w:numId="13" w16cid:durableId="20571974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601"/>
    <w:rsid w:val="00000BAA"/>
    <w:rsid w:val="00002325"/>
    <w:rsid w:val="00025736"/>
    <w:rsid w:val="0003564D"/>
    <w:rsid w:val="00045A9E"/>
    <w:rsid w:val="00057121"/>
    <w:rsid w:val="00071DC3"/>
    <w:rsid w:val="000764D5"/>
    <w:rsid w:val="00077F6E"/>
    <w:rsid w:val="000B3139"/>
    <w:rsid w:val="000C0013"/>
    <w:rsid w:val="000C27B4"/>
    <w:rsid w:val="000D172E"/>
    <w:rsid w:val="000D452B"/>
    <w:rsid w:val="000D6DB2"/>
    <w:rsid w:val="000F3E65"/>
    <w:rsid w:val="0010076C"/>
    <w:rsid w:val="00100D9A"/>
    <w:rsid w:val="001212BF"/>
    <w:rsid w:val="00122BAB"/>
    <w:rsid w:val="00143769"/>
    <w:rsid w:val="00146A2B"/>
    <w:rsid w:val="00152FCD"/>
    <w:rsid w:val="00161172"/>
    <w:rsid w:val="001713BB"/>
    <w:rsid w:val="00175CD9"/>
    <w:rsid w:val="0018727B"/>
    <w:rsid w:val="001A179F"/>
    <w:rsid w:val="001B6196"/>
    <w:rsid w:val="001B6AEC"/>
    <w:rsid w:val="001D0AF7"/>
    <w:rsid w:val="001D3422"/>
    <w:rsid w:val="001D5C65"/>
    <w:rsid w:val="001E0E76"/>
    <w:rsid w:val="001E308B"/>
    <w:rsid w:val="001F74AD"/>
    <w:rsid w:val="00200826"/>
    <w:rsid w:val="0021535B"/>
    <w:rsid w:val="00224812"/>
    <w:rsid w:val="002335D4"/>
    <w:rsid w:val="002348FA"/>
    <w:rsid w:val="00277B54"/>
    <w:rsid w:val="00280050"/>
    <w:rsid w:val="002813C9"/>
    <w:rsid w:val="00295970"/>
    <w:rsid w:val="002A153D"/>
    <w:rsid w:val="002E3FFA"/>
    <w:rsid w:val="002E7E49"/>
    <w:rsid w:val="003075C3"/>
    <w:rsid w:val="00311EDA"/>
    <w:rsid w:val="003242A6"/>
    <w:rsid w:val="0033067C"/>
    <w:rsid w:val="00331601"/>
    <w:rsid w:val="00351EE7"/>
    <w:rsid w:val="00362F8A"/>
    <w:rsid w:val="0036546E"/>
    <w:rsid w:val="00372232"/>
    <w:rsid w:val="00375496"/>
    <w:rsid w:val="003904C1"/>
    <w:rsid w:val="00392A12"/>
    <w:rsid w:val="003A0EB9"/>
    <w:rsid w:val="003A59CF"/>
    <w:rsid w:val="003D2FA4"/>
    <w:rsid w:val="003D7FD4"/>
    <w:rsid w:val="003E77F1"/>
    <w:rsid w:val="003F0343"/>
    <w:rsid w:val="004078D9"/>
    <w:rsid w:val="00414F4D"/>
    <w:rsid w:val="0041550F"/>
    <w:rsid w:val="00422435"/>
    <w:rsid w:val="00425BF5"/>
    <w:rsid w:val="00426A39"/>
    <w:rsid w:val="004378CC"/>
    <w:rsid w:val="00457D01"/>
    <w:rsid w:val="00457E1B"/>
    <w:rsid w:val="00470087"/>
    <w:rsid w:val="004949DE"/>
    <w:rsid w:val="00495537"/>
    <w:rsid w:val="004A296E"/>
    <w:rsid w:val="004A7AD8"/>
    <w:rsid w:val="004C18E5"/>
    <w:rsid w:val="004C5298"/>
    <w:rsid w:val="004C6422"/>
    <w:rsid w:val="004D79C6"/>
    <w:rsid w:val="004E19EC"/>
    <w:rsid w:val="004E2924"/>
    <w:rsid w:val="004E2FF2"/>
    <w:rsid w:val="00504035"/>
    <w:rsid w:val="00517985"/>
    <w:rsid w:val="005206A7"/>
    <w:rsid w:val="00545DCE"/>
    <w:rsid w:val="00547EAD"/>
    <w:rsid w:val="0055152B"/>
    <w:rsid w:val="00560829"/>
    <w:rsid w:val="00563B60"/>
    <w:rsid w:val="00564F83"/>
    <w:rsid w:val="00590249"/>
    <w:rsid w:val="005B4CA6"/>
    <w:rsid w:val="005C7ADD"/>
    <w:rsid w:val="005E5A4F"/>
    <w:rsid w:val="005F34DF"/>
    <w:rsid w:val="006035F6"/>
    <w:rsid w:val="00610857"/>
    <w:rsid w:val="00626A1A"/>
    <w:rsid w:val="00627926"/>
    <w:rsid w:val="0063463F"/>
    <w:rsid w:val="00644589"/>
    <w:rsid w:val="006633FD"/>
    <w:rsid w:val="00675BF7"/>
    <w:rsid w:val="00676498"/>
    <w:rsid w:val="00687034"/>
    <w:rsid w:val="00695E06"/>
    <w:rsid w:val="006B5E54"/>
    <w:rsid w:val="006F739D"/>
    <w:rsid w:val="00702B7B"/>
    <w:rsid w:val="00712597"/>
    <w:rsid w:val="00716687"/>
    <w:rsid w:val="007177E8"/>
    <w:rsid w:val="00717A2C"/>
    <w:rsid w:val="00736AAF"/>
    <w:rsid w:val="00737AF9"/>
    <w:rsid w:val="007635A2"/>
    <w:rsid w:val="00767527"/>
    <w:rsid w:val="007841EC"/>
    <w:rsid w:val="0079641C"/>
    <w:rsid w:val="007A3FAE"/>
    <w:rsid w:val="007C5D1F"/>
    <w:rsid w:val="007C72A5"/>
    <w:rsid w:val="007D5632"/>
    <w:rsid w:val="007E166F"/>
    <w:rsid w:val="007E7D8E"/>
    <w:rsid w:val="007F46EB"/>
    <w:rsid w:val="008069FD"/>
    <w:rsid w:val="00811011"/>
    <w:rsid w:val="0081538F"/>
    <w:rsid w:val="00834CE9"/>
    <w:rsid w:val="00837924"/>
    <w:rsid w:val="00854DB4"/>
    <w:rsid w:val="00863247"/>
    <w:rsid w:val="00864024"/>
    <w:rsid w:val="008A5F7A"/>
    <w:rsid w:val="008B1071"/>
    <w:rsid w:val="008C1E0E"/>
    <w:rsid w:val="008C3C8A"/>
    <w:rsid w:val="008F07C5"/>
    <w:rsid w:val="008F34C9"/>
    <w:rsid w:val="008F7326"/>
    <w:rsid w:val="00902A19"/>
    <w:rsid w:val="00912C54"/>
    <w:rsid w:val="00930339"/>
    <w:rsid w:val="00946D28"/>
    <w:rsid w:val="00950B35"/>
    <w:rsid w:val="00955363"/>
    <w:rsid w:val="00961786"/>
    <w:rsid w:val="00966FD7"/>
    <w:rsid w:val="00994EE8"/>
    <w:rsid w:val="009967CD"/>
    <w:rsid w:val="009C23CE"/>
    <w:rsid w:val="009C5489"/>
    <w:rsid w:val="009C6CC7"/>
    <w:rsid w:val="009E0CE2"/>
    <w:rsid w:val="00A254B0"/>
    <w:rsid w:val="00A3151F"/>
    <w:rsid w:val="00A5056D"/>
    <w:rsid w:val="00A5271F"/>
    <w:rsid w:val="00A53942"/>
    <w:rsid w:val="00A75EFD"/>
    <w:rsid w:val="00A77E97"/>
    <w:rsid w:val="00A81AD9"/>
    <w:rsid w:val="00A82E95"/>
    <w:rsid w:val="00A967DC"/>
    <w:rsid w:val="00A9710E"/>
    <w:rsid w:val="00A97BBB"/>
    <w:rsid w:val="00AA5F8B"/>
    <w:rsid w:val="00AB3900"/>
    <w:rsid w:val="00AB5677"/>
    <w:rsid w:val="00AD59DD"/>
    <w:rsid w:val="00B0664A"/>
    <w:rsid w:val="00B22424"/>
    <w:rsid w:val="00B43901"/>
    <w:rsid w:val="00B477F2"/>
    <w:rsid w:val="00B53B07"/>
    <w:rsid w:val="00B55240"/>
    <w:rsid w:val="00B74E43"/>
    <w:rsid w:val="00B8393D"/>
    <w:rsid w:val="00B93D1C"/>
    <w:rsid w:val="00B951F1"/>
    <w:rsid w:val="00BA4B9F"/>
    <w:rsid w:val="00BB48F8"/>
    <w:rsid w:val="00BB5C05"/>
    <w:rsid w:val="00BC13CE"/>
    <w:rsid w:val="00BC2A29"/>
    <w:rsid w:val="00BE11CB"/>
    <w:rsid w:val="00C000A8"/>
    <w:rsid w:val="00C25332"/>
    <w:rsid w:val="00C52444"/>
    <w:rsid w:val="00C57C85"/>
    <w:rsid w:val="00C71B36"/>
    <w:rsid w:val="00C84F39"/>
    <w:rsid w:val="00C95642"/>
    <w:rsid w:val="00CC509F"/>
    <w:rsid w:val="00CC653D"/>
    <w:rsid w:val="00CD505E"/>
    <w:rsid w:val="00CE1F5B"/>
    <w:rsid w:val="00D025A7"/>
    <w:rsid w:val="00D21138"/>
    <w:rsid w:val="00D2212B"/>
    <w:rsid w:val="00D303BB"/>
    <w:rsid w:val="00D31033"/>
    <w:rsid w:val="00D357ED"/>
    <w:rsid w:val="00D46F2F"/>
    <w:rsid w:val="00D4726B"/>
    <w:rsid w:val="00D472D1"/>
    <w:rsid w:val="00D55761"/>
    <w:rsid w:val="00D72C27"/>
    <w:rsid w:val="00D84BC8"/>
    <w:rsid w:val="00D87B1F"/>
    <w:rsid w:val="00D92D33"/>
    <w:rsid w:val="00D95907"/>
    <w:rsid w:val="00DA563B"/>
    <w:rsid w:val="00DB6185"/>
    <w:rsid w:val="00DC4E5E"/>
    <w:rsid w:val="00DD2372"/>
    <w:rsid w:val="00DE2816"/>
    <w:rsid w:val="00DF428C"/>
    <w:rsid w:val="00E00B97"/>
    <w:rsid w:val="00E0571D"/>
    <w:rsid w:val="00E05E02"/>
    <w:rsid w:val="00E242ED"/>
    <w:rsid w:val="00E303A0"/>
    <w:rsid w:val="00E50580"/>
    <w:rsid w:val="00E508FF"/>
    <w:rsid w:val="00E541CE"/>
    <w:rsid w:val="00E551CD"/>
    <w:rsid w:val="00E66930"/>
    <w:rsid w:val="00E71741"/>
    <w:rsid w:val="00E810CD"/>
    <w:rsid w:val="00E83A4C"/>
    <w:rsid w:val="00E93DDF"/>
    <w:rsid w:val="00EA5023"/>
    <w:rsid w:val="00EB301C"/>
    <w:rsid w:val="00ED3491"/>
    <w:rsid w:val="00ED3ECD"/>
    <w:rsid w:val="00EE1769"/>
    <w:rsid w:val="00EE291D"/>
    <w:rsid w:val="00EE7BE4"/>
    <w:rsid w:val="00F04D36"/>
    <w:rsid w:val="00F14D6C"/>
    <w:rsid w:val="00F43EB3"/>
    <w:rsid w:val="00F53342"/>
    <w:rsid w:val="00F5694A"/>
    <w:rsid w:val="00F6350D"/>
    <w:rsid w:val="00F6365B"/>
    <w:rsid w:val="00F63F1B"/>
    <w:rsid w:val="00F81831"/>
    <w:rsid w:val="00FA1608"/>
    <w:rsid w:val="00FB219C"/>
    <w:rsid w:val="00FD1451"/>
    <w:rsid w:val="00FE2BFA"/>
    <w:rsid w:val="00FE6814"/>
    <w:rsid w:val="00FF62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683FA"/>
  <w15:chartTrackingRefBased/>
  <w15:docId w15:val="{4CB599EC-D01F-44A3-90E6-62A26F3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601"/>
    <w:pPr>
      <w:spacing w:after="200" w:line="276" w:lineRule="auto"/>
    </w:pPr>
    <w:rPr>
      <w:rFonts w:asciiTheme="minorHAnsi" w:eastAsiaTheme="minorEastAsia" w:hAnsiTheme="minorHAnsi" w:cstheme="minorBidi"/>
      <w:kern w:val="0"/>
      <w:sz w:val="22"/>
      <w:szCs w:val="22"/>
      <w:lang w:eastAsia="en-AU"/>
      <w14:ligatures w14:val="none"/>
    </w:rPr>
  </w:style>
  <w:style w:type="paragraph" w:styleId="Heading1">
    <w:name w:val="heading 1"/>
    <w:basedOn w:val="Normal"/>
    <w:next w:val="Normal"/>
    <w:link w:val="Heading1Char"/>
    <w:uiPriority w:val="9"/>
    <w:qFormat/>
    <w:rsid w:val="003316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16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16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6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6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6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6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6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6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6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16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160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60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3160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316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16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16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16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16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6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6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60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1601"/>
    <w:pPr>
      <w:spacing w:before="160"/>
      <w:jc w:val="center"/>
    </w:pPr>
    <w:rPr>
      <w:i/>
      <w:iCs/>
      <w:color w:val="404040" w:themeColor="text1" w:themeTint="BF"/>
    </w:rPr>
  </w:style>
  <w:style w:type="character" w:customStyle="1" w:styleId="QuoteChar">
    <w:name w:val="Quote Char"/>
    <w:basedOn w:val="DefaultParagraphFont"/>
    <w:link w:val="Quote"/>
    <w:uiPriority w:val="29"/>
    <w:rsid w:val="00331601"/>
    <w:rPr>
      <w:i/>
      <w:iCs/>
      <w:color w:val="404040" w:themeColor="text1" w:themeTint="BF"/>
    </w:rPr>
  </w:style>
  <w:style w:type="paragraph" w:styleId="ListParagraph">
    <w:name w:val="List Paragraph"/>
    <w:aliases w:val="List Bullet 1"/>
    <w:basedOn w:val="Normal"/>
    <w:link w:val="ListParagraphChar"/>
    <w:uiPriority w:val="34"/>
    <w:qFormat/>
    <w:rsid w:val="00331601"/>
    <w:pPr>
      <w:ind w:left="720"/>
      <w:contextualSpacing/>
    </w:pPr>
  </w:style>
  <w:style w:type="character" w:styleId="IntenseEmphasis">
    <w:name w:val="Intense Emphasis"/>
    <w:basedOn w:val="DefaultParagraphFont"/>
    <w:uiPriority w:val="21"/>
    <w:qFormat/>
    <w:rsid w:val="00331601"/>
    <w:rPr>
      <w:i/>
      <w:iCs/>
      <w:color w:val="0F4761" w:themeColor="accent1" w:themeShade="BF"/>
    </w:rPr>
  </w:style>
  <w:style w:type="paragraph" w:styleId="IntenseQuote">
    <w:name w:val="Intense Quote"/>
    <w:basedOn w:val="Normal"/>
    <w:next w:val="Normal"/>
    <w:link w:val="IntenseQuoteChar"/>
    <w:uiPriority w:val="30"/>
    <w:qFormat/>
    <w:rsid w:val="003316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601"/>
    <w:rPr>
      <w:i/>
      <w:iCs/>
      <w:color w:val="0F4761" w:themeColor="accent1" w:themeShade="BF"/>
    </w:rPr>
  </w:style>
  <w:style w:type="character" w:styleId="IntenseReference">
    <w:name w:val="Intense Reference"/>
    <w:basedOn w:val="DefaultParagraphFont"/>
    <w:uiPriority w:val="32"/>
    <w:qFormat/>
    <w:rsid w:val="00331601"/>
    <w:rPr>
      <w:b/>
      <w:bCs/>
      <w:smallCaps/>
      <w:color w:val="0F4761" w:themeColor="accent1" w:themeShade="BF"/>
      <w:spacing w:val="5"/>
    </w:rPr>
  </w:style>
  <w:style w:type="paragraph" w:styleId="Header">
    <w:name w:val="header"/>
    <w:basedOn w:val="Normal"/>
    <w:link w:val="HeaderChar"/>
    <w:rsid w:val="00331601"/>
    <w:pPr>
      <w:widowControl w:val="0"/>
      <w:tabs>
        <w:tab w:val="center" w:pos="4153"/>
        <w:tab w:val="right" w:pos="8306"/>
      </w:tabs>
    </w:pPr>
    <w:rPr>
      <w:snapToGrid w:val="0"/>
      <w:lang w:val="en-US" w:eastAsia="en-US"/>
    </w:rPr>
  </w:style>
  <w:style w:type="character" w:customStyle="1" w:styleId="HeaderChar">
    <w:name w:val="Header Char"/>
    <w:basedOn w:val="DefaultParagraphFont"/>
    <w:link w:val="Header"/>
    <w:rsid w:val="00331601"/>
    <w:rPr>
      <w:rFonts w:asciiTheme="minorHAnsi" w:eastAsiaTheme="minorEastAsia" w:hAnsiTheme="minorHAnsi" w:cstheme="minorBidi"/>
      <w:snapToGrid w:val="0"/>
      <w:kern w:val="0"/>
      <w:sz w:val="22"/>
      <w:szCs w:val="22"/>
      <w:lang w:val="en-US"/>
      <w14:ligatures w14:val="none"/>
    </w:rPr>
  </w:style>
  <w:style w:type="paragraph" w:styleId="Footer">
    <w:name w:val="footer"/>
    <w:basedOn w:val="Normal"/>
    <w:link w:val="FooterChar"/>
    <w:uiPriority w:val="99"/>
    <w:rsid w:val="00331601"/>
    <w:pPr>
      <w:tabs>
        <w:tab w:val="center" w:pos="4153"/>
        <w:tab w:val="right" w:pos="8306"/>
      </w:tabs>
    </w:pPr>
  </w:style>
  <w:style w:type="character" w:customStyle="1" w:styleId="FooterChar">
    <w:name w:val="Footer Char"/>
    <w:basedOn w:val="DefaultParagraphFont"/>
    <w:link w:val="Footer"/>
    <w:uiPriority w:val="99"/>
    <w:rsid w:val="00331601"/>
    <w:rPr>
      <w:rFonts w:asciiTheme="minorHAnsi" w:eastAsiaTheme="minorEastAsia" w:hAnsiTheme="minorHAnsi" w:cstheme="minorBidi"/>
      <w:kern w:val="0"/>
      <w:sz w:val="22"/>
      <w:szCs w:val="22"/>
      <w:lang w:eastAsia="en-AU"/>
      <w14:ligatures w14:val="none"/>
    </w:rPr>
  </w:style>
  <w:style w:type="character" w:styleId="PageNumber">
    <w:name w:val="page number"/>
    <w:basedOn w:val="DefaultParagraphFont"/>
    <w:rsid w:val="00331601"/>
  </w:style>
  <w:style w:type="paragraph" w:styleId="BodyText">
    <w:name w:val="Body Text"/>
    <w:basedOn w:val="Normal"/>
    <w:link w:val="BodyTextChar"/>
    <w:rsid w:val="00331601"/>
    <w:pPr>
      <w:spacing w:before="120" w:after="120" w:line="264" w:lineRule="auto"/>
    </w:pPr>
    <w:rPr>
      <w:rFonts w:ascii="Arial" w:hAnsi="Arial" w:cs="Arial"/>
    </w:rPr>
  </w:style>
  <w:style w:type="character" w:customStyle="1" w:styleId="BodyTextChar">
    <w:name w:val="Body Text Char"/>
    <w:basedOn w:val="DefaultParagraphFont"/>
    <w:link w:val="BodyText"/>
    <w:rsid w:val="00331601"/>
    <w:rPr>
      <w:rFonts w:ascii="Arial" w:eastAsiaTheme="minorEastAsia" w:hAnsi="Arial" w:cs="Arial"/>
      <w:kern w:val="0"/>
      <w:sz w:val="22"/>
      <w:szCs w:val="22"/>
      <w:lang w:eastAsia="en-AU"/>
      <w14:ligatures w14:val="none"/>
    </w:rPr>
  </w:style>
  <w:style w:type="paragraph" w:customStyle="1" w:styleId="CmqHeading1">
    <w:name w:val="Cmq Heading 1"/>
    <w:basedOn w:val="Heading3"/>
    <w:link w:val="CmqHeading1Char"/>
    <w:autoRedefine/>
    <w:qFormat/>
    <w:rsid w:val="00331601"/>
    <w:pPr>
      <w:keepLines w:val="0"/>
      <w:spacing w:before="360" w:after="120" w:line="240" w:lineRule="auto"/>
    </w:pPr>
    <w:rPr>
      <w:rFonts w:ascii="Arial Bold" w:eastAsia="Times" w:hAnsi="Arial Bold" w:cs="Arial"/>
      <w:b/>
      <w:caps/>
      <w:color w:val="auto"/>
      <w:sz w:val="26"/>
      <w:szCs w:val="26"/>
    </w:rPr>
  </w:style>
  <w:style w:type="paragraph" w:customStyle="1" w:styleId="Cmqheading2">
    <w:name w:val="Cmq heading 2"/>
    <w:basedOn w:val="BodyText"/>
    <w:link w:val="Cmqheading2Char"/>
    <w:qFormat/>
    <w:rsid w:val="00331601"/>
    <w:pPr>
      <w:keepNext/>
      <w:spacing w:before="360" w:after="240" w:line="240" w:lineRule="auto"/>
    </w:pPr>
    <w:rPr>
      <w:rFonts w:eastAsia="Times"/>
      <w:b/>
      <w:bCs/>
      <w:i/>
      <w:caps/>
      <w:color w:val="000000"/>
    </w:rPr>
  </w:style>
  <w:style w:type="character" w:customStyle="1" w:styleId="CmqHeading1Char">
    <w:name w:val="Cmq Heading 1 Char"/>
    <w:basedOn w:val="Heading3Char"/>
    <w:link w:val="CmqHeading1"/>
    <w:rsid w:val="00331601"/>
    <w:rPr>
      <w:rFonts w:ascii="Arial Bold" w:eastAsia="Times" w:hAnsi="Arial Bold" w:cs="Arial"/>
      <w:b/>
      <w:caps/>
      <w:color w:val="0F4761" w:themeColor="accent1" w:themeShade="BF"/>
      <w:kern w:val="0"/>
      <w:sz w:val="26"/>
      <w:szCs w:val="26"/>
      <w:lang w:eastAsia="en-AU"/>
      <w14:ligatures w14:val="none"/>
    </w:rPr>
  </w:style>
  <w:style w:type="paragraph" w:customStyle="1" w:styleId="Cmqheading3">
    <w:name w:val="Cmq heading 3"/>
    <w:basedOn w:val="Heading3"/>
    <w:link w:val="Cmqheading3Char"/>
    <w:qFormat/>
    <w:rsid w:val="00331601"/>
    <w:pPr>
      <w:keepNext w:val="0"/>
      <w:keepLines w:val="0"/>
      <w:spacing w:before="240" w:after="120" w:line="23" w:lineRule="atLeast"/>
      <w:ind w:left="1191" w:hanging="1191"/>
      <w:contextualSpacing/>
      <w:outlineLvl w:val="9"/>
    </w:pPr>
    <w:rPr>
      <w:rFonts w:ascii="Arial" w:hAnsi="Arial" w:cs="Arial"/>
      <w:b/>
      <w:color w:val="0A2F40" w:themeColor="accent1" w:themeShade="7F"/>
      <w:sz w:val="22"/>
      <w:szCs w:val="22"/>
    </w:rPr>
  </w:style>
  <w:style w:type="character" w:customStyle="1" w:styleId="Cmqheading2Char">
    <w:name w:val="Cmq heading 2 Char"/>
    <w:basedOn w:val="BodyTextChar"/>
    <w:link w:val="Cmqheading2"/>
    <w:rsid w:val="00331601"/>
    <w:rPr>
      <w:rFonts w:ascii="Arial" w:eastAsia="Times" w:hAnsi="Arial" w:cs="Arial"/>
      <w:b/>
      <w:bCs/>
      <w:i/>
      <w:caps/>
      <w:color w:val="000000"/>
      <w:kern w:val="0"/>
      <w:sz w:val="22"/>
      <w:szCs w:val="22"/>
      <w:lang w:eastAsia="en-AU"/>
      <w14:ligatures w14:val="none"/>
    </w:rPr>
  </w:style>
  <w:style w:type="paragraph" w:customStyle="1" w:styleId="CmqTitle1">
    <w:name w:val="Cmq Title 1"/>
    <w:basedOn w:val="Normal"/>
    <w:qFormat/>
    <w:rsid w:val="00331601"/>
    <w:pPr>
      <w:spacing w:before="120" w:after="120" w:line="260" w:lineRule="exact"/>
      <w:jc w:val="center"/>
    </w:pPr>
    <w:rPr>
      <w:rFonts w:ascii="Arial" w:eastAsiaTheme="minorHAnsi" w:hAnsi="Arial" w:cs="Arial"/>
      <w:b/>
      <w:bCs/>
      <w:color w:val="000000"/>
      <w:sz w:val="24"/>
      <w:szCs w:val="28"/>
      <w:lang w:eastAsia="en-US"/>
    </w:rPr>
  </w:style>
  <w:style w:type="character" w:customStyle="1" w:styleId="Cmqheading3Char">
    <w:name w:val="Cmq heading 3 Char"/>
    <w:basedOn w:val="Heading3Char"/>
    <w:link w:val="Cmqheading3"/>
    <w:rsid w:val="00331601"/>
    <w:rPr>
      <w:rFonts w:ascii="Arial" w:eastAsiaTheme="majorEastAsia" w:hAnsi="Arial" w:cs="Arial"/>
      <w:b/>
      <w:color w:val="0A2F40" w:themeColor="accent1" w:themeShade="7F"/>
      <w:kern w:val="0"/>
      <w:sz w:val="22"/>
      <w:szCs w:val="22"/>
      <w:lang w:eastAsia="en-AU"/>
      <w14:ligatures w14:val="none"/>
    </w:rPr>
  </w:style>
  <w:style w:type="paragraph" w:customStyle="1" w:styleId="CmqTitle2">
    <w:name w:val="Cmq Title 2"/>
    <w:basedOn w:val="Normal"/>
    <w:qFormat/>
    <w:rsid w:val="00331601"/>
    <w:pPr>
      <w:pBdr>
        <w:top w:val="single" w:sz="4" w:space="12" w:color="auto"/>
        <w:bottom w:val="single" w:sz="4" w:space="12" w:color="auto"/>
      </w:pBdr>
      <w:spacing w:after="0" w:line="240" w:lineRule="auto"/>
      <w:ind w:left="360"/>
      <w:jc w:val="center"/>
    </w:pPr>
    <w:rPr>
      <w:rFonts w:ascii="Arial" w:eastAsia="Times" w:hAnsi="Arial" w:cs="Arial"/>
      <w:b/>
      <w:i/>
      <w:iCs/>
      <w:lang w:eastAsia="en-US"/>
    </w:rPr>
  </w:style>
  <w:style w:type="character" w:styleId="Hyperlink">
    <w:name w:val="Hyperlink"/>
    <w:basedOn w:val="DefaultParagraphFont"/>
    <w:uiPriority w:val="99"/>
    <w:unhideWhenUsed/>
    <w:rsid w:val="00331601"/>
    <w:rPr>
      <w:color w:val="467886" w:themeColor="hyperlink"/>
      <w:u w:val="single"/>
    </w:rPr>
  </w:style>
  <w:style w:type="table" w:styleId="TableGrid">
    <w:name w:val="Table Grid"/>
    <w:basedOn w:val="TableNormal"/>
    <w:uiPriority w:val="59"/>
    <w:rsid w:val="00331601"/>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Bullet 1 Char"/>
    <w:basedOn w:val="DefaultParagraphFont"/>
    <w:link w:val="ListParagraph"/>
    <w:uiPriority w:val="34"/>
    <w:locked/>
    <w:rsid w:val="00392A12"/>
    <w:rPr>
      <w:rFonts w:asciiTheme="minorHAnsi" w:eastAsiaTheme="minorEastAsia" w:hAnsiTheme="minorHAnsi" w:cstheme="minorBidi"/>
      <w:kern w:val="0"/>
      <w:sz w:val="22"/>
      <w:szCs w:val="22"/>
      <w:lang w:eastAsia="en-AU"/>
      <w14:ligatures w14:val="none"/>
    </w:rPr>
  </w:style>
  <w:style w:type="paragraph" w:customStyle="1" w:styleId="folios">
    <w:name w:val="folios"/>
    <w:basedOn w:val="Normal"/>
    <w:link w:val="foliosChar"/>
    <w:rsid w:val="006633FD"/>
    <w:pPr>
      <w:spacing w:after="360" w:line="240" w:lineRule="auto"/>
      <w:contextualSpacing/>
      <w:jc w:val="right"/>
    </w:pPr>
    <w:rPr>
      <w:rFonts w:ascii="Calibri" w:eastAsia="Times New Roman" w:hAnsi="Calibri" w:cs="Times New Roman"/>
      <w:sz w:val="18"/>
    </w:rPr>
  </w:style>
  <w:style w:type="character" w:customStyle="1" w:styleId="foliosChar">
    <w:name w:val="folios Char"/>
    <w:basedOn w:val="DefaultParagraphFont"/>
    <w:link w:val="folios"/>
    <w:rsid w:val="006633FD"/>
    <w:rPr>
      <w:rFonts w:ascii="Calibri" w:eastAsia="Times New Roman" w:hAnsi="Calibri"/>
      <w:kern w:val="0"/>
      <w:sz w:val="18"/>
      <w:szCs w:val="22"/>
      <w:lang w:eastAsia="en-AU"/>
      <w14:ligatures w14:val="none"/>
    </w:rPr>
  </w:style>
  <w:style w:type="character" w:styleId="CommentReference">
    <w:name w:val="annotation reference"/>
    <w:basedOn w:val="DefaultParagraphFont"/>
    <w:uiPriority w:val="99"/>
    <w:semiHidden/>
    <w:unhideWhenUsed/>
    <w:rsid w:val="001B6AEC"/>
    <w:rPr>
      <w:sz w:val="16"/>
      <w:szCs w:val="16"/>
    </w:rPr>
  </w:style>
  <w:style w:type="paragraph" w:styleId="CommentText">
    <w:name w:val="annotation text"/>
    <w:basedOn w:val="Normal"/>
    <w:link w:val="CommentTextChar"/>
    <w:uiPriority w:val="99"/>
    <w:unhideWhenUsed/>
    <w:rsid w:val="001B6AEC"/>
    <w:pPr>
      <w:spacing w:line="240" w:lineRule="auto"/>
    </w:pPr>
    <w:rPr>
      <w:sz w:val="20"/>
      <w:szCs w:val="20"/>
    </w:rPr>
  </w:style>
  <w:style w:type="character" w:customStyle="1" w:styleId="CommentTextChar">
    <w:name w:val="Comment Text Char"/>
    <w:basedOn w:val="DefaultParagraphFont"/>
    <w:link w:val="CommentText"/>
    <w:uiPriority w:val="99"/>
    <w:rsid w:val="001B6AEC"/>
    <w:rPr>
      <w:rFonts w:asciiTheme="minorHAnsi" w:eastAsiaTheme="minorEastAsia" w:hAnsiTheme="minorHAnsi" w:cstheme="minorBidi"/>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1B6AEC"/>
    <w:rPr>
      <w:b/>
      <w:bCs/>
    </w:rPr>
  </w:style>
  <w:style w:type="character" w:customStyle="1" w:styleId="CommentSubjectChar">
    <w:name w:val="Comment Subject Char"/>
    <w:basedOn w:val="CommentTextChar"/>
    <w:link w:val="CommentSubject"/>
    <w:uiPriority w:val="99"/>
    <w:semiHidden/>
    <w:rsid w:val="001B6AEC"/>
    <w:rPr>
      <w:rFonts w:asciiTheme="minorHAnsi" w:eastAsiaTheme="minorEastAsia" w:hAnsiTheme="minorHAnsi" w:cstheme="minorBidi"/>
      <w:b/>
      <w:bCs/>
      <w:kern w:val="0"/>
      <w:sz w:val="20"/>
      <w:szCs w:val="20"/>
      <w:lang w:eastAsia="en-AU"/>
      <w14:ligatures w14:val="none"/>
    </w:rPr>
  </w:style>
  <w:style w:type="paragraph" w:styleId="Revision">
    <w:name w:val="Revision"/>
    <w:hidden/>
    <w:uiPriority w:val="99"/>
    <w:semiHidden/>
    <w:rsid w:val="001B6AEC"/>
    <w:pPr>
      <w:spacing w:after="0" w:line="240" w:lineRule="auto"/>
    </w:pPr>
    <w:rPr>
      <w:rFonts w:asciiTheme="minorHAnsi" w:eastAsiaTheme="minorEastAsia" w:hAnsiTheme="minorHAnsi" w:cstheme="minorBidi"/>
      <w:kern w:val="0"/>
      <w:sz w:val="22"/>
      <w:szCs w:val="22"/>
      <w:lang w:eastAsia="en-AU"/>
      <w14:ligatures w14:val="none"/>
    </w:rPr>
  </w:style>
  <w:style w:type="character" w:styleId="UnresolvedMention">
    <w:name w:val="Unresolved Mention"/>
    <w:basedOn w:val="DefaultParagraphFont"/>
    <w:uiPriority w:val="99"/>
    <w:semiHidden/>
    <w:unhideWhenUsed/>
    <w:rsid w:val="00F63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8837">
      <w:bodyDiv w:val="1"/>
      <w:marLeft w:val="0"/>
      <w:marRight w:val="0"/>
      <w:marTop w:val="0"/>
      <w:marBottom w:val="0"/>
      <w:divBdr>
        <w:top w:val="none" w:sz="0" w:space="0" w:color="auto"/>
        <w:left w:val="none" w:sz="0" w:space="0" w:color="auto"/>
        <w:bottom w:val="none" w:sz="0" w:space="0" w:color="auto"/>
        <w:right w:val="none" w:sz="0" w:space="0" w:color="auto"/>
      </w:divBdr>
    </w:div>
    <w:div w:id="204670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tr@health.gov.a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ogtr.gov.au/gmo-dealings/dealings-involving-intentional-release/dir-207"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991</Words>
  <Characters>5589</Characters>
  <Application>Microsoft Office Word</Application>
  <DocSecurity>0</DocSecurity>
  <Lines>99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 Technology Technical Advisory Committee 3 June 2025 Communiqué</dc:title>
  <dc:subject/>
  <dc:creator>OGTR.Voicemail@health.gov.au</dc:creator>
  <cp:keywords/>
  <dc:description/>
  <cp:lastModifiedBy>SMITH, Justine</cp:lastModifiedBy>
  <cp:revision>5</cp:revision>
  <dcterms:created xsi:type="dcterms:W3CDTF">2026-02-06T04:00:00Z</dcterms:created>
  <dcterms:modified xsi:type="dcterms:W3CDTF">2026-02-06T04:53:00Z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6d8efb7a,5511054c,acd42f8</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5a8fb8cf,5c0a6370,a556e98</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2026-01-19T05:20:42Z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4a932e49-66ea-420e-b2aa-700e985f5efc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