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FDF2" w14:textId="326FAA32" w:rsidR="00331601" w:rsidRPr="00E12965" w:rsidRDefault="00331601" w:rsidP="00331601">
      <w:pPr>
        <w:pStyle w:val="CmqTitle1"/>
        <w:spacing w:before="240"/>
        <w:rPr>
          <w:color w:val="auto"/>
        </w:rPr>
      </w:pPr>
      <w:bookmarkStart w:id="0" w:name="_Toc123029785"/>
      <w:r w:rsidRPr="00E12965">
        <w:rPr>
          <w:color w:val="auto"/>
        </w:rPr>
        <w:t>Gene Technology Technical Advisory Committee</w:t>
      </w:r>
      <w:bookmarkEnd w:id="0"/>
    </w:p>
    <w:p w14:paraId="2155E915" w14:textId="30C994C5" w:rsidR="00331601" w:rsidRPr="00E12965" w:rsidRDefault="00DD62B7" w:rsidP="00331601">
      <w:pPr>
        <w:pStyle w:val="CmqTitle1"/>
        <w:rPr>
          <w:color w:val="auto"/>
          <w:szCs w:val="24"/>
        </w:rPr>
      </w:pPr>
      <w:r>
        <w:rPr>
          <w:color w:val="auto"/>
          <w:szCs w:val="24"/>
        </w:rPr>
        <w:t>1 December</w:t>
      </w:r>
      <w:r w:rsidR="00331601">
        <w:rPr>
          <w:color w:val="auto"/>
          <w:szCs w:val="24"/>
        </w:rPr>
        <w:t xml:space="preserve"> 202</w:t>
      </w:r>
      <w:r w:rsidR="00E0571D">
        <w:rPr>
          <w:color w:val="auto"/>
          <w:szCs w:val="24"/>
        </w:rPr>
        <w:t>5</w:t>
      </w:r>
    </w:p>
    <w:p w14:paraId="77DB9EFF" w14:textId="77777777" w:rsidR="00331601" w:rsidRPr="00E12965" w:rsidRDefault="00331601" w:rsidP="00331601">
      <w:pPr>
        <w:pStyle w:val="CmqTitle1"/>
        <w:spacing w:after="240"/>
        <w:rPr>
          <w:color w:val="auto"/>
          <w:szCs w:val="24"/>
        </w:rPr>
      </w:pPr>
      <w:r w:rsidRPr="00E12965">
        <w:rPr>
          <w:color w:val="auto"/>
          <w:szCs w:val="24"/>
        </w:rPr>
        <w:t>Communiqué</w:t>
      </w:r>
    </w:p>
    <w:p w14:paraId="3F6F8AB5" w14:textId="1B9741F1" w:rsidR="00331601" w:rsidRPr="00E12965" w:rsidRDefault="00331601" w:rsidP="00331601">
      <w:pPr>
        <w:pStyle w:val="CmqTitle2"/>
        <w:ind w:left="0"/>
      </w:pPr>
      <w:r w:rsidRPr="00E12965">
        <w:t xml:space="preserve">This Communiqué covers matters considered at the </w:t>
      </w:r>
      <w:r>
        <w:t>4</w:t>
      </w:r>
      <w:r w:rsidR="00DD62B7">
        <w:t>7</w:t>
      </w:r>
      <w:r w:rsidRPr="00F5278A">
        <w:rPr>
          <w:vertAlign w:val="superscript"/>
        </w:rPr>
        <w:t>th</w:t>
      </w:r>
      <w:r>
        <w:rPr>
          <w:vertAlign w:val="superscript"/>
        </w:rPr>
        <w:t xml:space="preserve"> </w:t>
      </w:r>
      <w:r>
        <w:t xml:space="preserve">videoconference </w:t>
      </w:r>
      <w:r w:rsidRPr="00E12965">
        <w:t xml:space="preserve">of the </w:t>
      </w:r>
      <w:r w:rsidRPr="00E12965">
        <w:br/>
        <w:t>Gene Technology Technical Advisory Committee (</w:t>
      </w:r>
      <w:r w:rsidR="00DD62B7">
        <w:t>1 December</w:t>
      </w:r>
      <w:r>
        <w:t xml:space="preserve"> 202</w:t>
      </w:r>
      <w:r w:rsidR="00063149">
        <w:t>5</w:t>
      </w:r>
      <w:r w:rsidRPr="00E12965">
        <w:t>)</w:t>
      </w:r>
    </w:p>
    <w:p w14:paraId="35291526" w14:textId="77777777" w:rsidR="00331601" w:rsidRPr="00E12965" w:rsidRDefault="00331601" w:rsidP="00331601">
      <w:pPr>
        <w:pStyle w:val="BodyText"/>
      </w:pPr>
      <w:r w:rsidRPr="00E12965">
        <w:t xml:space="preserve">The Gene Technology Technical Advisory Committee (GTTAC) is a statutory advisory committee established under the </w:t>
      </w:r>
      <w:r w:rsidRPr="00E12965">
        <w:rPr>
          <w:i/>
        </w:rPr>
        <w:t>Gene Technology Act 2000</w:t>
      </w:r>
      <w:r w:rsidRPr="00E12965">
        <w:t xml:space="preserve"> (the Act) to provide scientific and technical advice to the Gene Technology Regulator (the Regulator) and the Gene Technology Ministers’ Meeting. </w:t>
      </w:r>
    </w:p>
    <w:p w14:paraId="041D3304" w14:textId="77777777" w:rsidR="00331601" w:rsidRPr="00E12965" w:rsidRDefault="00331601" w:rsidP="00331601">
      <w:pPr>
        <w:pStyle w:val="BodyText"/>
      </w:pPr>
      <w:r w:rsidRPr="00E12965">
        <w:t xml:space="preserve">The Regulator seeks advice from GTTAC on licence applications to work with Genetically Modified Organisms (GMOs) and on Risk Assessment and Risk Management Plans (RARMPs) prepared for applications. The purpose of this Communiqué is to provide a brief overview of GTTAC’s consideration of applications and RARMPs and, in accordance with the Gene Technology Regulations 2001, to publish committee resolutions given to the Regulator. The Communiqué also provides an overview of any other deliberations of the committee. It does not include information </w:t>
      </w:r>
      <w:r>
        <w:t>that</w:t>
      </w:r>
      <w:r w:rsidRPr="00E12965">
        <w:t xml:space="preserve"> is treated as Confidential Commercial Information in accordance with the Act.</w:t>
      </w:r>
    </w:p>
    <w:p w14:paraId="6F3ADC9E" w14:textId="77777777" w:rsidR="00331601" w:rsidRPr="00331601" w:rsidRDefault="00331601" w:rsidP="00331601">
      <w:pPr>
        <w:pStyle w:val="CmqHeading1"/>
      </w:pPr>
      <w:r w:rsidRPr="00331601">
        <w:t>Dealings Involving the Intentional Release of a GMO</w:t>
      </w:r>
    </w:p>
    <w:p w14:paraId="402E9422" w14:textId="77777777" w:rsidR="00331601" w:rsidRPr="00857464" w:rsidRDefault="00331601" w:rsidP="00331601">
      <w:pPr>
        <w:pStyle w:val="BodyText"/>
      </w:pPr>
      <w:r w:rsidRPr="00857464">
        <w:t>Dealings involving the Intentional Release (DIR) of a GMO into the environment can involve a limited and controlled release (clinical trial or field trial) or a commercial (general) release.</w:t>
      </w:r>
    </w:p>
    <w:p w14:paraId="55F5A435" w14:textId="77777777" w:rsidR="00331601" w:rsidRPr="007F3778" w:rsidRDefault="00331601" w:rsidP="00331601">
      <w:pPr>
        <w:pStyle w:val="BodyText"/>
      </w:pPr>
      <w:r w:rsidRPr="007F3778">
        <w:t>For commercial releases, the Regulator must seek GTTAC advice twice. The first consultation is on matters to consider when preparing the RARMP and the second is on the RARMP itself. For limited and controlled releases, the Regulator must seek GTTAC advice only once on the RARMP.</w:t>
      </w:r>
    </w:p>
    <w:p w14:paraId="4BA96683" w14:textId="77777777" w:rsidR="00331601" w:rsidRDefault="00331601" w:rsidP="00331601">
      <w:pPr>
        <w:pStyle w:val="BodyText"/>
      </w:pPr>
      <w:r w:rsidRPr="00857464">
        <w:t>The RARMP for every DIR licence application is issued for public consultation.</w:t>
      </w:r>
    </w:p>
    <w:p w14:paraId="7148A95B" w14:textId="48A6D783" w:rsidR="00D72C27" w:rsidRDefault="00D72C27" w:rsidP="00D72C27">
      <w:pPr>
        <w:pStyle w:val="Cmqheading2"/>
      </w:pPr>
      <w:r>
        <w:t xml:space="preserve">Advice on </w:t>
      </w:r>
      <w:r w:rsidR="00BC13CE">
        <w:t>CONSULTATION RARMPS</w:t>
      </w:r>
      <w:r>
        <w:t xml:space="preserve"> – COmmercial release</w:t>
      </w:r>
    </w:p>
    <w:p w14:paraId="473EB9ED" w14:textId="2D44DBFC" w:rsidR="00C62E7E" w:rsidRDefault="00C62E7E" w:rsidP="00D72C27">
      <w:pPr>
        <w:pStyle w:val="BodyText"/>
        <w:rPr>
          <w:b/>
          <w:bCs/>
        </w:rPr>
      </w:pPr>
      <w:hyperlink r:id="rId8" w:history="1">
        <w:r w:rsidRPr="00C54CAC">
          <w:rPr>
            <w:rStyle w:val="Hyperlink"/>
            <w:b/>
            <w:bCs/>
          </w:rPr>
          <w:t>DIR-218</w:t>
        </w:r>
      </w:hyperlink>
      <w:r w:rsidRPr="009A73C3">
        <w:rPr>
          <w:b/>
          <w:bCs/>
        </w:rPr>
        <w:t xml:space="preserve"> </w:t>
      </w:r>
      <w:r>
        <w:rPr>
          <w:b/>
          <w:bCs/>
        </w:rPr>
        <w:t>RARMP</w:t>
      </w:r>
      <w:r w:rsidRPr="009A73C3">
        <w:rPr>
          <w:b/>
          <w:bCs/>
        </w:rPr>
        <w:t xml:space="preserve"> – Commercial release of tomato genetically modified for purple fruit </w:t>
      </w:r>
      <w:r>
        <w:rPr>
          <w:b/>
          <w:bCs/>
        </w:rPr>
        <w:t xml:space="preserve">colour </w:t>
      </w:r>
    </w:p>
    <w:p w14:paraId="147D32E3" w14:textId="0E5A8D47" w:rsidR="00D72C27" w:rsidRDefault="00D72C27" w:rsidP="00CE226B">
      <w:pPr>
        <w:pStyle w:val="BodyText"/>
      </w:pPr>
      <w:r>
        <w:t>Licence application DIR</w:t>
      </w:r>
      <w:r w:rsidR="001B6AEC">
        <w:t>-</w:t>
      </w:r>
      <w:r w:rsidR="0044494E">
        <w:t>218</w:t>
      </w:r>
      <w:r>
        <w:t xml:space="preserve"> from</w:t>
      </w:r>
      <w:r w:rsidR="000C27B4" w:rsidRPr="000C27B4">
        <w:t xml:space="preserve"> </w:t>
      </w:r>
      <w:r w:rsidR="005D391F" w:rsidRPr="00EA67FE">
        <w:t xml:space="preserve">All Aussie Avocados Pty Ltd </w:t>
      </w:r>
      <w:r w:rsidR="005D391F" w:rsidRPr="00C10B19">
        <w:t>is</w:t>
      </w:r>
      <w:r w:rsidR="005D391F" w:rsidRPr="008B4E7E">
        <w:t xml:space="preserve"> </w:t>
      </w:r>
      <w:r w:rsidR="005D391F">
        <w:t>for the commercial release of a tomato genetically modified for purple fruit colour.</w:t>
      </w:r>
      <w:r w:rsidR="009C6CC7">
        <w:t xml:space="preserve"> </w:t>
      </w:r>
    </w:p>
    <w:p w14:paraId="677BC698" w14:textId="55E09875" w:rsidR="00445AF0" w:rsidRDefault="00FD495B" w:rsidP="00170A25">
      <w:pPr>
        <w:pStyle w:val="BodyText"/>
      </w:pPr>
      <w:r>
        <w:t>GTTAC discussed</w:t>
      </w:r>
      <w:r w:rsidR="0003649C">
        <w:t xml:space="preserve"> </w:t>
      </w:r>
      <w:r w:rsidR="00702129">
        <w:t>various matters, including</w:t>
      </w:r>
      <w:r>
        <w:t xml:space="preserve"> the </w:t>
      </w:r>
      <w:r w:rsidR="00280AD6">
        <w:t>use of</w:t>
      </w:r>
      <w:r>
        <w:t xml:space="preserve"> antibiotic resistance genes in GM crops</w:t>
      </w:r>
      <w:r w:rsidR="00280AD6">
        <w:t xml:space="preserve"> and potential for horizontal gene transfer</w:t>
      </w:r>
      <w:r w:rsidR="00034A84">
        <w:t xml:space="preserve"> (HGT)</w:t>
      </w:r>
      <w:r w:rsidR="00DB47BC">
        <w:t xml:space="preserve">, </w:t>
      </w:r>
      <w:r w:rsidR="006175DC">
        <w:t>to be highly relevant</w:t>
      </w:r>
      <w:r>
        <w:t xml:space="preserve"> to</w:t>
      </w:r>
      <w:r w:rsidR="00FC3A3A">
        <w:t xml:space="preserve"> the</w:t>
      </w:r>
      <w:r>
        <w:t xml:space="preserve"> risk assessment. </w:t>
      </w:r>
      <w:r w:rsidR="004E1C3E">
        <w:t>The committee</w:t>
      </w:r>
      <w:r w:rsidR="000D6D86">
        <w:t xml:space="preserve"> </w:t>
      </w:r>
      <w:r w:rsidR="00445AF0">
        <w:t>considered</w:t>
      </w:r>
      <w:r w:rsidR="00FC3A3A">
        <w:t xml:space="preserve"> that</w:t>
      </w:r>
      <w:r w:rsidR="001E4E88">
        <w:t xml:space="preserve"> </w:t>
      </w:r>
      <w:r w:rsidR="00790D6C">
        <w:t>potential risks</w:t>
      </w:r>
      <w:r w:rsidR="00B9142A">
        <w:t xml:space="preserve"> associated with HGT</w:t>
      </w:r>
      <w:r w:rsidR="00790D6C">
        <w:t xml:space="preserve"> have been</w:t>
      </w:r>
      <w:r w:rsidR="00724915">
        <w:t xml:space="preserve"> identified and</w:t>
      </w:r>
      <w:r w:rsidR="00790D6C">
        <w:t xml:space="preserve"> adequately addressed in the </w:t>
      </w:r>
      <w:r w:rsidR="0027308C">
        <w:t>RARMP</w:t>
      </w:r>
      <w:r w:rsidR="00A17507">
        <w:t xml:space="preserve">. </w:t>
      </w:r>
    </w:p>
    <w:p w14:paraId="759469D8" w14:textId="6DA0CCFE" w:rsidR="005B54BC" w:rsidRDefault="004E1C3E" w:rsidP="00170A25">
      <w:pPr>
        <w:pStyle w:val="BodyText"/>
      </w:pPr>
      <w:r>
        <w:t xml:space="preserve">GTTAC </w:t>
      </w:r>
      <w:r w:rsidR="00A17507">
        <w:t>agreed</w:t>
      </w:r>
      <w:r w:rsidR="00445AF0">
        <w:t xml:space="preserve"> with conclusion</w:t>
      </w:r>
      <w:r w:rsidR="0094632F">
        <w:t>s in the risk scenarios</w:t>
      </w:r>
      <w:r w:rsidR="00445AF0">
        <w:t xml:space="preserve">, </w:t>
      </w:r>
      <w:r w:rsidR="00013048">
        <w:t xml:space="preserve">which </w:t>
      </w:r>
      <w:r w:rsidR="009D0124">
        <w:t xml:space="preserve">identified </w:t>
      </w:r>
      <w:r w:rsidR="00F52004">
        <w:t xml:space="preserve">that the </w:t>
      </w:r>
      <w:r w:rsidR="00A17507">
        <w:t xml:space="preserve">risks </w:t>
      </w:r>
      <w:r w:rsidR="007231B5">
        <w:t xml:space="preserve">associated with the GMO are </w:t>
      </w:r>
      <w:r w:rsidR="005E67BA">
        <w:t xml:space="preserve">considered </w:t>
      </w:r>
      <w:r w:rsidR="00A17507">
        <w:t>negligible</w:t>
      </w:r>
      <w:r w:rsidR="00D24DC4">
        <w:t>.</w:t>
      </w:r>
      <w:r w:rsidR="003929C1" w:rsidRPr="003929C1">
        <w:t xml:space="preserve"> </w:t>
      </w:r>
    </w:p>
    <w:tbl>
      <w:tblPr>
        <w:tblStyle w:val="TableGrid"/>
        <w:tblpPr w:leftFromText="180" w:rightFromText="180" w:vertAnchor="text" w:horzAnchor="margin" w:tblpY="248"/>
        <w:tblW w:w="0" w:type="auto"/>
        <w:tblLook w:val="04A0" w:firstRow="1" w:lastRow="0" w:firstColumn="1" w:lastColumn="0" w:noHBand="0" w:noVBand="1"/>
      </w:tblPr>
      <w:tblGrid>
        <w:gridCol w:w="9628"/>
      </w:tblGrid>
      <w:tr w:rsidR="00D67065" w14:paraId="14C6F526" w14:textId="77777777" w:rsidTr="00D67065">
        <w:tc>
          <w:tcPr>
            <w:tcW w:w="9628" w:type="dxa"/>
            <w:tcBorders>
              <w:top w:val="single" w:sz="4" w:space="0" w:color="auto"/>
              <w:left w:val="single" w:sz="4" w:space="0" w:color="auto"/>
              <w:bottom w:val="single" w:sz="4" w:space="0" w:color="auto"/>
              <w:right w:val="single" w:sz="4" w:space="0" w:color="auto"/>
            </w:tcBorders>
            <w:hideMark/>
          </w:tcPr>
          <w:p w14:paraId="4528A804" w14:textId="77777777" w:rsidR="00D67065" w:rsidRDefault="00D67065" w:rsidP="00D67065">
            <w:pPr>
              <w:pStyle w:val="BodyText"/>
              <w:keepNext/>
              <w:rPr>
                <w:b/>
                <w:bCs/>
                <w:lang w:eastAsia="en-US"/>
              </w:rPr>
            </w:pPr>
            <w:r>
              <w:rPr>
                <w:b/>
                <w:bCs/>
                <w:lang w:eastAsia="en-US"/>
              </w:rPr>
              <w:lastRenderedPageBreak/>
              <w:t>Resolutions</w:t>
            </w:r>
          </w:p>
          <w:p w14:paraId="43C26F61" w14:textId="77777777" w:rsidR="00D67065" w:rsidRPr="00440AD9" w:rsidRDefault="00D67065" w:rsidP="00D67065">
            <w:pPr>
              <w:numPr>
                <w:ilvl w:val="0"/>
                <w:numId w:val="3"/>
              </w:numPr>
              <w:autoSpaceDE w:val="0"/>
              <w:autoSpaceDN w:val="0"/>
              <w:adjustRightInd w:val="0"/>
              <w:spacing w:before="120" w:after="120" w:line="240" w:lineRule="auto"/>
              <w:rPr>
                <w:rFonts w:ascii="Arial" w:eastAsia="Times New Roman" w:hAnsi="Arial" w:cs="Arial"/>
                <w:lang w:eastAsia="en-US"/>
              </w:rPr>
            </w:pPr>
            <w:r w:rsidRPr="00440AD9">
              <w:rPr>
                <w:rFonts w:ascii="Arial" w:eastAsia="Times New Roman" w:hAnsi="Arial" w:cs="Arial"/>
                <w:lang w:eastAsia="en-US"/>
              </w:rPr>
              <w:t>The committee agrees that the risk assessment identified all plausible risk scenarios by which the proposed dealings could potentially give rise to risks relating to the health and safety of people or the environment.</w:t>
            </w:r>
          </w:p>
          <w:p w14:paraId="1537B27C" w14:textId="77777777" w:rsidR="00D67065" w:rsidRPr="00440AD9" w:rsidRDefault="00D67065" w:rsidP="00D67065">
            <w:pPr>
              <w:numPr>
                <w:ilvl w:val="0"/>
                <w:numId w:val="3"/>
              </w:numPr>
              <w:autoSpaceDE w:val="0"/>
              <w:autoSpaceDN w:val="0"/>
              <w:adjustRightInd w:val="0"/>
              <w:spacing w:before="120" w:after="120" w:line="240" w:lineRule="auto"/>
              <w:rPr>
                <w:rFonts w:ascii="Arial" w:eastAsia="Times New Roman" w:hAnsi="Arial" w:cs="Arial"/>
                <w:lang w:eastAsia="en-US"/>
              </w:rPr>
            </w:pPr>
            <w:r w:rsidRPr="00440AD9">
              <w:rPr>
                <w:rFonts w:ascii="Arial" w:eastAsia="Times New Roman" w:hAnsi="Arial" w:cs="Arial"/>
                <w:lang w:eastAsia="en-US"/>
              </w:rPr>
              <w:t>The committee agrees with the overall conclusions of the RARMP.</w:t>
            </w:r>
          </w:p>
        </w:tc>
      </w:tr>
    </w:tbl>
    <w:p w14:paraId="2FB76BD4" w14:textId="77777777" w:rsidR="00D67065" w:rsidRPr="005B26D0" w:rsidRDefault="00D67065" w:rsidP="00D67065">
      <w:pPr>
        <w:pStyle w:val="Cmqheading2"/>
      </w:pPr>
      <w:r w:rsidRPr="005B26D0">
        <w:t xml:space="preserve">Advice on applications – </w:t>
      </w:r>
      <w:r>
        <w:t>Commercial</w:t>
      </w:r>
      <w:r w:rsidRPr="005B26D0">
        <w:t xml:space="preserve"> release</w:t>
      </w:r>
    </w:p>
    <w:bookmarkStart w:id="1" w:name="_Hlk219819535"/>
    <w:p w14:paraId="2AB06042" w14:textId="6AA6AAFD" w:rsidR="00D67065" w:rsidRDefault="00D67065" w:rsidP="00D67065">
      <w:r>
        <w:fldChar w:fldCharType="begin"/>
      </w:r>
      <w:r w:rsidR="00145193">
        <w:instrText>HYPERLINK "https://www.ogtr.gov.au/gmo-dealings/dealings-involving-intentional-release/dir-220"</w:instrText>
      </w:r>
      <w:r>
        <w:fldChar w:fldCharType="separate"/>
      </w:r>
      <w:r w:rsidRPr="00C54CAC">
        <w:rPr>
          <w:rStyle w:val="Hyperlink"/>
          <w:rFonts w:ascii="Arial" w:hAnsi="Arial" w:cs="Arial"/>
          <w:b/>
          <w:bCs/>
        </w:rPr>
        <w:t>DIR-2</w:t>
      </w:r>
      <w:r>
        <w:rPr>
          <w:rStyle w:val="Hyperlink"/>
          <w:rFonts w:ascii="Arial" w:hAnsi="Arial" w:cs="Arial"/>
          <w:b/>
          <w:bCs/>
        </w:rPr>
        <w:t>20</w:t>
      </w:r>
      <w:r>
        <w:fldChar w:fldCharType="end"/>
      </w:r>
      <w:r w:rsidRPr="009A73C3">
        <w:rPr>
          <w:rFonts w:ascii="Arial" w:hAnsi="Arial" w:cs="Arial"/>
          <w:b/>
          <w:bCs/>
        </w:rPr>
        <w:t xml:space="preserve"> Application – </w:t>
      </w:r>
      <w:r w:rsidR="00E6643B" w:rsidRPr="00E6643B">
        <w:rPr>
          <w:rFonts w:ascii="Arial" w:hAnsi="Arial" w:cs="Arial"/>
          <w:b/>
          <w:bCs/>
        </w:rPr>
        <w:t>Commercial supply of multivalent cat vaccines containing a genetically modified component for the prevention of feline leukemia virus infection</w:t>
      </w:r>
      <w:r>
        <w:rPr>
          <w:rFonts w:ascii="Arial" w:hAnsi="Arial" w:cs="Arial"/>
          <w:b/>
          <w:bCs/>
        </w:rPr>
        <w:t xml:space="preserve"> </w:t>
      </w:r>
      <w:bookmarkEnd w:id="1"/>
      <w:r>
        <w:tab/>
      </w:r>
    </w:p>
    <w:p w14:paraId="4B699F50" w14:textId="712DAE83" w:rsidR="00D67065" w:rsidRDefault="00D67065" w:rsidP="002F3D7B">
      <w:pPr>
        <w:pStyle w:val="BodyText"/>
      </w:pPr>
      <w:r w:rsidRPr="00C10B19">
        <w:t>Licence application DIR</w:t>
      </w:r>
      <w:r>
        <w:t>-</w:t>
      </w:r>
      <w:r w:rsidRPr="00C10B19">
        <w:t>2</w:t>
      </w:r>
      <w:r w:rsidR="00FE796B">
        <w:t>20</w:t>
      </w:r>
      <w:r w:rsidRPr="00C10B19">
        <w:t xml:space="preserve"> from </w:t>
      </w:r>
      <w:bookmarkStart w:id="2" w:name="_Hlk219819648"/>
      <w:proofErr w:type="spellStart"/>
      <w:r w:rsidR="007028C0" w:rsidRPr="007028C0">
        <w:t>Intervet</w:t>
      </w:r>
      <w:proofErr w:type="spellEnd"/>
      <w:r w:rsidR="007028C0" w:rsidRPr="007028C0">
        <w:t xml:space="preserve"> Australia Pty Ltd </w:t>
      </w:r>
      <w:r w:rsidRPr="00C10B19">
        <w:t>is</w:t>
      </w:r>
      <w:r w:rsidRPr="008B4E7E">
        <w:t xml:space="preserve"> </w:t>
      </w:r>
      <w:r>
        <w:t xml:space="preserve">for the commercial </w:t>
      </w:r>
      <w:r w:rsidR="002F3D7B">
        <w:t>supply of multivalent cat vaccines containing a GM component for the prevention of feline leukemia virus</w:t>
      </w:r>
      <w:r w:rsidR="00144B1A">
        <w:t xml:space="preserve"> infection</w:t>
      </w:r>
      <w:r>
        <w:t>.</w:t>
      </w:r>
      <w:bookmarkEnd w:id="2"/>
      <w:r>
        <w:t xml:space="preserve"> </w:t>
      </w:r>
    </w:p>
    <w:p w14:paraId="186F6B6C" w14:textId="4FB66972" w:rsidR="009D7727" w:rsidRDefault="008323C9" w:rsidP="009D7727">
      <w:pPr>
        <w:pStyle w:val="BodyText"/>
      </w:pPr>
      <w:r w:rsidRPr="008323C9">
        <w:t>GTTAC provided advice on the preparation of the consultation RARMP, where the following have been identified as key issues:</w:t>
      </w:r>
    </w:p>
    <w:p w14:paraId="0578DAF7" w14:textId="51B5A28C" w:rsidR="009D7727" w:rsidRDefault="009D7727" w:rsidP="002F3D7B">
      <w:pPr>
        <w:pStyle w:val="BodyText"/>
        <w:numPr>
          <w:ilvl w:val="0"/>
          <w:numId w:val="15"/>
        </w:numPr>
      </w:pPr>
      <w:r>
        <w:t xml:space="preserve">Potential for accidental exposure of humans and animals to the GMO leading to </w:t>
      </w:r>
      <w:proofErr w:type="gramStart"/>
      <w:r>
        <w:t>harm;</w:t>
      </w:r>
      <w:proofErr w:type="gramEnd"/>
    </w:p>
    <w:p w14:paraId="0874E936" w14:textId="1D029977" w:rsidR="009D7727" w:rsidRDefault="009D7727" w:rsidP="002F3D7B">
      <w:pPr>
        <w:pStyle w:val="BodyText"/>
        <w:numPr>
          <w:ilvl w:val="0"/>
          <w:numId w:val="15"/>
        </w:numPr>
      </w:pPr>
      <w:r>
        <w:t>Potential for complementation and recombination of the GMO with other alphaviruses; and</w:t>
      </w:r>
    </w:p>
    <w:p w14:paraId="082367EE" w14:textId="589F0135" w:rsidR="009D7727" w:rsidRDefault="009D7727" w:rsidP="002F3D7B">
      <w:pPr>
        <w:pStyle w:val="BodyText"/>
        <w:numPr>
          <w:ilvl w:val="0"/>
          <w:numId w:val="15"/>
        </w:numPr>
      </w:pPr>
      <w:r>
        <w:t>Potential for the GMO to be harmful to the environment.</w:t>
      </w:r>
    </w:p>
    <w:p w14:paraId="5156C87D" w14:textId="77777777" w:rsidR="009D7727" w:rsidRDefault="009D7727" w:rsidP="009D7727">
      <w:pPr>
        <w:pStyle w:val="BodyText"/>
      </w:pPr>
      <w:r>
        <w:t>The Regulator is seeking advice on:</w:t>
      </w:r>
    </w:p>
    <w:p w14:paraId="095631A4" w14:textId="4966FB91" w:rsidR="009D7727" w:rsidRDefault="009D7727" w:rsidP="002F3D7B">
      <w:pPr>
        <w:pStyle w:val="BodyText"/>
        <w:numPr>
          <w:ilvl w:val="0"/>
          <w:numId w:val="16"/>
        </w:numPr>
      </w:pPr>
      <w:r>
        <w:t>Whether the committee agrees that these issues should be considered when preparing the RARMP; and</w:t>
      </w:r>
    </w:p>
    <w:p w14:paraId="41C32A75" w14:textId="049F09FA" w:rsidR="009D7727" w:rsidRDefault="009D7727" w:rsidP="002F3D7B">
      <w:pPr>
        <w:pStyle w:val="BodyText"/>
        <w:numPr>
          <w:ilvl w:val="0"/>
          <w:numId w:val="16"/>
        </w:numPr>
      </w:pPr>
      <w:r>
        <w:t>Other issues that should be considered in the preparation of the RARMP for this application.</w:t>
      </w:r>
    </w:p>
    <w:p w14:paraId="46A07BAA" w14:textId="7E23EE8D" w:rsidR="00EC5D8E" w:rsidRDefault="007D0E1D" w:rsidP="007D0E1D">
      <w:pPr>
        <w:pStyle w:val="BodyText"/>
      </w:pPr>
      <w:r>
        <w:t xml:space="preserve">GTTAC </w:t>
      </w:r>
      <w:r w:rsidR="00921C43">
        <w:t>considered</w:t>
      </w:r>
      <w:r w:rsidR="00EC5D8E">
        <w:t xml:space="preserve"> that</w:t>
      </w:r>
      <w:r>
        <w:t xml:space="preserve"> </w:t>
      </w:r>
      <w:r w:rsidR="00921C43">
        <w:t xml:space="preserve">the application contained sufficient </w:t>
      </w:r>
      <w:r>
        <w:t>detail required for a thorough assessment</w:t>
      </w:r>
      <w:r w:rsidR="00144B1A">
        <w:t xml:space="preserve"> of the identified </w:t>
      </w:r>
      <w:r w:rsidR="00C12781">
        <w:t>key issues</w:t>
      </w:r>
      <w:r>
        <w:t>.</w:t>
      </w:r>
    </w:p>
    <w:p w14:paraId="6E779F1E" w14:textId="768E6467" w:rsidR="00D67065" w:rsidRDefault="001C4AB7" w:rsidP="007D0E1D">
      <w:pPr>
        <w:pStyle w:val="BodyText"/>
      </w:pPr>
      <w:r>
        <w:t>The Committee</w:t>
      </w:r>
      <w:r w:rsidR="007D0E1D">
        <w:t xml:space="preserve"> </w:t>
      </w:r>
      <w:r>
        <w:t xml:space="preserve">discussed </w:t>
      </w:r>
      <w:r w:rsidR="00944B7B">
        <w:t>various matters</w:t>
      </w:r>
      <w:r w:rsidR="00811768">
        <w:t xml:space="preserve">, including the potential </w:t>
      </w:r>
      <w:r w:rsidR="005770B7">
        <w:t>risk of a</w:t>
      </w:r>
      <w:r w:rsidR="009445EA" w:rsidRPr="009445EA">
        <w:t xml:space="preserve"> needlestick injury resulting in inadvertent </w:t>
      </w:r>
      <w:r w:rsidR="00C91D70">
        <w:t>exposure to</w:t>
      </w:r>
      <w:r w:rsidR="009445EA" w:rsidRPr="009445EA">
        <w:t xml:space="preserve"> the GMO</w:t>
      </w:r>
      <w:r w:rsidR="00EC5D8E">
        <w:t xml:space="preserve">. GTTAC suggested that </w:t>
      </w:r>
      <w:r w:rsidR="00C91D70">
        <w:t>in</w:t>
      </w:r>
      <w:r w:rsidR="007D357E">
        <w:t xml:space="preserve"> addition to </w:t>
      </w:r>
      <w:r w:rsidR="00B81098">
        <w:t xml:space="preserve">seeing a general practitioner, </w:t>
      </w:r>
      <w:r w:rsidR="009445EA" w:rsidRPr="009445EA">
        <w:t>the risk assessment may also require seeking ‘expert advice’.</w:t>
      </w:r>
    </w:p>
    <w:tbl>
      <w:tblPr>
        <w:tblStyle w:val="TableGrid"/>
        <w:tblpPr w:leftFromText="180" w:rightFromText="180" w:vertAnchor="text" w:horzAnchor="margin" w:tblpY="248"/>
        <w:tblW w:w="0" w:type="auto"/>
        <w:tblLook w:val="04A0" w:firstRow="1" w:lastRow="0" w:firstColumn="1" w:lastColumn="0" w:noHBand="0" w:noVBand="1"/>
      </w:tblPr>
      <w:tblGrid>
        <w:gridCol w:w="9628"/>
      </w:tblGrid>
      <w:tr w:rsidR="00EE39B3" w14:paraId="78F09B84" w14:textId="77777777" w:rsidTr="00517DC6">
        <w:tc>
          <w:tcPr>
            <w:tcW w:w="9628" w:type="dxa"/>
            <w:tcBorders>
              <w:top w:val="single" w:sz="4" w:space="0" w:color="auto"/>
              <w:left w:val="single" w:sz="4" w:space="0" w:color="auto"/>
              <w:bottom w:val="single" w:sz="4" w:space="0" w:color="auto"/>
              <w:right w:val="single" w:sz="4" w:space="0" w:color="auto"/>
            </w:tcBorders>
            <w:hideMark/>
          </w:tcPr>
          <w:p w14:paraId="60787D9A" w14:textId="77777777" w:rsidR="00EE39B3" w:rsidRDefault="00EE39B3" w:rsidP="00517DC6">
            <w:pPr>
              <w:pStyle w:val="BodyText"/>
              <w:keepNext/>
              <w:rPr>
                <w:b/>
                <w:bCs/>
                <w:lang w:eastAsia="en-US"/>
              </w:rPr>
            </w:pPr>
            <w:r>
              <w:rPr>
                <w:b/>
                <w:bCs/>
                <w:lang w:eastAsia="en-US"/>
              </w:rPr>
              <w:t>Resolutions</w:t>
            </w:r>
          </w:p>
          <w:p w14:paraId="41E49338" w14:textId="05456A00" w:rsidR="00EE39B3" w:rsidRPr="001C4AB7" w:rsidRDefault="001C4AB7" w:rsidP="001C4AB7">
            <w:pPr>
              <w:pStyle w:val="ListParagraph"/>
              <w:numPr>
                <w:ilvl w:val="0"/>
                <w:numId w:val="3"/>
              </w:numPr>
              <w:rPr>
                <w:rFonts w:ascii="Arial" w:eastAsia="Times New Roman" w:hAnsi="Arial" w:cs="Arial"/>
                <w:lang w:eastAsia="en-US"/>
              </w:rPr>
            </w:pPr>
            <w:r w:rsidRPr="001C4AB7">
              <w:rPr>
                <w:rFonts w:ascii="Arial" w:eastAsia="Times New Roman" w:hAnsi="Arial" w:cs="Arial"/>
                <w:lang w:eastAsia="en-US"/>
              </w:rPr>
              <w:t>The committee agrees that the issues raised in this paper should be considered when preparing the RARMP</w:t>
            </w:r>
          </w:p>
        </w:tc>
      </w:tr>
    </w:tbl>
    <w:p w14:paraId="40C2C38A" w14:textId="77777777" w:rsidR="00D72858" w:rsidRDefault="00D72858" w:rsidP="00D72858">
      <w:pPr>
        <w:pStyle w:val="Cmqheading2"/>
      </w:pPr>
      <w:r w:rsidRPr="005B26D0">
        <w:t xml:space="preserve">Advice on </w:t>
      </w:r>
      <w:r>
        <w:t>consultation rarmps</w:t>
      </w:r>
      <w:r w:rsidRPr="005B26D0">
        <w:t xml:space="preserve"> – </w:t>
      </w:r>
      <w:r>
        <w:t>limited and controlled</w:t>
      </w:r>
      <w:r w:rsidRPr="005B26D0">
        <w:t xml:space="preserve"> release</w:t>
      </w:r>
    </w:p>
    <w:bookmarkStart w:id="3" w:name="_Hlk201937573"/>
    <w:p w14:paraId="2BDFFF5B" w14:textId="259910C1" w:rsidR="00364DB4" w:rsidRDefault="00364DB4" w:rsidP="00364DB4">
      <w:pPr>
        <w:pStyle w:val="BodyText"/>
        <w:rPr>
          <w:rFonts w:eastAsiaTheme="majorEastAsia"/>
          <w:b/>
        </w:rPr>
      </w:pPr>
      <w:r>
        <w:rPr>
          <w:rFonts w:eastAsiaTheme="majorEastAsia"/>
          <w:b/>
        </w:rPr>
        <w:fldChar w:fldCharType="begin"/>
      </w:r>
      <w:r w:rsidR="006D2991">
        <w:rPr>
          <w:rFonts w:eastAsiaTheme="majorEastAsia"/>
          <w:b/>
        </w:rPr>
        <w:instrText>HYPERLINK "https://www.ogtr.gov.au/gmo-dealings/dealings-involving-intentional-release/dir-221"</w:instrText>
      </w:r>
      <w:r>
        <w:rPr>
          <w:rFonts w:eastAsiaTheme="majorEastAsia"/>
          <w:b/>
        </w:rPr>
      </w:r>
      <w:r>
        <w:rPr>
          <w:rFonts w:eastAsiaTheme="majorEastAsia"/>
          <w:b/>
        </w:rPr>
        <w:fldChar w:fldCharType="separate"/>
      </w:r>
      <w:r w:rsidRPr="00895547">
        <w:rPr>
          <w:rStyle w:val="Hyperlink"/>
          <w:rFonts w:eastAsiaTheme="majorEastAsia"/>
          <w:b/>
        </w:rPr>
        <w:t>DIR-2</w:t>
      </w:r>
      <w:r>
        <w:rPr>
          <w:rStyle w:val="Hyperlink"/>
          <w:rFonts w:eastAsiaTheme="majorEastAsia"/>
          <w:b/>
        </w:rPr>
        <w:t>21</w:t>
      </w:r>
      <w:r>
        <w:rPr>
          <w:rFonts w:eastAsiaTheme="majorEastAsia"/>
          <w:b/>
        </w:rPr>
        <w:fldChar w:fldCharType="end"/>
      </w:r>
      <w:r w:rsidRPr="00AC7DC7">
        <w:rPr>
          <w:rFonts w:eastAsiaTheme="majorEastAsia"/>
          <w:b/>
        </w:rPr>
        <w:t xml:space="preserve"> RARMP – </w:t>
      </w:r>
      <w:r w:rsidR="001A64C3" w:rsidRPr="001A64C3">
        <w:rPr>
          <w:rFonts w:eastAsiaTheme="majorEastAsia"/>
          <w:b/>
        </w:rPr>
        <w:t xml:space="preserve">Clinical trial of GM </w:t>
      </w:r>
      <w:r w:rsidR="001A64C3" w:rsidRPr="004D6CEA">
        <w:rPr>
          <w:rFonts w:eastAsiaTheme="majorEastAsia"/>
          <w:b/>
          <w:i/>
          <w:iCs/>
        </w:rPr>
        <w:t>E. coli</w:t>
      </w:r>
      <w:r w:rsidR="001A64C3" w:rsidRPr="001A64C3">
        <w:rPr>
          <w:rFonts w:eastAsiaTheme="majorEastAsia"/>
          <w:b/>
        </w:rPr>
        <w:t xml:space="preserve"> for treatment of ulcerative colitis (Melius Microbiomics Pty Ltd)</w:t>
      </w:r>
    </w:p>
    <w:bookmarkEnd w:id="3"/>
    <w:p w14:paraId="4B542345" w14:textId="69A50C95" w:rsidR="00364DB4" w:rsidRDefault="00364DB4" w:rsidP="00074A1E">
      <w:pPr>
        <w:pStyle w:val="BodyText"/>
      </w:pPr>
      <w:r>
        <w:t>Licence application DIR-2</w:t>
      </w:r>
      <w:r w:rsidR="00172A89">
        <w:t>21</w:t>
      </w:r>
      <w:r>
        <w:t xml:space="preserve"> from </w:t>
      </w:r>
      <w:r w:rsidR="00172A89" w:rsidRPr="00172A89">
        <w:t xml:space="preserve">Melius Microbiomics Pty Ltd </w:t>
      </w:r>
      <w:r>
        <w:t xml:space="preserve">is a clinical trial </w:t>
      </w:r>
      <w:r w:rsidRPr="00E94576">
        <w:t xml:space="preserve">of </w:t>
      </w:r>
      <w:r w:rsidR="00074A1E">
        <w:t xml:space="preserve">genetically modified (GM) </w:t>
      </w:r>
      <w:r w:rsidR="00074A1E" w:rsidRPr="00074A1E">
        <w:rPr>
          <w:i/>
          <w:iCs/>
        </w:rPr>
        <w:t>Escherichia coli</w:t>
      </w:r>
      <w:r w:rsidR="00074A1E">
        <w:t xml:space="preserve"> for the treatment of ulcerative colitis</w:t>
      </w:r>
      <w:r w:rsidR="008603EC">
        <w:t>.</w:t>
      </w:r>
    </w:p>
    <w:p w14:paraId="448263AF" w14:textId="417BF1E2" w:rsidR="005B032A" w:rsidRDefault="00F37031" w:rsidP="00F37031">
      <w:pPr>
        <w:pStyle w:val="BodyText"/>
      </w:pPr>
      <w:r>
        <w:lastRenderedPageBreak/>
        <w:t xml:space="preserve">The </w:t>
      </w:r>
      <w:r w:rsidR="00F06510">
        <w:t xml:space="preserve">proposed trial </w:t>
      </w:r>
      <w:r>
        <w:t>is to assess the efficacy and safety of the GMO</w:t>
      </w:r>
      <w:r w:rsidR="00435562">
        <w:t xml:space="preserve">. </w:t>
      </w:r>
      <w:r w:rsidR="005B032A">
        <w:t xml:space="preserve">The trial would </w:t>
      </w:r>
      <w:r w:rsidR="00F06510">
        <w:t xml:space="preserve">be </w:t>
      </w:r>
      <w:r>
        <w:t>conducted at a hospital</w:t>
      </w:r>
      <w:r w:rsidR="00435562">
        <w:t xml:space="preserve"> </w:t>
      </w:r>
      <w:r>
        <w:t>and clinical trial sites in Brisbane, Australia. Up to 36 trial participants would be enrolled</w:t>
      </w:r>
      <w:r w:rsidR="005B032A">
        <w:t xml:space="preserve"> </w:t>
      </w:r>
      <w:r>
        <w:t>over a five-year period.</w:t>
      </w:r>
      <w:r w:rsidR="005B032A">
        <w:t xml:space="preserve"> </w:t>
      </w:r>
    </w:p>
    <w:p w14:paraId="4369038A" w14:textId="0034472D" w:rsidR="00364DB4" w:rsidRDefault="00364DB4" w:rsidP="00F37031">
      <w:pPr>
        <w:pStyle w:val="BodyText"/>
      </w:pPr>
      <w:r>
        <w:t>GTTAC noted the conclusion of the RARMP</w:t>
      </w:r>
      <w:r w:rsidR="001669EB">
        <w:t>,</w:t>
      </w:r>
      <w:r>
        <w:t xml:space="preserve"> that the proposed </w:t>
      </w:r>
      <w:r w:rsidR="001E7564">
        <w:t>clinical</w:t>
      </w:r>
      <w:r>
        <w:t xml:space="preserve"> trial poses negligible risks to the health and safety of individuals and the environment </w:t>
      </w:r>
      <w:proofErr w:type="gramStart"/>
      <w:r>
        <w:t>as a result of</w:t>
      </w:r>
      <w:proofErr w:type="gramEnd"/>
      <w:r>
        <w:t xml:space="preserve"> gene technology.</w:t>
      </w:r>
      <w:r w:rsidRPr="00515AB8">
        <w:t xml:space="preserve"> </w:t>
      </w:r>
      <w:r>
        <w:t>The Committee</w:t>
      </w:r>
      <w:r w:rsidR="00D54840">
        <w:t xml:space="preserve"> suggested clarification in the RARMP</w:t>
      </w:r>
      <w:r w:rsidR="00FE1DE5">
        <w:t xml:space="preserve"> in relation to</w:t>
      </w:r>
      <w:r>
        <w:t>:</w:t>
      </w:r>
    </w:p>
    <w:p w14:paraId="1FF7BAD6" w14:textId="19098B85" w:rsidR="00D54840" w:rsidRDefault="00D54840" w:rsidP="00D54840">
      <w:pPr>
        <w:pStyle w:val="BodyText"/>
        <w:numPr>
          <w:ilvl w:val="0"/>
          <w:numId w:val="14"/>
        </w:numPr>
        <w:autoSpaceDE w:val="0"/>
        <w:autoSpaceDN w:val="0"/>
        <w:adjustRightInd w:val="0"/>
      </w:pPr>
      <w:r>
        <w:t xml:space="preserve">the bacteriophage attachment site </w:t>
      </w:r>
      <w:r w:rsidR="009D2A58">
        <w:t xml:space="preserve">of </w:t>
      </w:r>
      <w:r>
        <w:t>the GMO</w:t>
      </w:r>
    </w:p>
    <w:p w14:paraId="7DC755F1" w14:textId="737A664D" w:rsidR="00D54840" w:rsidRDefault="00D54840" w:rsidP="00D54840">
      <w:pPr>
        <w:pStyle w:val="BodyText"/>
        <w:numPr>
          <w:ilvl w:val="0"/>
          <w:numId w:val="14"/>
        </w:numPr>
        <w:autoSpaceDE w:val="0"/>
        <w:autoSpaceDN w:val="0"/>
        <w:adjustRightInd w:val="0"/>
      </w:pPr>
      <w:r>
        <w:t>disinfectant concentrations</w:t>
      </w:r>
    </w:p>
    <w:p w14:paraId="07AF74A5" w14:textId="39B39075" w:rsidR="00D54840" w:rsidRDefault="00D54840" w:rsidP="00D54840">
      <w:pPr>
        <w:pStyle w:val="BodyText"/>
        <w:numPr>
          <w:ilvl w:val="0"/>
          <w:numId w:val="14"/>
        </w:numPr>
        <w:autoSpaceDE w:val="0"/>
        <w:autoSpaceDN w:val="0"/>
        <w:adjustRightInd w:val="0"/>
      </w:pPr>
      <w:r>
        <w:t>minimisation of inadvertent faecal/oral exposure of the GMO</w:t>
      </w:r>
      <w:r w:rsidRPr="00D54840">
        <w:t xml:space="preserve"> </w:t>
      </w:r>
    </w:p>
    <w:p w14:paraId="6338F336" w14:textId="38B9B557" w:rsidR="00D54840" w:rsidRDefault="00D54840" w:rsidP="00D54840">
      <w:pPr>
        <w:pStyle w:val="BodyText"/>
        <w:numPr>
          <w:ilvl w:val="0"/>
          <w:numId w:val="14"/>
        </w:numPr>
        <w:autoSpaceDE w:val="0"/>
        <w:autoSpaceDN w:val="0"/>
        <w:adjustRightInd w:val="0"/>
      </w:pPr>
      <w:r>
        <w:t xml:space="preserve">potential for sexual transmission of the GMO </w:t>
      </w:r>
      <w:r w:rsidR="00FE1DE5">
        <w:t>–</w:t>
      </w:r>
      <w:r>
        <w:t xml:space="preserve"> </w:t>
      </w:r>
      <w:r w:rsidR="00FE1DE5">
        <w:t xml:space="preserve">including </w:t>
      </w:r>
      <w:r>
        <w:t>to consider referring to a public health resource for advice.</w:t>
      </w:r>
    </w:p>
    <w:p w14:paraId="76DBE6A6" w14:textId="1E5F5AA8" w:rsidR="00D54840" w:rsidRDefault="00D54840" w:rsidP="00D54840">
      <w:pPr>
        <w:pStyle w:val="BodyText"/>
        <w:autoSpaceDE w:val="0"/>
        <w:autoSpaceDN w:val="0"/>
        <w:adjustRightInd w:val="0"/>
      </w:pPr>
      <w:r>
        <w:t>GTTAC discussed the following matters, including:</w:t>
      </w:r>
    </w:p>
    <w:p w14:paraId="737ACD40" w14:textId="476EA678" w:rsidR="00CE38DB" w:rsidRDefault="00FE1DE5" w:rsidP="00CE38DB">
      <w:pPr>
        <w:pStyle w:val="BodyText"/>
        <w:numPr>
          <w:ilvl w:val="0"/>
          <w:numId w:val="14"/>
        </w:numPr>
        <w:autoSpaceDE w:val="0"/>
        <w:autoSpaceDN w:val="0"/>
        <w:adjustRightInd w:val="0"/>
      </w:pPr>
      <w:r>
        <w:t xml:space="preserve">whether </w:t>
      </w:r>
      <w:r w:rsidR="00CE38DB">
        <w:t xml:space="preserve">the parent </w:t>
      </w:r>
      <w:r w:rsidR="001E7564">
        <w:t xml:space="preserve">organism should be considered </w:t>
      </w:r>
      <w:r w:rsidR="00CE38DB">
        <w:t>as ‘</w:t>
      </w:r>
      <w:r w:rsidR="00E012A6">
        <w:t xml:space="preserve">highly </w:t>
      </w:r>
      <w:r w:rsidR="00CE38DB">
        <w:t>likely’ to be present in the Australian environment</w:t>
      </w:r>
    </w:p>
    <w:p w14:paraId="4920F720" w14:textId="7AF51797" w:rsidR="00CE38DB" w:rsidRDefault="001E7564" w:rsidP="00CE38DB">
      <w:pPr>
        <w:pStyle w:val="BodyText"/>
        <w:numPr>
          <w:ilvl w:val="0"/>
          <w:numId w:val="14"/>
        </w:numPr>
        <w:autoSpaceDE w:val="0"/>
        <w:autoSpaceDN w:val="0"/>
        <w:adjustRightInd w:val="0"/>
      </w:pPr>
      <w:r>
        <w:t>u</w:t>
      </w:r>
      <w:r w:rsidR="00CE38DB">
        <w:t>ncertainty in relation to survival of the GMO inside a healthy gut compared to an ulcerated gut</w:t>
      </w:r>
      <w:r w:rsidR="00EA5937">
        <w:t xml:space="preserve">, </w:t>
      </w:r>
      <w:r>
        <w:t>which</w:t>
      </w:r>
      <w:r w:rsidR="00CE38DB">
        <w:t xml:space="preserve"> may possibly increase the risk of transmission of the</w:t>
      </w:r>
      <w:r w:rsidR="00374C4D" w:rsidRPr="00374C4D">
        <w:t xml:space="preserve"> tetrathionate reductase</w:t>
      </w:r>
      <w:r w:rsidR="00CE38DB">
        <w:t xml:space="preserve"> </w:t>
      </w:r>
      <w:r w:rsidR="00374C4D">
        <w:t>(</w:t>
      </w:r>
      <w:proofErr w:type="spellStart"/>
      <w:r w:rsidR="008C0300">
        <w:t>ttr</w:t>
      </w:r>
      <w:proofErr w:type="spellEnd"/>
      <w:r w:rsidR="00374C4D">
        <w:t>)</w:t>
      </w:r>
      <w:r w:rsidR="008C0300">
        <w:t xml:space="preserve"> operon </w:t>
      </w:r>
      <w:r w:rsidR="00CE38DB">
        <w:t>to other organisms, including pathogenic bacteria</w:t>
      </w:r>
    </w:p>
    <w:p w14:paraId="7121B14B" w14:textId="2378DB18" w:rsidR="00364DB4" w:rsidRPr="007341FB" w:rsidRDefault="00CE38DB" w:rsidP="00CE38DB">
      <w:pPr>
        <w:pStyle w:val="BodyText"/>
        <w:numPr>
          <w:ilvl w:val="0"/>
          <w:numId w:val="14"/>
        </w:numPr>
        <w:autoSpaceDE w:val="0"/>
        <w:autoSpaceDN w:val="0"/>
        <w:adjustRightInd w:val="0"/>
      </w:pPr>
      <w:r>
        <w:t>GTTAC suggested</w:t>
      </w:r>
      <w:r w:rsidR="00D54840">
        <w:t xml:space="preserve"> to specify the food containing natural probiotics in the</w:t>
      </w:r>
      <w:r>
        <w:t xml:space="preserve"> exclusion criterion </w:t>
      </w:r>
      <w:r w:rsidR="00E012A6">
        <w:t>for participants who have taken probiotics</w:t>
      </w:r>
      <w:r w:rsidR="001E7564">
        <w:t>.</w:t>
      </w:r>
    </w:p>
    <w:tbl>
      <w:tblPr>
        <w:tblStyle w:val="TableGrid"/>
        <w:tblW w:w="0" w:type="auto"/>
        <w:tblLook w:val="04A0" w:firstRow="1" w:lastRow="0" w:firstColumn="1" w:lastColumn="0" w:noHBand="0" w:noVBand="1"/>
      </w:tblPr>
      <w:tblGrid>
        <w:gridCol w:w="9628"/>
      </w:tblGrid>
      <w:tr w:rsidR="00364DB4" w:rsidRPr="00A40F5B" w14:paraId="7E9812AD" w14:textId="77777777" w:rsidTr="00837A54">
        <w:trPr>
          <w:trHeight w:val="699"/>
        </w:trPr>
        <w:tc>
          <w:tcPr>
            <w:tcW w:w="9628" w:type="dxa"/>
          </w:tcPr>
          <w:p w14:paraId="349B7877" w14:textId="77777777" w:rsidR="00364DB4" w:rsidRPr="00C10B19" w:rsidRDefault="00364DB4" w:rsidP="00837A54">
            <w:pPr>
              <w:pStyle w:val="BodyText"/>
              <w:rPr>
                <w:b/>
                <w:bCs/>
              </w:rPr>
            </w:pPr>
            <w:r w:rsidRPr="00C10B19">
              <w:rPr>
                <w:b/>
                <w:bCs/>
              </w:rPr>
              <w:t>Resolutions</w:t>
            </w:r>
          </w:p>
          <w:p w14:paraId="73BBBA15" w14:textId="77777777" w:rsidR="009412E2" w:rsidRPr="009412E2" w:rsidRDefault="009412E2" w:rsidP="009412E2">
            <w:pPr>
              <w:numPr>
                <w:ilvl w:val="0"/>
                <w:numId w:val="1"/>
              </w:numPr>
              <w:autoSpaceDE w:val="0"/>
              <w:autoSpaceDN w:val="0"/>
              <w:adjustRightInd w:val="0"/>
              <w:spacing w:before="120" w:after="120" w:line="240" w:lineRule="auto"/>
              <w:rPr>
                <w:rFonts w:ascii="Arial" w:eastAsia="Times New Roman" w:hAnsi="Arial" w:cs="Arial"/>
              </w:rPr>
            </w:pPr>
            <w:r w:rsidRPr="009412E2">
              <w:rPr>
                <w:rFonts w:ascii="Arial" w:eastAsia="Times New Roman" w:hAnsi="Arial" w:cs="Arial"/>
              </w:rPr>
              <w:t>The committee does not agree that the risk assessment identifies all plausible risk scenarios by which the proposed dealings could potentially give rise to risks relating to the health and safety of people or the environment, specifically related to risk scenario 2.</w:t>
            </w:r>
          </w:p>
          <w:p w14:paraId="03DEBAAF" w14:textId="77777777" w:rsidR="009412E2" w:rsidRPr="009412E2" w:rsidRDefault="009412E2" w:rsidP="009412E2">
            <w:pPr>
              <w:numPr>
                <w:ilvl w:val="0"/>
                <w:numId w:val="1"/>
              </w:numPr>
              <w:autoSpaceDE w:val="0"/>
              <w:autoSpaceDN w:val="0"/>
              <w:adjustRightInd w:val="0"/>
              <w:spacing w:before="120" w:after="120" w:line="240" w:lineRule="auto"/>
              <w:rPr>
                <w:rFonts w:ascii="Arial" w:eastAsia="Times New Roman" w:hAnsi="Arial" w:cs="Arial"/>
              </w:rPr>
            </w:pPr>
            <w:r w:rsidRPr="009412E2">
              <w:rPr>
                <w:rFonts w:ascii="Arial" w:eastAsia="Times New Roman" w:hAnsi="Arial" w:cs="Arial"/>
              </w:rPr>
              <w:t>The committee does not agree that the limits and controls proposed in the draft licence to prevent the spread of the GMO are appropriate for the trial, specifically related to risk scenario 3.</w:t>
            </w:r>
          </w:p>
          <w:p w14:paraId="12AC7337" w14:textId="77777777" w:rsidR="009412E2" w:rsidRPr="009412E2" w:rsidRDefault="009412E2" w:rsidP="009412E2">
            <w:pPr>
              <w:numPr>
                <w:ilvl w:val="0"/>
                <w:numId w:val="1"/>
              </w:numPr>
              <w:autoSpaceDE w:val="0"/>
              <w:autoSpaceDN w:val="0"/>
              <w:adjustRightInd w:val="0"/>
              <w:spacing w:before="120" w:after="120" w:line="240" w:lineRule="auto"/>
              <w:rPr>
                <w:rFonts w:ascii="Arial" w:eastAsia="Times New Roman" w:hAnsi="Arial" w:cs="Arial"/>
              </w:rPr>
            </w:pPr>
            <w:r w:rsidRPr="009412E2">
              <w:rPr>
                <w:rFonts w:ascii="Arial" w:eastAsia="Times New Roman" w:hAnsi="Arial" w:cs="Arial"/>
              </w:rPr>
              <w:t>The committee does not agree with the overall conclusion of the RARMP.</w:t>
            </w:r>
          </w:p>
          <w:p w14:paraId="7CCCBBD3" w14:textId="570044DF" w:rsidR="009412E2" w:rsidRPr="009412E2" w:rsidRDefault="009412E2" w:rsidP="009412E2">
            <w:pPr>
              <w:numPr>
                <w:ilvl w:val="0"/>
                <w:numId w:val="1"/>
              </w:numPr>
              <w:autoSpaceDE w:val="0"/>
              <w:autoSpaceDN w:val="0"/>
              <w:adjustRightInd w:val="0"/>
              <w:spacing w:before="120" w:after="120" w:line="240" w:lineRule="auto"/>
              <w:rPr>
                <w:rFonts w:ascii="Arial" w:eastAsia="Times New Roman" w:hAnsi="Arial" w:cs="Arial"/>
              </w:rPr>
            </w:pPr>
            <w:r w:rsidRPr="009412E2">
              <w:rPr>
                <w:rFonts w:ascii="Arial" w:eastAsia="Times New Roman" w:hAnsi="Arial" w:cs="Arial"/>
              </w:rPr>
              <w:t>The Regulator should consider clarifying licence condition wording aiming to reduce faecal-oral contact/transmis</w:t>
            </w:r>
            <w:r w:rsidRPr="009F2AFF">
              <w:rPr>
                <w:rFonts w:ascii="Arial" w:eastAsia="Times New Roman" w:hAnsi="Arial" w:cs="Arial"/>
              </w:rPr>
              <w:t>sion.</w:t>
            </w:r>
          </w:p>
          <w:p w14:paraId="554E8C5B" w14:textId="76433125" w:rsidR="009412E2" w:rsidRPr="009412E2" w:rsidRDefault="009412E2" w:rsidP="009412E2">
            <w:pPr>
              <w:numPr>
                <w:ilvl w:val="0"/>
                <w:numId w:val="1"/>
              </w:numPr>
              <w:autoSpaceDE w:val="0"/>
              <w:autoSpaceDN w:val="0"/>
              <w:adjustRightInd w:val="0"/>
              <w:spacing w:before="120" w:after="120" w:line="240" w:lineRule="auto"/>
              <w:rPr>
                <w:rFonts w:ascii="Arial" w:eastAsia="Times New Roman" w:hAnsi="Arial" w:cs="Arial"/>
              </w:rPr>
            </w:pPr>
            <w:r w:rsidRPr="009412E2">
              <w:rPr>
                <w:rFonts w:ascii="Arial" w:eastAsia="Times New Roman" w:hAnsi="Arial" w:cs="Arial"/>
              </w:rPr>
              <w:t xml:space="preserve">The Regulator should consider whether the uncertainty in the pre-clinical data is sufficient to support that the likelihood of </w:t>
            </w:r>
            <w:r w:rsidRPr="009F2AFF">
              <w:rPr>
                <w:rFonts w:ascii="Arial" w:eastAsia="Times New Roman" w:hAnsi="Arial" w:cs="Arial"/>
              </w:rPr>
              <w:t xml:space="preserve">transmission of </w:t>
            </w:r>
            <w:r w:rsidR="00FE51B0">
              <w:rPr>
                <w:rFonts w:ascii="Arial" w:eastAsia="Times New Roman" w:hAnsi="Arial" w:cs="Arial"/>
              </w:rPr>
              <w:t xml:space="preserve">the </w:t>
            </w:r>
            <w:proofErr w:type="spellStart"/>
            <w:r w:rsidRPr="009F2AFF">
              <w:rPr>
                <w:rFonts w:ascii="Arial" w:eastAsia="Times New Roman" w:hAnsi="Arial" w:cs="Arial"/>
              </w:rPr>
              <w:t>ttr</w:t>
            </w:r>
            <w:proofErr w:type="spellEnd"/>
            <w:r w:rsidRPr="009F2AFF">
              <w:rPr>
                <w:rFonts w:ascii="Arial" w:eastAsia="Times New Roman" w:hAnsi="Arial" w:cs="Arial"/>
              </w:rPr>
              <w:t xml:space="preserve"> operon to</w:t>
            </w:r>
            <w:r w:rsidRPr="009412E2">
              <w:rPr>
                <w:rFonts w:ascii="Arial" w:eastAsia="Times New Roman" w:hAnsi="Arial" w:cs="Arial"/>
              </w:rPr>
              <w:t xml:space="preserve"> pathogenic bacteria is negligible or low.</w:t>
            </w:r>
          </w:p>
          <w:p w14:paraId="1A064BD6" w14:textId="22E85CE6" w:rsidR="00364DB4" w:rsidRPr="009412E2" w:rsidRDefault="009412E2" w:rsidP="009412E2">
            <w:pPr>
              <w:numPr>
                <w:ilvl w:val="0"/>
                <w:numId w:val="1"/>
              </w:numPr>
              <w:autoSpaceDE w:val="0"/>
              <w:autoSpaceDN w:val="0"/>
              <w:adjustRightInd w:val="0"/>
              <w:spacing w:before="120" w:after="120" w:line="240" w:lineRule="auto"/>
              <w:rPr>
                <w:rFonts w:ascii="Arial" w:eastAsia="Times New Roman" w:hAnsi="Arial" w:cs="Arial"/>
              </w:rPr>
            </w:pPr>
            <w:r w:rsidRPr="009412E2">
              <w:rPr>
                <w:rFonts w:ascii="Arial" w:eastAsia="Times New Roman" w:hAnsi="Arial" w:cs="Arial"/>
              </w:rPr>
              <w:t>The Regulator should further consider clarifying the exclusion criterion relating to taking probiotics and whether probiotics should be defined.</w:t>
            </w:r>
            <w:r w:rsidR="00364DB4" w:rsidRPr="009412E2">
              <w:rPr>
                <w:rFonts w:ascii="Arial" w:eastAsia="Times New Roman" w:hAnsi="Arial" w:cs="Arial"/>
              </w:rPr>
              <w:t xml:space="preserve"> </w:t>
            </w:r>
          </w:p>
        </w:tc>
      </w:tr>
    </w:tbl>
    <w:p w14:paraId="36B16FE6" w14:textId="77777777" w:rsidR="00D67065" w:rsidRPr="00D67065" w:rsidRDefault="00D67065" w:rsidP="00D67065"/>
    <w:p w14:paraId="13039E74" w14:textId="77777777" w:rsidR="00331601" w:rsidRPr="00BA20C7" w:rsidRDefault="00331601" w:rsidP="00331601">
      <w:pPr>
        <w:pStyle w:val="CmqHeading1"/>
      </w:pPr>
      <w:r w:rsidRPr="00BA20C7">
        <w:t>Enquiries</w:t>
      </w:r>
    </w:p>
    <w:p w14:paraId="4614D422" w14:textId="66C280FC" w:rsidR="00280050" w:rsidRDefault="00331601" w:rsidP="00CC509F">
      <w:pPr>
        <w:pStyle w:val="BodyText"/>
      </w:pPr>
      <w:r w:rsidRPr="00E12965">
        <w:t xml:space="preserve">For all enquiries, please call the OGTR on 1800 181 030 or email </w:t>
      </w:r>
      <w:hyperlink r:id="rId9" w:history="1">
        <w:r w:rsidRPr="002E084A">
          <w:rPr>
            <w:rStyle w:val="Hyperlink"/>
          </w:rPr>
          <w:t>ogtr@health.gov.au</w:t>
        </w:r>
      </w:hyperlink>
      <w:r w:rsidRPr="00E12965">
        <w:t>.</w:t>
      </w:r>
    </w:p>
    <w:sectPr w:rsidR="00280050" w:rsidSect="0033160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FB3E" w14:textId="77777777" w:rsidR="005C6179" w:rsidRDefault="005C6179">
      <w:pPr>
        <w:spacing w:after="0" w:line="240" w:lineRule="auto"/>
      </w:pPr>
      <w:r>
        <w:separator/>
      </w:r>
    </w:p>
  </w:endnote>
  <w:endnote w:type="continuationSeparator" w:id="0">
    <w:p w14:paraId="09DBFD57" w14:textId="77777777" w:rsidR="005C6179" w:rsidRDefault="005C6179">
      <w:pPr>
        <w:spacing w:after="0" w:line="240" w:lineRule="auto"/>
      </w:pPr>
      <w:r>
        <w:continuationSeparator/>
      </w:r>
    </w:p>
  </w:endnote>
  <w:endnote w:type="continuationNotice" w:id="1">
    <w:p w14:paraId="31A69208" w14:textId="77777777" w:rsidR="005C6179" w:rsidRDefault="005C6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343" w14:textId="1C85400A" w:rsidR="00331601" w:rsidRDefault="003E56A2" w:rsidP="002723BB">
    <w:pPr>
      <w:pStyle w:val="Footer"/>
      <w:framePr w:w="106" w:h="286" w:hRule="exact" w:wrap="around" w:vAnchor="text" w:hAnchor="page" w:x="10651" w:y="3"/>
      <w:rPr>
        <w:rStyle w:val="PageNumber"/>
      </w:rPr>
    </w:pPr>
    <w:r>
      <w:rPr>
        <w:noProof/>
        <w14:ligatures w14:val="standardContextual"/>
      </w:rPr>
      <mc:AlternateContent>
        <mc:Choice Requires="wps">
          <w:drawing>
            <wp:anchor distT="0" distB="0" distL="0" distR="0" simplePos="0" relativeHeight="251662336" behindDoc="0" locked="0" layoutInCell="1" allowOverlap="1" wp14:anchorId="3EF68A43" wp14:editId="4C968438">
              <wp:simplePos x="635" y="635"/>
              <wp:positionH relativeFrom="page">
                <wp:align>center</wp:align>
              </wp:positionH>
              <wp:positionV relativeFrom="page">
                <wp:align>bottom</wp:align>
              </wp:positionV>
              <wp:extent cx="622300" cy="404495"/>
              <wp:effectExtent l="0" t="0" r="6350" b="0"/>
              <wp:wrapNone/>
              <wp:docPr id="1308889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61C29CD" w14:textId="417C8194" w:rsidR="003E56A2" w:rsidRPr="003E56A2" w:rsidRDefault="003E56A2" w:rsidP="003E56A2">
                          <w:pPr>
                            <w:spacing w:after="0"/>
                            <w:rPr>
                              <w:rFonts w:ascii="Aptos" w:eastAsia="Aptos" w:hAnsi="Aptos" w:cs="Aptos"/>
                              <w:noProof/>
                              <w:color w:val="FF0000"/>
                              <w:sz w:val="24"/>
                              <w:szCs w:val="24"/>
                            </w:rPr>
                          </w:pPr>
                          <w:r w:rsidRPr="003E56A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68A43"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461C29CD" w14:textId="417C8194" w:rsidR="003E56A2" w:rsidRPr="003E56A2" w:rsidRDefault="003E56A2" w:rsidP="003E56A2">
                    <w:pPr>
                      <w:spacing w:after="0"/>
                      <w:rPr>
                        <w:rFonts w:ascii="Aptos" w:eastAsia="Aptos" w:hAnsi="Aptos" w:cs="Aptos"/>
                        <w:noProof/>
                        <w:color w:val="FF0000"/>
                        <w:sz w:val="24"/>
                        <w:szCs w:val="24"/>
                      </w:rPr>
                    </w:pPr>
                    <w:r w:rsidRPr="003E56A2">
                      <w:rPr>
                        <w:rFonts w:ascii="Aptos" w:eastAsia="Aptos" w:hAnsi="Aptos" w:cs="Aptos"/>
                        <w:noProof/>
                        <w:color w:val="FF0000"/>
                        <w:sz w:val="24"/>
                        <w:szCs w:val="24"/>
                      </w:rPr>
                      <w:t>OFFICIAL</w:t>
                    </w:r>
                  </w:p>
                </w:txbxContent>
              </v:textbox>
              <w10:wrap anchorx="page" anchory="page"/>
            </v:shape>
          </w:pict>
        </mc:Fallback>
      </mc:AlternateContent>
    </w:r>
    <w:r w:rsidR="00331601">
      <w:rPr>
        <w:rStyle w:val="PageNumber"/>
      </w:rPr>
      <w:fldChar w:fldCharType="begin"/>
    </w:r>
    <w:r w:rsidR="00331601">
      <w:rPr>
        <w:rStyle w:val="PageNumber"/>
      </w:rPr>
      <w:instrText xml:space="preserve">PAGE  </w:instrText>
    </w:r>
    <w:r w:rsidR="00331601">
      <w:rPr>
        <w:rStyle w:val="PageNumber"/>
      </w:rPr>
      <w:fldChar w:fldCharType="separate"/>
    </w:r>
    <w:r w:rsidR="00331601">
      <w:rPr>
        <w:rStyle w:val="PageNumber"/>
        <w:noProof/>
      </w:rPr>
      <w:t>2</w:t>
    </w:r>
    <w:r w:rsidR="00331601">
      <w:rPr>
        <w:rStyle w:val="PageNumber"/>
      </w:rPr>
      <w:fldChar w:fldCharType="end"/>
    </w:r>
  </w:p>
  <w:p w14:paraId="0ED82BBE" w14:textId="77777777" w:rsidR="00331601" w:rsidRDefault="00331601" w:rsidP="002723BB">
    <w:pPr>
      <w:pStyle w:val="Footer"/>
      <w:spacing w:after="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43D3" w14:textId="5295CBDA" w:rsidR="00331601" w:rsidRPr="006224A0" w:rsidRDefault="00EE4104" w:rsidP="006224A0">
    <w:pPr>
      <w:pStyle w:val="Footer"/>
      <w:tabs>
        <w:tab w:val="clear" w:pos="8306"/>
        <w:tab w:val="left" w:pos="8505"/>
      </w:tabs>
      <w:spacing w:after="0"/>
      <w:rPr>
        <w:rFonts w:ascii="Arial" w:hAnsi="Arial" w:cs="Arial"/>
        <w:sz w:val="20"/>
        <w:szCs w:val="20"/>
      </w:rPr>
    </w:pPr>
    <w:r w:rsidRPr="00EE4104">
      <w:rPr>
        <w:rFonts w:ascii="Arial" w:hAnsi="Arial" w:cs="Arial"/>
        <w:sz w:val="20"/>
        <w:szCs w:val="20"/>
      </w:rPr>
      <w:t xml:space="preserve"> </w:t>
    </w:r>
    <w:r w:rsidRPr="006224A0">
      <w:rPr>
        <w:rFonts w:ascii="Arial" w:hAnsi="Arial" w:cs="Arial"/>
        <w:sz w:val="20"/>
        <w:szCs w:val="20"/>
      </w:rPr>
      <w:t xml:space="preserve">GTTAC Communiqué </w:t>
    </w:r>
    <w:r>
      <w:rPr>
        <w:rFonts w:ascii="Arial" w:hAnsi="Arial" w:cs="Arial"/>
        <w:sz w:val="20"/>
        <w:szCs w:val="20"/>
      </w:rPr>
      <w:t>– meeting on 1 December 2025</w:t>
    </w:r>
    <w:r w:rsidR="00331601" w:rsidRPr="006224A0">
      <w:rPr>
        <w:rFonts w:ascii="Arial" w:hAnsi="Arial" w:cs="Arial"/>
        <w:sz w:val="20"/>
        <w:szCs w:val="20"/>
      </w:rPr>
      <w:tab/>
      <w:t xml:space="preserve">Page </w:t>
    </w:r>
    <w:sdt>
      <w:sdtPr>
        <w:rPr>
          <w:rFonts w:ascii="Arial" w:hAnsi="Arial" w:cs="Arial"/>
          <w:sz w:val="20"/>
          <w:szCs w:val="20"/>
        </w:rPr>
        <w:id w:val="-52394294"/>
        <w:docPartObj>
          <w:docPartGallery w:val="Page Numbers (Bottom of Page)"/>
          <w:docPartUnique/>
        </w:docPartObj>
      </w:sdtPr>
      <w:sdtEndPr>
        <w:rPr>
          <w:noProof/>
        </w:rPr>
      </w:sdtEndPr>
      <w:sdtContent>
        <w:r w:rsidR="00331601" w:rsidRPr="006224A0">
          <w:rPr>
            <w:rFonts w:ascii="Arial" w:hAnsi="Arial" w:cs="Arial"/>
            <w:sz w:val="20"/>
            <w:szCs w:val="20"/>
          </w:rPr>
          <w:fldChar w:fldCharType="begin"/>
        </w:r>
        <w:r w:rsidR="00331601" w:rsidRPr="006224A0">
          <w:rPr>
            <w:rFonts w:ascii="Arial" w:hAnsi="Arial" w:cs="Arial"/>
            <w:sz w:val="20"/>
            <w:szCs w:val="20"/>
          </w:rPr>
          <w:instrText xml:space="preserve"> PAGE   \* MERGEFORMAT </w:instrText>
        </w:r>
        <w:r w:rsidR="00331601" w:rsidRPr="006224A0">
          <w:rPr>
            <w:rFonts w:ascii="Arial" w:hAnsi="Arial" w:cs="Arial"/>
            <w:sz w:val="20"/>
            <w:szCs w:val="20"/>
          </w:rPr>
          <w:fldChar w:fldCharType="separate"/>
        </w:r>
        <w:r w:rsidR="00331601">
          <w:rPr>
            <w:rFonts w:ascii="Arial" w:hAnsi="Arial" w:cs="Arial"/>
            <w:sz w:val="20"/>
            <w:szCs w:val="20"/>
          </w:rPr>
          <w:t>1</w:t>
        </w:r>
        <w:r w:rsidR="00331601" w:rsidRPr="006224A0">
          <w:rPr>
            <w:rFonts w:ascii="Arial" w:hAnsi="Arial" w:cs="Arial"/>
            <w:noProof/>
            <w:sz w:val="20"/>
            <w:szCs w:val="20"/>
          </w:rPr>
          <w:fldChar w:fldCharType="end"/>
        </w:r>
        <w:r w:rsidR="00331601" w:rsidRPr="006224A0">
          <w:rPr>
            <w:rFonts w:ascii="Arial" w:hAnsi="Arial" w:cs="Arial"/>
            <w:noProof/>
            <w:sz w:val="20"/>
            <w:szCs w:val="20"/>
          </w:rPr>
          <w:t xml:space="preserve"> of </w:t>
        </w:r>
        <w:r w:rsidR="00331601" w:rsidRPr="006224A0">
          <w:rPr>
            <w:rFonts w:ascii="Arial" w:hAnsi="Arial" w:cs="Arial"/>
            <w:noProof/>
            <w:sz w:val="20"/>
            <w:szCs w:val="20"/>
          </w:rPr>
          <w:fldChar w:fldCharType="begin"/>
        </w:r>
        <w:r w:rsidR="00331601" w:rsidRPr="006224A0">
          <w:rPr>
            <w:rFonts w:ascii="Arial" w:hAnsi="Arial" w:cs="Arial"/>
            <w:noProof/>
            <w:sz w:val="20"/>
            <w:szCs w:val="20"/>
          </w:rPr>
          <w:instrText xml:space="preserve"> NUMPAGES   \* MERGEFORMAT </w:instrText>
        </w:r>
        <w:r w:rsidR="00331601" w:rsidRPr="006224A0">
          <w:rPr>
            <w:rFonts w:ascii="Arial" w:hAnsi="Arial" w:cs="Arial"/>
            <w:noProof/>
            <w:sz w:val="20"/>
            <w:szCs w:val="20"/>
          </w:rPr>
          <w:fldChar w:fldCharType="separate"/>
        </w:r>
        <w:r w:rsidR="00331601">
          <w:rPr>
            <w:rFonts w:ascii="Arial" w:hAnsi="Arial" w:cs="Arial"/>
            <w:noProof/>
            <w:sz w:val="20"/>
            <w:szCs w:val="20"/>
          </w:rPr>
          <w:t>3</w:t>
        </w:r>
        <w:r w:rsidR="00331601" w:rsidRPr="006224A0">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F1E0" w14:textId="090301AF" w:rsidR="00331601" w:rsidRPr="006224A0" w:rsidRDefault="00331601" w:rsidP="006224A0">
    <w:pPr>
      <w:pStyle w:val="Footer"/>
      <w:tabs>
        <w:tab w:val="clear" w:pos="8306"/>
        <w:tab w:val="left" w:pos="8505"/>
      </w:tabs>
      <w:spacing w:after="0"/>
      <w:rPr>
        <w:rFonts w:ascii="Arial" w:hAnsi="Arial" w:cs="Arial"/>
        <w:sz w:val="20"/>
        <w:szCs w:val="20"/>
      </w:rPr>
    </w:pPr>
    <w:r w:rsidRPr="006224A0">
      <w:rPr>
        <w:rFonts w:ascii="Arial" w:hAnsi="Arial" w:cs="Arial"/>
        <w:sz w:val="20"/>
        <w:szCs w:val="20"/>
      </w:rPr>
      <w:t xml:space="preserve">GTTAC Communiqué </w:t>
    </w:r>
    <w:r>
      <w:rPr>
        <w:rFonts w:ascii="Arial" w:hAnsi="Arial" w:cs="Arial"/>
        <w:sz w:val="20"/>
        <w:szCs w:val="20"/>
      </w:rPr>
      <w:t xml:space="preserve">– meeting on </w:t>
    </w:r>
    <w:r w:rsidR="00960ECB">
      <w:rPr>
        <w:rFonts w:ascii="Arial" w:hAnsi="Arial" w:cs="Arial"/>
        <w:sz w:val="20"/>
        <w:szCs w:val="20"/>
      </w:rPr>
      <w:t>1 December</w:t>
    </w:r>
    <w:r w:rsidR="008F7326">
      <w:rPr>
        <w:rFonts w:ascii="Arial" w:hAnsi="Arial" w:cs="Arial"/>
        <w:sz w:val="20"/>
        <w:szCs w:val="20"/>
      </w:rPr>
      <w:t xml:space="preserve"> 2025</w:t>
    </w:r>
    <w:r w:rsidRPr="006224A0">
      <w:rPr>
        <w:rFonts w:ascii="Arial" w:hAnsi="Arial" w:cs="Arial"/>
        <w:sz w:val="20"/>
        <w:szCs w:val="20"/>
      </w:rPr>
      <w:tab/>
      <w:t xml:space="preserve">Page </w:t>
    </w:r>
    <w:sdt>
      <w:sdtPr>
        <w:rPr>
          <w:rFonts w:ascii="Arial" w:hAnsi="Arial" w:cs="Arial"/>
          <w:sz w:val="20"/>
          <w:szCs w:val="20"/>
        </w:rPr>
        <w:id w:val="1937241287"/>
        <w:docPartObj>
          <w:docPartGallery w:val="Page Numbers (Bottom of Page)"/>
          <w:docPartUnique/>
        </w:docPartObj>
      </w:sdtPr>
      <w:sdtEndPr>
        <w:rPr>
          <w:noProof/>
        </w:rPr>
      </w:sdtEndPr>
      <w:sdtContent>
        <w:r w:rsidRPr="006224A0">
          <w:rPr>
            <w:rFonts w:ascii="Arial" w:hAnsi="Arial" w:cs="Arial"/>
            <w:sz w:val="20"/>
            <w:szCs w:val="20"/>
          </w:rPr>
          <w:fldChar w:fldCharType="begin"/>
        </w:r>
        <w:r w:rsidRPr="006224A0">
          <w:rPr>
            <w:rFonts w:ascii="Arial" w:hAnsi="Arial" w:cs="Arial"/>
            <w:sz w:val="20"/>
            <w:szCs w:val="20"/>
          </w:rPr>
          <w:instrText xml:space="preserve"> PAGE   \* MERGEFORMAT </w:instrText>
        </w:r>
        <w:r w:rsidRPr="006224A0">
          <w:rPr>
            <w:rFonts w:ascii="Arial" w:hAnsi="Arial" w:cs="Arial"/>
            <w:sz w:val="20"/>
            <w:szCs w:val="20"/>
          </w:rPr>
          <w:fldChar w:fldCharType="separate"/>
        </w:r>
        <w:r w:rsidRPr="006224A0">
          <w:rPr>
            <w:rFonts w:ascii="Arial" w:hAnsi="Arial" w:cs="Arial"/>
            <w:noProof/>
            <w:sz w:val="20"/>
            <w:szCs w:val="20"/>
          </w:rPr>
          <w:t>2</w:t>
        </w:r>
        <w:r w:rsidRPr="006224A0">
          <w:rPr>
            <w:rFonts w:ascii="Arial" w:hAnsi="Arial" w:cs="Arial"/>
            <w:noProof/>
            <w:sz w:val="20"/>
            <w:szCs w:val="20"/>
          </w:rPr>
          <w:fldChar w:fldCharType="end"/>
        </w:r>
        <w:r w:rsidRPr="006224A0">
          <w:rPr>
            <w:rFonts w:ascii="Arial" w:hAnsi="Arial" w:cs="Arial"/>
            <w:noProof/>
            <w:sz w:val="20"/>
            <w:szCs w:val="20"/>
          </w:rPr>
          <w:t xml:space="preserve"> of </w:t>
        </w:r>
        <w:r w:rsidRPr="006224A0">
          <w:rPr>
            <w:rFonts w:ascii="Arial" w:hAnsi="Arial" w:cs="Arial"/>
            <w:noProof/>
            <w:sz w:val="20"/>
            <w:szCs w:val="20"/>
          </w:rPr>
          <w:fldChar w:fldCharType="begin"/>
        </w:r>
        <w:r w:rsidRPr="006224A0">
          <w:rPr>
            <w:rFonts w:ascii="Arial" w:hAnsi="Arial" w:cs="Arial"/>
            <w:noProof/>
            <w:sz w:val="20"/>
            <w:szCs w:val="20"/>
          </w:rPr>
          <w:instrText xml:space="preserve"> NUMPAGES   \* MERGEFORMAT </w:instrText>
        </w:r>
        <w:r w:rsidRPr="006224A0">
          <w:rPr>
            <w:rFonts w:ascii="Arial" w:hAnsi="Arial" w:cs="Arial"/>
            <w:noProof/>
            <w:sz w:val="20"/>
            <w:szCs w:val="20"/>
          </w:rPr>
          <w:fldChar w:fldCharType="separate"/>
        </w:r>
        <w:r w:rsidRPr="006224A0">
          <w:rPr>
            <w:rFonts w:ascii="Arial" w:hAnsi="Arial" w:cs="Arial"/>
            <w:noProof/>
            <w:sz w:val="20"/>
            <w:szCs w:val="20"/>
          </w:rPr>
          <w:t>3</w:t>
        </w:r>
        <w:r w:rsidRPr="006224A0">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E60D" w14:textId="77777777" w:rsidR="005C6179" w:rsidRDefault="005C6179">
      <w:pPr>
        <w:spacing w:after="0" w:line="240" w:lineRule="auto"/>
      </w:pPr>
      <w:r>
        <w:separator/>
      </w:r>
    </w:p>
  </w:footnote>
  <w:footnote w:type="continuationSeparator" w:id="0">
    <w:p w14:paraId="748350F1" w14:textId="77777777" w:rsidR="005C6179" w:rsidRDefault="005C6179">
      <w:pPr>
        <w:spacing w:after="0" w:line="240" w:lineRule="auto"/>
      </w:pPr>
      <w:r>
        <w:continuationSeparator/>
      </w:r>
    </w:p>
  </w:footnote>
  <w:footnote w:type="continuationNotice" w:id="1">
    <w:p w14:paraId="61DE0947" w14:textId="77777777" w:rsidR="005C6179" w:rsidRDefault="005C61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15EE" w14:textId="5BEC8D96" w:rsidR="003E56A2" w:rsidRDefault="003E56A2">
    <w:pPr>
      <w:pStyle w:val="Header"/>
    </w:pPr>
    <w:r>
      <w:rPr>
        <w:noProof/>
        <w:snapToGrid/>
        <w14:ligatures w14:val="standardContextual"/>
      </w:rPr>
      <mc:AlternateContent>
        <mc:Choice Requires="wps">
          <w:drawing>
            <wp:anchor distT="0" distB="0" distL="0" distR="0" simplePos="0" relativeHeight="251659264" behindDoc="0" locked="0" layoutInCell="1" allowOverlap="1" wp14:anchorId="1D00A66F" wp14:editId="15B7FA5A">
              <wp:simplePos x="635" y="635"/>
              <wp:positionH relativeFrom="page">
                <wp:align>center</wp:align>
              </wp:positionH>
              <wp:positionV relativeFrom="page">
                <wp:align>top</wp:align>
              </wp:positionV>
              <wp:extent cx="622300" cy="404495"/>
              <wp:effectExtent l="0" t="0" r="6350" b="14605"/>
              <wp:wrapNone/>
              <wp:docPr id="20099208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F865A30" w14:textId="003EB8C9" w:rsidR="003E56A2" w:rsidRPr="003E56A2" w:rsidRDefault="003E56A2" w:rsidP="003E56A2">
                          <w:pPr>
                            <w:spacing w:after="0"/>
                            <w:rPr>
                              <w:rFonts w:ascii="Aptos" w:eastAsia="Aptos" w:hAnsi="Aptos" w:cs="Aptos"/>
                              <w:noProof/>
                              <w:color w:val="FF0000"/>
                              <w:sz w:val="24"/>
                              <w:szCs w:val="24"/>
                            </w:rPr>
                          </w:pPr>
                          <w:r w:rsidRPr="003E56A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0A66F"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F865A30" w14:textId="003EB8C9" w:rsidR="003E56A2" w:rsidRPr="003E56A2" w:rsidRDefault="003E56A2" w:rsidP="003E56A2">
                    <w:pPr>
                      <w:spacing w:after="0"/>
                      <w:rPr>
                        <w:rFonts w:ascii="Aptos" w:eastAsia="Aptos" w:hAnsi="Aptos" w:cs="Aptos"/>
                        <w:noProof/>
                        <w:color w:val="FF0000"/>
                        <w:sz w:val="24"/>
                        <w:szCs w:val="24"/>
                      </w:rPr>
                    </w:pPr>
                    <w:r w:rsidRPr="003E56A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D6F0" w14:textId="369022DA" w:rsidR="003E56A2" w:rsidRDefault="003E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EDCD" w14:textId="08498F16" w:rsidR="00331601" w:rsidRDefault="00F4302B" w:rsidP="00091301">
    <w:pPr>
      <w:pStyle w:val="Header"/>
      <w:tabs>
        <w:tab w:val="clear" w:pos="4153"/>
        <w:tab w:val="clear" w:pos="8306"/>
        <w:tab w:val="left" w:pos="5245"/>
        <w:tab w:val="right" w:pos="9498"/>
      </w:tabs>
      <w:spacing w:after="0"/>
      <w:jc w:val="center"/>
      <w:rPr>
        <w:b/>
        <w:lang w:val="en-AU"/>
      </w:rPr>
    </w:pPr>
    <w:r>
      <w:rPr>
        <w:noProof/>
      </w:rPr>
      <w:drawing>
        <wp:anchor distT="0" distB="0" distL="114300" distR="114300" simplePos="0" relativeHeight="251665408" behindDoc="1" locked="0" layoutInCell="1" allowOverlap="1" wp14:anchorId="35B778F2" wp14:editId="19A3ABA1">
          <wp:simplePos x="0" y="0"/>
          <wp:positionH relativeFrom="margin">
            <wp:align>center</wp:align>
          </wp:positionH>
          <wp:positionV relativeFrom="page">
            <wp:posOffset>502920</wp:posOffset>
          </wp:positionV>
          <wp:extent cx="2361600" cy="1022400"/>
          <wp:effectExtent l="0" t="0" r="635" b="6350"/>
          <wp:wrapTopAndBottom/>
          <wp:docPr id="2" name="Picture 2" descr="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ffice of the Gene Technology Regulator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16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1FE"/>
    <w:multiLevelType w:val="hybridMultilevel"/>
    <w:tmpl w:val="D5A8210C"/>
    <w:lvl w:ilvl="0" w:tplc="54722ABC">
      <w:start w:val="1"/>
      <w:numFmt w:val="bullet"/>
      <w:lvlText w:val=""/>
      <w:lvlJc w:val="left"/>
      <w:pPr>
        <w:ind w:left="720" w:hanging="360"/>
      </w:pPr>
      <w:rPr>
        <w:rFonts w:ascii="Symbol" w:hAnsi="Symbol"/>
      </w:rPr>
    </w:lvl>
    <w:lvl w:ilvl="1" w:tplc="C5ACDBAC">
      <w:start w:val="1"/>
      <w:numFmt w:val="bullet"/>
      <w:lvlText w:val=""/>
      <w:lvlJc w:val="left"/>
      <w:pPr>
        <w:ind w:left="720" w:hanging="360"/>
      </w:pPr>
      <w:rPr>
        <w:rFonts w:ascii="Symbol" w:hAnsi="Symbol"/>
      </w:rPr>
    </w:lvl>
    <w:lvl w:ilvl="2" w:tplc="18E8EACE">
      <w:start w:val="1"/>
      <w:numFmt w:val="bullet"/>
      <w:lvlText w:val=""/>
      <w:lvlJc w:val="left"/>
      <w:pPr>
        <w:ind w:left="720" w:hanging="360"/>
      </w:pPr>
      <w:rPr>
        <w:rFonts w:ascii="Symbol" w:hAnsi="Symbol"/>
      </w:rPr>
    </w:lvl>
    <w:lvl w:ilvl="3" w:tplc="8EF6F812">
      <w:start w:val="1"/>
      <w:numFmt w:val="bullet"/>
      <w:lvlText w:val=""/>
      <w:lvlJc w:val="left"/>
      <w:pPr>
        <w:ind w:left="720" w:hanging="360"/>
      </w:pPr>
      <w:rPr>
        <w:rFonts w:ascii="Symbol" w:hAnsi="Symbol"/>
      </w:rPr>
    </w:lvl>
    <w:lvl w:ilvl="4" w:tplc="60CE51D0">
      <w:start w:val="1"/>
      <w:numFmt w:val="bullet"/>
      <w:lvlText w:val=""/>
      <w:lvlJc w:val="left"/>
      <w:pPr>
        <w:ind w:left="720" w:hanging="360"/>
      </w:pPr>
      <w:rPr>
        <w:rFonts w:ascii="Symbol" w:hAnsi="Symbol"/>
      </w:rPr>
    </w:lvl>
    <w:lvl w:ilvl="5" w:tplc="119E5B3E">
      <w:start w:val="1"/>
      <w:numFmt w:val="bullet"/>
      <w:lvlText w:val=""/>
      <w:lvlJc w:val="left"/>
      <w:pPr>
        <w:ind w:left="720" w:hanging="360"/>
      </w:pPr>
      <w:rPr>
        <w:rFonts w:ascii="Symbol" w:hAnsi="Symbol"/>
      </w:rPr>
    </w:lvl>
    <w:lvl w:ilvl="6" w:tplc="F18E5C34">
      <w:start w:val="1"/>
      <w:numFmt w:val="bullet"/>
      <w:lvlText w:val=""/>
      <w:lvlJc w:val="left"/>
      <w:pPr>
        <w:ind w:left="720" w:hanging="360"/>
      </w:pPr>
      <w:rPr>
        <w:rFonts w:ascii="Symbol" w:hAnsi="Symbol"/>
      </w:rPr>
    </w:lvl>
    <w:lvl w:ilvl="7" w:tplc="D0EED694">
      <w:start w:val="1"/>
      <w:numFmt w:val="bullet"/>
      <w:lvlText w:val=""/>
      <w:lvlJc w:val="left"/>
      <w:pPr>
        <w:ind w:left="720" w:hanging="360"/>
      </w:pPr>
      <w:rPr>
        <w:rFonts w:ascii="Symbol" w:hAnsi="Symbol"/>
      </w:rPr>
    </w:lvl>
    <w:lvl w:ilvl="8" w:tplc="65D2B88E">
      <w:start w:val="1"/>
      <w:numFmt w:val="bullet"/>
      <w:lvlText w:val=""/>
      <w:lvlJc w:val="left"/>
      <w:pPr>
        <w:ind w:left="720" w:hanging="360"/>
      </w:pPr>
      <w:rPr>
        <w:rFonts w:ascii="Symbol" w:hAnsi="Symbol"/>
      </w:rPr>
    </w:lvl>
  </w:abstractNum>
  <w:abstractNum w:abstractNumId="1" w15:restartNumberingAfterBreak="0">
    <w:nsid w:val="0FEA337C"/>
    <w:multiLevelType w:val="hybridMultilevel"/>
    <w:tmpl w:val="B8E85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097144"/>
    <w:multiLevelType w:val="hybridMultilevel"/>
    <w:tmpl w:val="312E1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AE3545"/>
    <w:multiLevelType w:val="hybridMultilevel"/>
    <w:tmpl w:val="F0A6CECA"/>
    <w:lvl w:ilvl="0" w:tplc="4A343364">
      <w:start w:val="1"/>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3CE12D2"/>
    <w:multiLevelType w:val="hybridMultilevel"/>
    <w:tmpl w:val="8E52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84AA6"/>
    <w:multiLevelType w:val="hybridMultilevel"/>
    <w:tmpl w:val="105021C2"/>
    <w:lvl w:ilvl="0" w:tplc="8DFC9B14">
      <w:start w:val="1"/>
      <w:numFmt w:val="bullet"/>
      <w:lvlText w:val=""/>
      <w:lvlJc w:val="left"/>
      <w:pPr>
        <w:ind w:left="720" w:hanging="360"/>
      </w:pPr>
      <w:rPr>
        <w:rFonts w:ascii="Symbol" w:hAnsi="Symbol"/>
      </w:rPr>
    </w:lvl>
    <w:lvl w:ilvl="1" w:tplc="E36AED38">
      <w:start w:val="1"/>
      <w:numFmt w:val="bullet"/>
      <w:lvlText w:val=""/>
      <w:lvlJc w:val="left"/>
      <w:pPr>
        <w:ind w:left="720" w:hanging="360"/>
      </w:pPr>
      <w:rPr>
        <w:rFonts w:ascii="Symbol" w:hAnsi="Symbol"/>
      </w:rPr>
    </w:lvl>
    <w:lvl w:ilvl="2" w:tplc="170693CE">
      <w:start w:val="1"/>
      <w:numFmt w:val="bullet"/>
      <w:lvlText w:val=""/>
      <w:lvlJc w:val="left"/>
      <w:pPr>
        <w:ind w:left="720" w:hanging="360"/>
      </w:pPr>
      <w:rPr>
        <w:rFonts w:ascii="Symbol" w:hAnsi="Symbol"/>
      </w:rPr>
    </w:lvl>
    <w:lvl w:ilvl="3" w:tplc="EA08B9D0">
      <w:start w:val="1"/>
      <w:numFmt w:val="bullet"/>
      <w:lvlText w:val=""/>
      <w:lvlJc w:val="left"/>
      <w:pPr>
        <w:ind w:left="720" w:hanging="360"/>
      </w:pPr>
      <w:rPr>
        <w:rFonts w:ascii="Symbol" w:hAnsi="Symbol"/>
      </w:rPr>
    </w:lvl>
    <w:lvl w:ilvl="4" w:tplc="F5B6F8BE">
      <w:start w:val="1"/>
      <w:numFmt w:val="bullet"/>
      <w:lvlText w:val=""/>
      <w:lvlJc w:val="left"/>
      <w:pPr>
        <w:ind w:left="720" w:hanging="360"/>
      </w:pPr>
      <w:rPr>
        <w:rFonts w:ascii="Symbol" w:hAnsi="Symbol"/>
      </w:rPr>
    </w:lvl>
    <w:lvl w:ilvl="5" w:tplc="1D70A16E">
      <w:start w:val="1"/>
      <w:numFmt w:val="bullet"/>
      <w:lvlText w:val=""/>
      <w:lvlJc w:val="left"/>
      <w:pPr>
        <w:ind w:left="720" w:hanging="360"/>
      </w:pPr>
      <w:rPr>
        <w:rFonts w:ascii="Symbol" w:hAnsi="Symbol"/>
      </w:rPr>
    </w:lvl>
    <w:lvl w:ilvl="6" w:tplc="67D6E254">
      <w:start w:val="1"/>
      <w:numFmt w:val="bullet"/>
      <w:lvlText w:val=""/>
      <w:lvlJc w:val="left"/>
      <w:pPr>
        <w:ind w:left="720" w:hanging="360"/>
      </w:pPr>
      <w:rPr>
        <w:rFonts w:ascii="Symbol" w:hAnsi="Symbol"/>
      </w:rPr>
    </w:lvl>
    <w:lvl w:ilvl="7" w:tplc="4F140814">
      <w:start w:val="1"/>
      <w:numFmt w:val="bullet"/>
      <w:lvlText w:val=""/>
      <w:lvlJc w:val="left"/>
      <w:pPr>
        <w:ind w:left="720" w:hanging="360"/>
      </w:pPr>
      <w:rPr>
        <w:rFonts w:ascii="Symbol" w:hAnsi="Symbol"/>
      </w:rPr>
    </w:lvl>
    <w:lvl w:ilvl="8" w:tplc="6966D138">
      <w:start w:val="1"/>
      <w:numFmt w:val="bullet"/>
      <w:lvlText w:val=""/>
      <w:lvlJc w:val="left"/>
      <w:pPr>
        <w:ind w:left="720" w:hanging="360"/>
      </w:pPr>
      <w:rPr>
        <w:rFonts w:ascii="Symbol" w:hAnsi="Symbol"/>
      </w:rPr>
    </w:lvl>
  </w:abstractNum>
  <w:abstractNum w:abstractNumId="6" w15:restartNumberingAfterBreak="0">
    <w:nsid w:val="3D7E403D"/>
    <w:multiLevelType w:val="hybridMultilevel"/>
    <w:tmpl w:val="5F7467E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3DB579D5"/>
    <w:multiLevelType w:val="hybridMultilevel"/>
    <w:tmpl w:val="EB1AC32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69"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98713F"/>
    <w:multiLevelType w:val="hybridMultilevel"/>
    <w:tmpl w:val="9274C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10E79"/>
    <w:multiLevelType w:val="hybridMultilevel"/>
    <w:tmpl w:val="61464AB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AB6C50"/>
    <w:multiLevelType w:val="hybridMultilevel"/>
    <w:tmpl w:val="0E401ADA"/>
    <w:lvl w:ilvl="0" w:tplc="9D705288">
      <w:start w:val="1"/>
      <w:numFmt w:val="bullet"/>
      <w:lvlText w:val=""/>
      <w:lvlJc w:val="left"/>
      <w:pPr>
        <w:ind w:left="720" w:hanging="360"/>
      </w:pPr>
      <w:rPr>
        <w:rFonts w:ascii="Symbol" w:hAnsi="Symbol"/>
      </w:rPr>
    </w:lvl>
    <w:lvl w:ilvl="1" w:tplc="7D324E94">
      <w:start w:val="1"/>
      <w:numFmt w:val="bullet"/>
      <w:lvlText w:val=""/>
      <w:lvlJc w:val="left"/>
      <w:pPr>
        <w:ind w:left="720" w:hanging="360"/>
      </w:pPr>
      <w:rPr>
        <w:rFonts w:ascii="Symbol" w:hAnsi="Symbol"/>
      </w:rPr>
    </w:lvl>
    <w:lvl w:ilvl="2" w:tplc="DC788568">
      <w:start w:val="1"/>
      <w:numFmt w:val="bullet"/>
      <w:lvlText w:val=""/>
      <w:lvlJc w:val="left"/>
      <w:pPr>
        <w:ind w:left="720" w:hanging="360"/>
      </w:pPr>
      <w:rPr>
        <w:rFonts w:ascii="Symbol" w:hAnsi="Symbol"/>
      </w:rPr>
    </w:lvl>
    <w:lvl w:ilvl="3" w:tplc="8DC42D1E">
      <w:start w:val="1"/>
      <w:numFmt w:val="bullet"/>
      <w:lvlText w:val=""/>
      <w:lvlJc w:val="left"/>
      <w:pPr>
        <w:ind w:left="720" w:hanging="360"/>
      </w:pPr>
      <w:rPr>
        <w:rFonts w:ascii="Symbol" w:hAnsi="Symbol"/>
      </w:rPr>
    </w:lvl>
    <w:lvl w:ilvl="4" w:tplc="4D307E3E">
      <w:start w:val="1"/>
      <w:numFmt w:val="bullet"/>
      <w:lvlText w:val=""/>
      <w:lvlJc w:val="left"/>
      <w:pPr>
        <w:ind w:left="720" w:hanging="360"/>
      </w:pPr>
      <w:rPr>
        <w:rFonts w:ascii="Symbol" w:hAnsi="Symbol"/>
      </w:rPr>
    </w:lvl>
    <w:lvl w:ilvl="5" w:tplc="9A96F81E">
      <w:start w:val="1"/>
      <w:numFmt w:val="bullet"/>
      <w:lvlText w:val=""/>
      <w:lvlJc w:val="left"/>
      <w:pPr>
        <w:ind w:left="720" w:hanging="360"/>
      </w:pPr>
      <w:rPr>
        <w:rFonts w:ascii="Symbol" w:hAnsi="Symbol"/>
      </w:rPr>
    </w:lvl>
    <w:lvl w:ilvl="6" w:tplc="268C2586">
      <w:start w:val="1"/>
      <w:numFmt w:val="bullet"/>
      <w:lvlText w:val=""/>
      <w:lvlJc w:val="left"/>
      <w:pPr>
        <w:ind w:left="720" w:hanging="360"/>
      </w:pPr>
      <w:rPr>
        <w:rFonts w:ascii="Symbol" w:hAnsi="Symbol"/>
      </w:rPr>
    </w:lvl>
    <w:lvl w:ilvl="7" w:tplc="FFD8AFEA">
      <w:start w:val="1"/>
      <w:numFmt w:val="bullet"/>
      <w:lvlText w:val=""/>
      <w:lvlJc w:val="left"/>
      <w:pPr>
        <w:ind w:left="720" w:hanging="360"/>
      </w:pPr>
      <w:rPr>
        <w:rFonts w:ascii="Symbol" w:hAnsi="Symbol"/>
      </w:rPr>
    </w:lvl>
    <w:lvl w:ilvl="8" w:tplc="59688220">
      <w:start w:val="1"/>
      <w:numFmt w:val="bullet"/>
      <w:lvlText w:val=""/>
      <w:lvlJc w:val="left"/>
      <w:pPr>
        <w:ind w:left="720" w:hanging="360"/>
      </w:pPr>
      <w:rPr>
        <w:rFonts w:ascii="Symbol" w:hAnsi="Symbol"/>
      </w:rPr>
    </w:lvl>
  </w:abstractNum>
  <w:abstractNum w:abstractNumId="11" w15:restartNumberingAfterBreak="0">
    <w:nsid w:val="677E11C6"/>
    <w:multiLevelType w:val="hybridMultilevel"/>
    <w:tmpl w:val="FDAE8B56"/>
    <w:lvl w:ilvl="0" w:tplc="08FAC3EC">
      <w:start w:val="1"/>
      <w:numFmt w:val="bullet"/>
      <w:lvlText w:val=""/>
      <w:lvlJc w:val="left"/>
      <w:pPr>
        <w:ind w:left="720" w:hanging="360"/>
      </w:pPr>
      <w:rPr>
        <w:rFonts w:ascii="Symbol" w:hAnsi="Symbol"/>
      </w:rPr>
    </w:lvl>
    <w:lvl w:ilvl="1" w:tplc="E7F42B5E">
      <w:start w:val="1"/>
      <w:numFmt w:val="bullet"/>
      <w:lvlText w:val=""/>
      <w:lvlJc w:val="left"/>
      <w:pPr>
        <w:ind w:left="720" w:hanging="360"/>
      </w:pPr>
      <w:rPr>
        <w:rFonts w:ascii="Symbol" w:hAnsi="Symbol"/>
      </w:rPr>
    </w:lvl>
    <w:lvl w:ilvl="2" w:tplc="165AD522">
      <w:start w:val="1"/>
      <w:numFmt w:val="bullet"/>
      <w:lvlText w:val=""/>
      <w:lvlJc w:val="left"/>
      <w:pPr>
        <w:ind w:left="720" w:hanging="360"/>
      </w:pPr>
      <w:rPr>
        <w:rFonts w:ascii="Symbol" w:hAnsi="Symbol"/>
      </w:rPr>
    </w:lvl>
    <w:lvl w:ilvl="3" w:tplc="20EED37A">
      <w:start w:val="1"/>
      <w:numFmt w:val="bullet"/>
      <w:lvlText w:val=""/>
      <w:lvlJc w:val="left"/>
      <w:pPr>
        <w:ind w:left="720" w:hanging="360"/>
      </w:pPr>
      <w:rPr>
        <w:rFonts w:ascii="Symbol" w:hAnsi="Symbol"/>
      </w:rPr>
    </w:lvl>
    <w:lvl w:ilvl="4" w:tplc="920450F8">
      <w:start w:val="1"/>
      <w:numFmt w:val="bullet"/>
      <w:lvlText w:val=""/>
      <w:lvlJc w:val="left"/>
      <w:pPr>
        <w:ind w:left="720" w:hanging="360"/>
      </w:pPr>
      <w:rPr>
        <w:rFonts w:ascii="Symbol" w:hAnsi="Symbol"/>
      </w:rPr>
    </w:lvl>
    <w:lvl w:ilvl="5" w:tplc="C3F05232">
      <w:start w:val="1"/>
      <w:numFmt w:val="bullet"/>
      <w:lvlText w:val=""/>
      <w:lvlJc w:val="left"/>
      <w:pPr>
        <w:ind w:left="720" w:hanging="360"/>
      </w:pPr>
      <w:rPr>
        <w:rFonts w:ascii="Symbol" w:hAnsi="Symbol"/>
      </w:rPr>
    </w:lvl>
    <w:lvl w:ilvl="6" w:tplc="D7C05806">
      <w:start w:val="1"/>
      <w:numFmt w:val="bullet"/>
      <w:lvlText w:val=""/>
      <w:lvlJc w:val="left"/>
      <w:pPr>
        <w:ind w:left="720" w:hanging="360"/>
      </w:pPr>
      <w:rPr>
        <w:rFonts w:ascii="Symbol" w:hAnsi="Symbol"/>
      </w:rPr>
    </w:lvl>
    <w:lvl w:ilvl="7" w:tplc="4208AC5E">
      <w:start w:val="1"/>
      <w:numFmt w:val="bullet"/>
      <w:lvlText w:val=""/>
      <w:lvlJc w:val="left"/>
      <w:pPr>
        <w:ind w:left="720" w:hanging="360"/>
      </w:pPr>
      <w:rPr>
        <w:rFonts w:ascii="Symbol" w:hAnsi="Symbol"/>
      </w:rPr>
    </w:lvl>
    <w:lvl w:ilvl="8" w:tplc="1792B3EA">
      <w:start w:val="1"/>
      <w:numFmt w:val="bullet"/>
      <w:lvlText w:val=""/>
      <w:lvlJc w:val="left"/>
      <w:pPr>
        <w:ind w:left="720" w:hanging="360"/>
      </w:pPr>
      <w:rPr>
        <w:rFonts w:ascii="Symbol" w:hAnsi="Symbol"/>
      </w:rPr>
    </w:lvl>
  </w:abstractNum>
  <w:abstractNum w:abstractNumId="12" w15:restartNumberingAfterBreak="0">
    <w:nsid w:val="69B06157"/>
    <w:multiLevelType w:val="hybridMultilevel"/>
    <w:tmpl w:val="149AA1CE"/>
    <w:lvl w:ilvl="0" w:tplc="C6A42B86">
      <w:start w:val="1"/>
      <w:numFmt w:val="bullet"/>
      <w:lvlText w:val=""/>
      <w:lvlJc w:val="left"/>
      <w:pPr>
        <w:ind w:left="720" w:hanging="360"/>
      </w:pPr>
      <w:rPr>
        <w:rFonts w:ascii="Symbol" w:hAnsi="Symbol"/>
      </w:rPr>
    </w:lvl>
    <w:lvl w:ilvl="1" w:tplc="1EE8F258">
      <w:start w:val="1"/>
      <w:numFmt w:val="bullet"/>
      <w:lvlText w:val=""/>
      <w:lvlJc w:val="left"/>
      <w:pPr>
        <w:ind w:left="720" w:hanging="360"/>
      </w:pPr>
      <w:rPr>
        <w:rFonts w:ascii="Symbol" w:hAnsi="Symbol"/>
      </w:rPr>
    </w:lvl>
    <w:lvl w:ilvl="2" w:tplc="BE94EB68">
      <w:start w:val="1"/>
      <w:numFmt w:val="bullet"/>
      <w:lvlText w:val=""/>
      <w:lvlJc w:val="left"/>
      <w:pPr>
        <w:ind w:left="720" w:hanging="360"/>
      </w:pPr>
      <w:rPr>
        <w:rFonts w:ascii="Symbol" w:hAnsi="Symbol"/>
      </w:rPr>
    </w:lvl>
    <w:lvl w:ilvl="3" w:tplc="8A6A8634">
      <w:start w:val="1"/>
      <w:numFmt w:val="bullet"/>
      <w:lvlText w:val=""/>
      <w:lvlJc w:val="left"/>
      <w:pPr>
        <w:ind w:left="720" w:hanging="360"/>
      </w:pPr>
      <w:rPr>
        <w:rFonts w:ascii="Symbol" w:hAnsi="Symbol"/>
      </w:rPr>
    </w:lvl>
    <w:lvl w:ilvl="4" w:tplc="13FE5C2E">
      <w:start w:val="1"/>
      <w:numFmt w:val="bullet"/>
      <w:lvlText w:val=""/>
      <w:lvlJc w:val="left"/>
      <w:pPr>
        <w:ind w:left="720" w:hanging="360"/>
      </w:pPr>
      <w:rPr>
        <w:rFonts w:ascii="Symbol" w:hAnsi="Symbol"/>
      </w:rPr>
    </w:lvl>
    <w:lvl w:ilvl="5" w:tplc="AE82367E">
      <w:start w:val="1"/>
      <w:numFmt w:val="bullet"/>
      <w:lvlText w:val=""/>
      <w:lvlJc w:val="left"/>
      <w:pPr>
        <w:ind w:left="720" w:hanging="360"/>
      </w:pPr>
      <w:rPr>
        <w:rFonts w:ascii="Symbol" w:hAnsi="Symbol"/>
      </w:rPr>
    </w:lvl>
    <w:lvl w:ilvl="6" w:tplc="D676E5A6">
      <w:start w:val="1"/>
      <w:numFmt w:val="bullet"/>
      <w:lvlText w:val=""/>
      <w:lvlJc w:val="left"/>
      <w:pPr>
        <w:ind w:left="720" w:hanging="360"/>
      </w:pPr>
      <w:rPr>
        <w:rFonts w:ascii="Symbol" w:hAnsi="Symbol"/>
      </w:rPr>
    </w:lvl>
    <w:lvl w:ilvl="7" w:tplc="9CA887FC">
      <w:start w:val="1"/>
      <w:numFmt w:val="bullet"/>
      <w:lvlText w:val=""/>
      <w:lvlJc w:val="left"/>
      <w:pPr>
        <w:ind w:left="720" w:hanging="360"/>
      </w:pPr>
      <w:rPr>
        <w:rFonts w:ascii="Symbol" w:hAnsi="Symbol"/>
      </w:rPr>
    </w:lvl>
    <w:lvl w:ilvl="8" w:tplc="316C53A2">
      <w:start w:val="1"/>
      <w:numFmt w:val="bullet"/>
      <w:lvlText w:val=""/>
      <w:lvlJc w:val="left"/>
      <w:pPr>
        <w:ind w:left="720" w:hanging="360"/>
      </w:pPr>
      <w:rPr>
        <w:rFonts w:ascii="Symbol" w:hAnsi="Symbol"/>
      </w:rPr>
    </w:lvl>
  </w:abstractNum>
  <w:abstractNum w:abstractNumId="13" w15:restartNumberingAfterBreak="0">
    <w:nsid w:val="716F0505"/>
    <w:multiLevelType w:val="hybridMultilevel"/>
    <w:tmpl w:val="70A6FAF2"/>
    <w:lvl w:ilvl="0" w:tplc="D0DE7882">
      <w:start w:val="1"/>
      <w:numFmt w:val="bullet"/>
      <w:lvlText w:val=""/>
      <w:lvlJc w:val="left"/>
      <w:pPr>
        <w:ind w:left="720" w:hanging="360"/>
      </w:pPr>
      <w:rPr>
        <w:rFonts w:ascii="Symbol" w:hAnsi="Symbol"/>
      </w:rPr>
    </w:lvl>
    <w:lvl w:ilvl="1" w:tplc="8A0C8FC2">
      <w:start w:val="1"/>
      <w:numFmt w:val="bullet"/>
      <w:lvlText w:val=""/>
      <w:lvlJc w:val="left"/>
      <w:pPr>
        <w:ind w:left="720" w:hanging="360"/>
      </w:pPr>
      <w:rPr>
        <w:rFonts w:ascii="Symbol" w:hAnsi="Symbol"/>
      </w:rPr>
    </w:lvl>
    <w:lvl w:ilvl="2" w:tplc="A93258BA">
      <w:start w:val="1"/>
      <w:numFmt w:val="bullet"/>
      <w:lvlText w:val=""/>
      <w:lvlJc w:val="left"/>
      <w:pPr>
        <w:ind w:left="720" w:hanging="360"/>
      </w:pPr>
      <w:rPr>
        <w:rFonts w:ascii="Symbol" w:hAnsi="Symbol"/>
      </w:rPr>
    </w:lvl>
    <w:lvl w:ilvl="3" w:tplc="50683064">
      <w:start w:val="1"/>
      <w:numFmt w:val="bullet"/>
      <w:lvlText w:val=""/>
      <w:lvlJc w:val="left"/>
      <w:pPr>
        <w:ind w:left="720" w:hanging="360"/>
      </w:pPr>
      <w:rPr>
        <w:rFonts w:ascii="Symbol" w:hAnsi="Symbol"/>
      </w:rPr>
    </w:lvl>
    <w:lvl w:ilvl="4" w:tplc="F97A6B5A">
      <w:start w:val="1"/>
      <w:numFmt w:val="bullet"/>
      <w:lvlText w:val=""/>
      <w:lvlJc w:val="left"/>
      <w:pPr>
        <w:ind w:left="720" w:hanging="360"/>
      </w:pPr>
      <w:rPr>
        <w:rFonts w:ascii="Symbol" w:hAnsi="Symbol"/>
      </w:rPr>
    </w:lvl>
    <w:lvl w:ilvl="5" w:tplc="B82A9294">
      <w:start w:val="1"/>
      <w:numFmt w:val="bullet"/>
      <w:lvlText w:val=""/>
      <w:lvlJc w:val="left"/>
      <w:pPr>
        <w:ind w:left="720" w:hanging="360"/>
      </w:pPr>
      <w:rPr>
        <w:rFonts w:ascii="Symbol" w:hAnsi="Symbol"/>
      </w:rPr>
    </w:lvl>
    <w:lvl w:ilvl="6" w:tplc="CAE41F68">
      <w:start w:val="1"/>
      <w:numFmt w:val="bullet"/>
      <w:lvlText w:val=""/>
      <w:lvlJc w:val="left"/>
      <w:pPr>
        <w:ind w:left="720" w:hanging="360"/>
      </w:pPr>
      <w:rPr>
        <w:rFonts w:ascii="Symbol" w:hAnsi="Symbol"/>
      </w:rPr>
    </w:lvl>
    <w:lvl w:ilvl="7" w:tplc="63C02A40">
      <w:start w:val="1"/>
      <w:numFmt w:val="bullet"/>
      <w:lvlText w:val=""/>
      <w:lvlJc w:val="left"/>
      <w:pPr>
        <w:ind w:left="720" w:hanging="360"/>
      </w:pPr>
      <w:rPr>
        <w:rFonts w:ascii="Symbol" w:hAnsi="Symbol"/>
      </w:rPr>
    </w:lvl>
    <w:lvl w:ilvl="8" w:tplc="3FA4EF52">
      <w:start w:val="1"/>
      <w:numFmt w:val="bullet"/>
      <w:lvlText w:val=""/>
      <w:lvlJc w:val="left"/>
      <w:pPr>
        <w:ind w:left="720" w:hanging="360"/>
      </w:pPr>
      <w:rPr>
        <w:rFonts w:ascii="Symbol" w:hAnsi="Symbol"/>
      </w:rPr>
    </w:lvl>
  </w:abstractNum>
  <w:abstractNum w:abstractNumId="14" w15:restartNumberingAfterBreak="0">
    <w:nsid w:val="7A4D27A2"/>
    <w:multiLevelType w:val="hybridMultilevel"/>
    <w:tmpl w:val="36BE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6929471">
    <w:abstractNumId w:val="1"/>
  </w:num>
  <w:num w:numId="2" w16cid:durableId="2036150877">
    <w:abstractNumId w:val="3"/>
  </w:num>
  <w:num w:numId="3" w16cid:durableId="596640122">
    <w:abstractNumId w:val="1"/>
  </w:num>
  <w:num w:numId="4" w16cid:durableId="1580752062">
    <w:abstractNumId w:val="9"/>
  </w:num>
  <w:num w:numId="5" w16cid:durableId="943421961">
    <w:abstractNumId w:val="7"/>
  </w:num>
  <w:num w:numId="6" w16cid:durableId="221450392">
    <w:abstractNumId w:val="6"/>
  </w:num>
  <w:num w:numId="7" w16cid:durableId="378551409">
    <w:abstractNumId w:val="14"/>
  </w:num>
  <w:num w:numId="8" w16cid:durableId="1997025236">
    <w:abstractNumId w:val="5"/>
  </w:num>
  <w:num w:numId="9" w16cid:durableId="1342507087">
    <w:abstractNumId w:val="10"/>
  </w:num>
  <w:num w:numId="10" w16cid:durableId="1525747946">
    <w:abstractNumId w:val="11"/>
  </w:num>
  <w:num w:numId="11" w16cid:durableId="1491168234">
    <w:abstractNumId w:val="13"/>
  </w:num>
  <w:num w:numId="12" w16cid:durableId="1458841298">
    <w:abstractNumId w:val="0"/>
  </w:num>
  <w:num w:numId="13" w16cid:durableId="2057197446">
    <w:abstractNumId w:val="12"/>
  </w:num>
  <w:num w:numId="14" w16cid:durableId="40440956">
    <w:abstractNumId w:val="2"/>
  </w:num>
  <w:num w:numId="15" w16cid:durableId="773600360">
    <w:abstractNumId w:val="8"/>
  </w:num>
  <w:num w:numId="16" w16cid:durableId="883296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01"/>
    <w:rsid w:val="00000BAA"/>
    <w:rsid w:val="00001EBE"/>
    <w:rsid w:val="00002325"/>
    <w:rsid w:val="00013048"/>
    <w:rsid w:val="00024FE1"/>
    <w:rsid w:val="00025736"/>
    <w:rsid w:val="00034A84"/>
    <w:rsid w:val="0003564D"/>
    <w:rsid w:val="000357E1"/>
    <w:rsid w:val="0003649C"/>
    <w:rsid w:val="00057121"/>
    <w:rsid w:val="00063149"/>
    <w:rsid w:val="00071DC3"/>
    <w:rsid w:val="00074A1E"/>
    <w:rsid w:val="000764D5"/>
    <w:rsid w:val="00077F6E"/>
    <w:rsid w:val="000B04D0"/>
    <w:rsid w:val="000B3139"/>
    <w:rsid w:val="000C0013"/>
    <w:rsid w:val="000C27B4"/>
    <w:rsid w:val="000C6BE6"/>
    <w:rsid w:val="000D172E"/>
    <w:rsid w:val="000D452B"/>
    <w:rsid w:val="000D6D86"/>
    <w:rsid w:val="000D6DB2"/>
    <w:rsid w:val="000F3E65"/>
    <w:rsid w:val="0010076C"/>
    <w:rsid w:val="00100D9A"/>
    <w:rsid w:val="00100DCF"/>
    <w:rsid w:val="00116621"/>
    <w:rsid w:val="001212BF"/>
    <w:rsid w:val="00122BAB"/>
    <w:rsid w:val="00144B1A"/>
    <w:rsid w:val="00145193"/>
    <w:rsid w:val="00146A2B"/>
    <w:rsid w:val="00152FCD"/>
    <w:rsid w:val="00161172"/>
    <w:rsid w:val="001669EB"/>
    <w:rsid w:val="00170A25"/>
    <w:rsid w:val="001713BB"/>
    <w:rsid w:val="00172A89"/>
    <w:rsid w:val="00175CD9"/>
    <w:rsid w:val="0018727B"/>
    <w:rsid w:val="001A179F"/>
    <w:rsid w:val="001A64C3"/>
    <w:rsid w:val="001B6196"/>
    <w:rsid w:val="001B6AEC"/>
    <w:rsid w:val="001C4AB7"/>
    <w:rsid w:val="001D0AF7"/>
    <w:rsid w:val="001D3422"/>
    <w:rsid w:val="001D5C65"/>
    <w:rsid w:val="001E0E76"/>
    <w:rsid w:val="001E308B"/>
    <w:rsid w:val="001E4E88"/>
    <w:rsid w:val="001E7564"/>
    <w:rsid w:val="00200826"/>
    <w:rsid w:val="00207563"/>
    <w:rsid w:val="0021068E"/>
    <w:rsid w:val="0021535B"/>
    <w:rsid w:val="00220EEE"/>
    <w:rsid w:val="00224812"/>
    <w:rsid w:val="002335D4"/>
    <w:rsid w:val="002348FA"/>
    <w:rsid w:val="0027308C"/>
    <w:rsid w:val="00277B54"/>
    <w:rsid w:val="00280050"/>
    <w:rsid w:val="00280AD6"/>
    <w:rsid w:val="002813C9"/>
    <w:rsid w:val="002840F4"/>
    <w:rsid w:val="00295970"/>
    <w:rsid w:val="002A153D"/>
    <w:rsid w:val="002A4C16"/>
    <w:rsid w:val="002B4D41"/>
    <w:rsid w:val="002C2838"/>
    <w:rsid w:val="002E05CD"/>
    <w:rsid w:val="002E3FFA"/>
    <w:rsid w:val="002E7E49"/>
    <w:rsid w:val="002F3D7B"/>
    <w:rsid w:val="00306C2C"/>
    <w:rsid w:val="003075C3"/>
    <w:rsid w:val="00311EDA"/>
    <w:rsid w:val="003242A6"/>
    <w:rsid w:val="0033067C"/>
    <w:rsid w:val="00331601"/>
    <w:rsid w:val="00351EE7"/>
    <w:rsid w:val="00362F8A"/>
    <w:rsid w:val="00364DB4"/>
    <w:rsid w:val="00372232"/>
    <w:rsid w:val="00374C4D"/>
    <w:rsid w:val="00375496"/>
    <w:rsid w:val="003904C1"/>
    <w:rsid w:val="003929C1"/>
    <w:rsid w:val="00392A12"/>
    <w:rsid w:val="003A0EB9"/>
    <w:rsid w:val="003A59CF"/>
    <w:rsid w:val="003D2FA4"/>
    <w:rsid w:val="003D7D28"/>
    <w:rsid w:val="003D7FD4"/>
    <w:rsid w:val="003E56A2"/>
    <w:rsid w:val="003E77F1"/>
    <w:rsid w:val="003F0343"/>
    <w:rsid w:val="004078D9"/>
    <w:rsid w:val="00414F4D"/>
    <w:rsid w:val="0041550F"/>
    <w:rsid w:val="00422435"/>
    <w:rsid w:val="00425BF5"/>
    <w:rsid w:val="00426A39"/>
    <w:rsid w:val="0043387B"/>
    <w:rsid w:val="00435562"/>
    <w:rsid w:val="004378CC"/>
    <w:rsid w:val="00440AD9"/>
    <w:rsid w:val="0044494E"/>
    <w:rsid w:val="00445AF0"/>
    <w:rsid w:val="00457D01"/>
    <w:rsid w:val="00457E1B"/>
    <w:rsid w:val="004733E8"/>
    <w:rsid w:val="004949DE"/>
    <w:rsid w:val="00495537"/>
    <w:rsid w:val="004A296E"/>
    <w:rsid w:val="004A7AD8"/>
    <w:rsid w:val="004C5298"/>
    <w:rsid w:val="004C6422"/>
    <w:rsid w:val="004D6CEA"/>
    <w:rsid w:val="004D79C6"/>
    <w:rsid w:val="004E19EC"/>
    <w:rsid w:val="004E1C3E"/>
    <w:rsid w:val="004E2924"/>
    <w:rsid w:val="004E2FF2"/>
    <w:rsid w:val="00504035"/>
    <w:rsid w:val="00517985"/>
    <w:rsid w:val="005206A7"/>
    <w:rsid w:val="00523FDF"/>
    <w:rsid w:val="00545DCE"/>
    <w:rsid w:val="00547EAD"/>
    <w:rsid w:val="0055152B"/>
    <w:rsid w:val="00560829"/>
    <w:rsid w:val="00563B60"/>
    <w:rsid w:val="00564F83"/>
    <w:rsid w:val="005770B7"/>
    <w:rsid w:val="0057767E"/>
    <w:rsid w:val="00590249"/>
    <w:rsid w:val="005B032A"/>
    <w:rsid w:val="005B4CA6"/>
    <w:rsid w:val="005B54BC"/>
    <w:rsid w:val="005C6179"/>
    <w:rsid w:val="005C7ADD"/>
    <w:rsid w:val="005D391F"/>
    <w:rsid w:val="005E5A4F"/>
    <w:rsid w:val="005E67BA"/>
    <w:rsid w:val="005F34DF"/>
    <w:rsid w:val="006035F6"/>
    <w:rsid w:val="006175DC"/>
    <w:rsid w:val="006201B8"/>
    <w:rsid w:val="0063463F"/>
    <w:rsid w:val="00652737"/>
    <w:rsid w:val="006633FD"/>
    <w:rsid w:val="00675BF7"/>
    <w:rsid w:val="00676498"/>
    <w:rsid w:val="00687034"/>
    <w:rsid w:val="00695E06"/>
    <w:rsid w:val="006B5E54"/>
    <w:rsid w:val="006D2991"/>
    <w:rsid w:val="006F739D"/>
    <w:rsid w:val="00702129"/>
    <w:rsid w:val="007028C0"/>
    <w:rsid w:val="00712597"/>
    <w:rsid w:val="00716687"/>
    <w:rsid w:val="007177E8"/>
    <w:rsid w:val="00717A2C"/>
    <w:rsid w:val="007231B5"/>
    <w:rsid w:val="00724915"/>
    <w:rsid w:val="00736AAF"/>
    <w:rsid w:val="00737AF9"/>
    <w:rsid w:val="007635A2"/>
    <w:rsid w:val="00767527"/>
    <w:rsid w:val="007770CC"/>
    <w:rsid w:val="007841EC"/>
    <w:rsid w:val="007854DF"/>
    <w:rsid w:val="0078569C"/>
    <w:rsid w:val="00790D6C"/>
    <w:rsid w:val="0079641C"/>
    <w:rsid w:val="007A3FAE"/>
    <w:rsid w:val="007B4EC4"/>
    <w:rsid w:val="007C5D1F"/>
    <w:rsid w:val="007C72A5"/>
    <w:rsid w:val="007D0E1D"/>
    <w:rsid w:val="007D357E"/>
    <w:rsid w:val="007D5632"/>
    <w:rsid w:val="007E166F"/>
    <w:rsid w:val="007E7D8E"/>
    <w:rsid w:val="007F46EB"/>
    <w:rsid w:val="008069FD"/>
    <w:rsid w:val="00811011"/>
    <w:rsid w:val="00811768"/>
    <w:rsid w:val="008323C9"/>
    <w:rsid w:val="00837924"/>
    <w:rsid w:val="00854DB4"/>
    <w:rsid w:val="008603EC"/>
    <w:rsid w:val="00860F5F"/>
    <w:rsid w:val="00863247"/>
    <w:rsid w:val="00864024"/>
    <w:rsid w:val="008A5F7A"/>
    <w:rsid w:val="008B1071"/>
    <w:rsid w:val="008B341A"/>
    <w:rsid w:val="008C0300"/>
    <w:rsid w:val="008C1E0E"/>
    <w:rsid w:val="008C3C23"/>
    <w:rsid w:val="008C3C8A"/>
    <w:rsid w:val="008F07C5"/>
    <w:rsid w:val="008F34C9"/>
    <w:rsid w:val="008F7326"/>
    <w:rsid w:val="00902A19"/>
    <w:rsid w:val="00912C54"/>
    <w:rsid w:val="00921C43"/>
    <w:rsid w:val="00930339"/>
    <w:rsid w:val="009412E2"/>
    <w:rsid w:val="009445EA"/>
    <w:rsid w:val="00944B7B"/>
    <w:rsid w:val="0094632F"/>
    <w:rsid w:val="00946D28"/>
    <w:rsid w:val="00950B35"/>
    <w:rsid w:val="00955363"/>
    <w:rsid w:val="00960ECB"/>
    <w:rsid w:val="00961786"/>
    <w:rsid w:val="00966FD7"/>
    <w:rsid w:val="00975546"/>
    <w:rsid w:val="00994EE8"/>
    <w:rsid w:val="009A1C62"/>
    <w:rsid w:val="009C23CE"/>
    <w:rsid w:val="009C5489"/>
    <w:rsid w:val="009C6CC7"/>
    <w:rsid w:val="009D0124"/>
    <w:rsid w:val="009D2A58"/>
    <w:rsid w:val="009D7727"/>
    <w:rsid w:val="009E0CE2"/>
    <w:rsid w:val="009F0436"/>
    <w:rsid w:val="009F2AFF"/>
    <w:rsid w:val="00A17507"/>
    <w:rsid w:val="00A254B0"/>
    <w:rsid w:val="00A3151F"/>
    <w:rsid w:val="00A5271F"/>
    <w:rsid w:val="00A53942"/>
    <w:rsid w:val="00A6233C"/>
    <w:rsid w:val="00A75EFD"/>
    <w:rsid w:val="00A77E97"/>
    <w:rsid w:val="00A81AD9"/>
    <w:rsid w:val="00A82E95"/>
    <w:rsid w:val="00A911AA"/>
    <w:rsid w:val="00A967DC"/>
    <w:rsid w:val="00A9710E"/>
    <w:rsid w:val="00A97BBB"/>
    <w:rsid w:val="00AA5F8B"/>
    <w:rsid w:val="00AB3900"/>
    <w:rsid w:val="00AB5677"/>
    <w:rsid w:val="00AD59DD"/>
    <w:rsid w:val="00AE3931"/>
    <w:rsid w:val="00B02A52"/>
    <w:rsid w:val="00B0664A"/>
    <w:rsid w:val="00B22424"/>
    <w:rsid w:val="00B43901"/>
    <w:rsid w:val="00B477F2"/>
    <w:rsid w:val="00B53B07"/>
    <w:rsid w:val="00B55240"/>
    <w:rsid w:val="00B74E43"/>
    <w:rsid w:val="00B81098"/>
    <w:rsid w:val="00B8393D"/>
    <w:rsid w:val="00B9142A"/>
    <w:rsid w:val="00B93D1C"/>
    <w:rsid w:val="00B951F1"/>
    <w:rsid w:val="00BB48F8"/>
    <w:rsid w:val="00BB5C05"/>
    <w:rsid w:val="00BC13CE"/>
    <w:rsid w:val="00BC2A29"/>
    <w:rsid w:val="00BE11CB"/>
    <w:rsid w:val="00BF43C3"/>
    <w:rsid w:val="00BF646F"/>
    <w:rsid w:val="00C000A8"/>
    <w:rsid w:val="00C05147"/>
    <w:rsid w:val="00C12781"/>
    <w:rsid w:val="00C13973"/>
    <w:rsid w:val="00C2500B"/>
    <w:rsid w:val="00C25332"/>
    <w:rsid w:val="00C52444"/>
    <w:rsid w:val="00C57C85"/>
    <w:rsid w:val="00C62E7E"/>
    <w:rsid w:val="00C71B36"/>
    <w:rsid w:val="00C835ED"/>
    <w:rsid w:val="00C84F39"/>
    <w:rsid w:val="00C91D70"/>
    <w:rsid w:val="00C95642"/>
    <w:rsid w:val="00CA3061"/>
    <w:rsid w:val="00CB5D9A"/>
    <w:rsid w:val="00CC509F"/>
    <w:rsid w:val="00CC653D"/>
    <w:rsid w:val="00CD505E"/>
    <w:rsid w:val="00CE1F5B"/>
    <w:rsid w:val="00CE226B"/>
    <w:rsid w:val="00CE38DB"/>
    <w:rsid w:val="00D025A7"/>
    <w:rsid w:val="00D21138"/>
    <w:rsid w:val="00D2212B"/>
    <w:rsid w:val="00D24DC4"/>
    <w:rsid w:val="00D303BB"/>
    <w:rsid w:val="00D31033"/>
    <w:rsid w:val="00D31A6E"/>
    <w:rsid w:val="00D357ED"/>
    <w:rsid w:val="00D46F2F"/>
    <w:rsid w:val="00D4726B"/>
    <w:rsid w:val="00D472D1"/>
    <w:rsid w:val="00D54840"/>
    <w:rsid w:val="00D55761"/>
    <w:rsid w:val="00D67065"/>
    <w:rsid w:val="00D72858"/>
    <w:rsid w:val="00D72C27"/>
    <w:rsid w:val="00D82F47"/>
    <w:rsid w:val="00D84BC8"/>
    <w:rsid w:val="00D87B1F"/>
    <w:rsid w:val="00D95907"/>
    <w:rsid w:val="00DA563B"/>
    <w:rsid w:val="00DA74E0"/>
    <w:rsid w:val="00DB47BC"/>
    <w:rsid w:val="00DB6185"/>
    <w:rsid w:val="00DC4E5E"/>
    <w:rsid w:val="00DD2372"/>
    <w:rsid w:val="00DD62B7"/>
    <w:rsid w:val="00DE1F7C"/>
    <w:rsid w:val="00DE2816"/>
    <w:rsid w:val="00DF428C"/>
    <w:rsid w:val="00E00B97"/>
    <w:rsid w:val="00E012A6"/>
    <w:rsid w:val="00E0571D"/>
    <w:rsid w:val="00E05E02"/>
    <w:rsid w:val="00E242ED"/>
    <w:rsid w:val="00E303A0"/>
    <w:rsid w:val="00E50580"/>
    <w:rsid w:val="00E508FF"/>
    <w:rsid w:val="00E541CE"/>
    <w:rsid w:val="00E551CD"/>
    <w:rsid w:val="00E6643B"/>
    <w:rsid w:val="00E66930"/>
    <w:rsid w:val="00E71741"/>
    <w:rsid w:val="00E80A11"/>
    <w:rsid w:val="00E810CD"/>
    <w:rsid w:val="00E93DDF"/>
    <w:rsid w:val="00EA5023"/>
    <w:rsid w:val="00EA5937"/>
    <w:rsid w:val="00EB301C"/>
    <w:rsid w:val="00EC5D8E"/>
    <w:rsid w:val="00ED3491"/>
    <w:rsid w:val="00ED3ECD"/>
    <w:rsid w:val="00ED6659"/>
    <w:rsid w:val="00EE1769"/>
    <w:rsid w:val="00EE291D"/>
    <w:rsid w:val="00EE39B3"/>
    <w:rsid w:val="00EE4104"/>
    <w:rsid w:val="00EE7BE4"/>
    <w:rsid w:val="00F04D36"/>
    <w:rsid w:val="00F06510"/>
    <w:rsid w:val="00F117EE"/>
    <w:rsid w:val="00F14D6C"/>
    <w:rsid w:val="00F37031"/>
    <w:rsid w:val="00F4302B"/>
    <w:rsid w:val="00F52004"/>
    <w:rsid w:val="00F53342"/>
    <w:rsid w:val="00F55E4D"/>
    <w:rsid w:val="00F5694A"/>
    <w:rsid w:val="00F6350D"/>
    <w:rsid w:val="00F6365B"/>
    <w:rsid w:val="00F63F1B"/>
    <w:rsid w:val="00F81831"/>
    <w:rsid w:val="00F826A0"/>
    <w:rsid w:val="00FA1608"/>
    <w:rsid w:val="00FB219C"/>
    <w:rsid w:val="00FC3A3A"/>
    <w:rsid w:val="00FC4563"/>
    <w:rsid w:val="00FD1451"/>
    <w:rsid w:val="00FD3BCC"/>
    <w:rsid w:val="00FD495B"/>
    <w:rsid w:val="00FD4F36"/>
    <w:rsid w:val="00FD5B5C"/>
    <w:rsid w:val="00FE1DE5"/>
    <w:rsid w:val="00FE2BFA"/>
    <w:rsid w:val="00FE51B0"/>
    <w:rsid w:val="00FE6814"/>
    <w:rsid w:val="00FE796B"/>
    <w:rsid w:val="00FF6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83FA"/>
  <w15:chartTrackingRefBased/>
  <w15:docId w15:val="{4CB599EC-D01F-44A3-90E6-62A26F3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01"/>
    <w:pPr>
      <w:spacing w:after="200" w:line="276" w:lineRule="auto"/>
    </w:pPr>
    <w:rPr>
      <w:rFonts w:asciiTheme="minorHAnsi" w:eastAsiaTheme="minorEastAsia" w:hAnsiTheme="minorHAnsi" w:cstheme="minorBidi"/>
      <w:kern w:val="0"/>
      <w:sz w:val="22"/>
      <w:szCs w:val="22"/>
      <w:lang w:eastAsia="en-AU"/>
      <w14:ligatures w14:val="none"/>
    </w:rPr>
  </w:style>
  <w:style w:type="paragraph" w:styleId="Heading1">
    <w:name w:val="heading 1"/>
    <w:basedOn w:val="Normal"/>
    <w:next w:val="Normal"/>
    <w:link w:val="Heading1Char"/>
    <w:uiPriority w:val="9"/>
    <w:qFormat/>
    <w:rsid w:val="00331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6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6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16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16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16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16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16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1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6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1601"/>
    <w:pPr>
      <w:spacing w:before="160"/>
      <w:jc w:val="center"/>
    </w:pPr>
    <w:rPr>
      <w:i/>
      <w:iCs/>
      <w:color w:val="404040" w:themeColor="text1" w:themeTint="BF"/>
    </w:rPr>
  </w:style>
  <w:style w:type="character" w:customStyle="1" w:styleId="QuoteChar">
    <w:name w:val="Quote Char"/>
    <w:basedOn w:val="DefaultParagraphFont"/>
    <w:link w:val="Quote"/>
    <w:uiPriority w:val="29"/>
    <w:rsid w:val="00331601"/>
    <w:rPr>
      <w:i/>
      <w:iCs/>
      <w:color w:val="404040" w:themeColor="text1" w:themeTint="BF"/>
    </w:rPr>
  </w:style>
  <w:style w:type="paragraph" w:styleId="ListParagraph">
    <w:name w:val="List Paragraph"/>
    <w:aliases w:val="List Bullet 1"/>
    <w:basedOn w:val="Normal"/>
    <w:link w:val="ListParagraphChar"/>
    <w:uiPriority w:val="34"/>
    <w:qFormat/>
    <w:rsid w:val="00331601"/>
    <w:pPr>
      <w:ind w:left="720"/>
      <w:contextualSpacing/>
    </w:pPr>
  </w:style>
  <w:style w:type="character" w:styleId="IntenseEmphasis">
    <w:name w:val="Intense Emphasis"/>
    <w:basedOn w:val="DefaultParagraphFont"/>
    <w:uiPriority w:val="21"/>
    <w:qFormat/>
    <w:rsid w:val="00331601"/>
    <w:rPr>
      <w:i/>
      <w:iCs/>
      <w:color w:val="0F4761" w:themeColor="accent1" w:themeShade="BF"/>
    </w:rPr>
  </w:style>
  <w:style w:type="paragraph" w:styleId="IntenseQuote">
    <w:name w:val="Intense Quote"/>
    <w:basedOn w:val="Normal"/>
    <w:next w:val="Normal"/>
    <w:link w:val="IntenseQuoteChar"/>
    <w:uiPriority w:val="30"/>
    <w:qFormat/>
    <w:rsid w:val="00331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601"/>
    <w:rPr>
      <w:i/>
      <w:iCs/>
      <w:color w:val="0F4761" w:themeColor="accent1" w:themeShade="BF"/>
    </w:rPr>
  </w:style>
  <w:style w:type="character" w:styleId="IntenseReference">
    <w:name w:val="Intense Reference"/>
    <w:basedOn w:val="DefaultParagraphFont"/>
    <w:uiPriority w:val="32"/>
    <w:qFormat/>
    <w:rsid w:val="00331601"/>
    <w:rPr>
      <w:b/>
      <w:bCs/>
      <w:smallCaps/>
      <w:color w:val="0F4761" w:themeColor="accent1" w:themeShade="BF"/>
      <w:spacing w:val="5"/>
    </w:rPr>
  </w:style>
  <w:style w:type="paragraph" w:styleId="Header">
    <w:name w:val="header"/>
    <w:basedOn w:val="Normal"/>
    <w:link w:val="HeaderChar"/>
    <w:rsid w:val="00331601"/>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rsid w:val="00331601"/>
    <w:rPr>
      <w:rFonts w:asciiTheme="minorHAnsi" w:eastAsiaTheme="minorEastAsia" w:hAnsiTheme="minorHAnsi" w:cstheme="minorBidi"/>
      <w:snapToGrid w:val="0"/>
      <w:kern w:val="0"/>
      <w:sz w:val="22"/>
      <w:szCs w:val="22"/>
      <w:lang w:val="en-US"/>
      <w14:ligatures w14:val="none"/>
    </w:rPr>
  </w:style>
  <w:style w:type="paragraph" w:styleId="Footer">
    <w:name w:val="footer"/>
    <w:basedOn w:val="Normal"/>
    <w:link w:val="FooterChar"/>
    <w:uiPriority w:val="99"/>
    <w:rsid w:val="00331601"/>
    <w:pPr>
      <w:tabs>
        <w:tab w:val="center" w:pos="4153"/>
        <w:tab w:val="right" w:pos="8306"/>
      </w:tabs>
    </w:pPr>
  </w:style>
  <w:style w:type="character" w:customStyle="1" w:styleId="FooterChar">
    <w:name w:val="Footer Char"/>
    <w:basedOn w:val="DefaultParagraphFont"/>
    <w:link w:val="Footer"/>
    <w:uiPriority w:val="99"/>
    <w:rsid w:val="00331601"/>
    <w:rPr>
      <w:rFonts w:asciiTheme="minorHAnsi" w:eastAsiaTheme="minorEastAsia" w:hAnsiTheme="minorHAnsi" w:cstheme="minorBidi"/>
      <w:kern w:val="0"/>
      <w:sz w:val="22"/>
      <w:szCs w:val="22"/>
      <w:lang w:eastAsia="en-AU"/>
      <w14:ligatures w14:val="none"/>
    </w:rPr>
  </w:style>
  <w:style w:type="character" w:styleId="PageNumber">
    <w:name w:val="page number"/>
    <w:basedOn w:val="DefaultParagraphFont"/>
    <w:rsid w:val="00331601"/>
  </w:style>
  <w:style w:type="paragraph" w:styleId="BodyText">
    <w:name w:val="Body Text"/>
    <w:basedOn w:val="Normal"/>
    <w:link w:val="BodyTextChar"/>
    <w:rsid w:val="00331601"/>
    <w:pPr>
      <w:spacing w:before="120" w:after="120" w:line="264" w:lineRule="auto"/>
    </w:pPr>
    <w:rPr>
      <w:rFonts w:ascii="Arial" w:hAnsi="Arial" w:cs="Arial"/>
    </w:rPr>
  </w:style>
  <w:style w:type="character" w:customStyle="1" w:styleId="BodyTextChar">
    <w:name w:val="Body Text Char"/>
    <w:basedOn w:val="DefaultParagraphFont"/>
    <w:link w:val="BodyText"/>
    <w:rsid w:val="00331601"/>
    <w:rPr>
      <w:rFonts w:ascii="Arial" w:eastAsiaTheme="minorEastAsia" w:hAnsi="Arial" w:cs="Arial"/>
      <w:kern w:val="0"/>
      <w:sz w:val="22"/>
      <w:szCs w:val="22"/>
      <w:lang w:eastAsia="en-AU"/>
      <w14:ligatures w14:val="none"/>
    </w:rPr>
  </w:style>
  <w:style w:type="paragraph" w:customStyle="1" w:styleId="CmqHeading1">
    <w:name w:val="Cmq Heading 1"/>
    <w:basedOn w:val="Heading3"/>
    <w:link w:val="CmqHeading1Char"/>
    <w:autoRedefine/>
    <w:qFormat/>
    <w:rsid w:val="00331601"/>
    <w:pPr>
      <w:keepLines w:val="0"/>
      <w:spacing w:before="360" w:after="120" w:line="240" w:lineRule="auto"/>
    </w:pPr>
    <w:rPr>
      <w:rFonts w:ascii="Arial Bold" w:eastAsia="Times" w:hAnsi="Arial Bold" w:cs="Arial"/>
      <w:b/>
      <w:caps/>
      <w:color w:val="auto"/>
      <w:sz w:val="26"/>
      <w:szCs w:val="26"/>
    </w:rPr>
  </w:style>
  <w:style w:type="paragraph" w:customStyle="1" w:styleId="Cmqheading2">
    <w:name w:val="Cmq heading 2"/>
    <w:basedOn w:val="BodyText"/>
    <w:link w:val="Cmqheading2Char"/>
    <w:qFormat/>
    <w:rsid w:val="00331601"/>
    <w:pPr>
      <w:keepNext/>
      <w:spacing w:before="360" w:after="240" w:line="240" w:lineRule="auto"/>
    </w:pPr>
    <w:rPr>
      <w:rFonts w:eastAsia="Times"/>
      <w:b/>
      <w:bCs/>
      <w:i/>
      <w:caps/>
      <w:color w:val="000000"/>
    </w:rPr>
  </w:style>
  <w:style w:type="character" w:customStyle="1" w:styleId="CmqHeading1Char">
    <w:name w:val="Cmq Heading 1 Char"/>
    <w:basedOn w:val="Heading3Char"/>
    <w:link w:val="CmqHeading1"/>
    <w:rsid w:val="00331601"/>
    <w:rPr>
      <w:rFonts w:ascii="Arial Bold" w:eastAsia="Times" w:hAnsi="Arial Bold" w:cs="Arial"/>
      <w:b/>
      <w:caps/>
      <w:color w:val="0F4761" w:themeColor="accent1" w:themeShade="BF"/>
      <w:kern w:val="0"/>
      <w:sz w:val="26"/>
      <w:szCs w:val="26"/>
      <w:lang w:eastAsia="en-AU"/>
      <w14:ligatures w14:val="none"/>
    </w:rPr>
  </w:style>
  <w:style w:type="paragraph" w:customStyle="1" w:styleId="Cmqheading3">
    <w:name w:val="Cmq heading 3"/>
    <w:basedOn w:val="Heading3"/>
    <w:link w:val="Cmqheading3Char"/>
    <w:qFormat/>
    <w:rsid w:val="00331601"/>
    <w:pPr>
      <w:keepNext w:val="0"/>
      <w:keepLines w:val="0"/>
      <w:spacing w:before="240" w:after="120" w:line="23" w:lineRule="atLeast"/>
      <w:ind w:left="1191" w:hanging="1191"/>
      <w:contextualSpacing/>
      <w:outlineLvl w:val="9"/>
    </w:pPr>
    <w:rPr>
      <w:rFonts w:ascii="Arial" w:hAnsi="Arial" w:cs="Arial"/>
      <w:b/>
      <w:color w:val="0A2F40" w:themeColor="accent1" w:themeShade="7F"/>
      <w:sz w:val="22"/>
      <w:szCs w:val="22"/>
    </w:rPr>
  </w:style>
  <w:style w:type="character" w:customStyle="1" w:styleId="Cmqheading2Char">
    <w:name w:val="Cmq heading 2 Char"/>
    <w:basedOn w:val="BodyTextChar"/>
    <w:link w:val="Cmqheading2"/>
    <w:rsid w:val="00331601"/>
    <w:rPr>
      <w:rFonts w:ascii="Arial" w:eastAsia="Times" w:hAnsi="Arial" w:cs="Arial"/>
      <w:b/>
      <w:bCs/>
      <w:i/>
      <w:caps/>
      <w:color w:val="000000"/>
      <w:kern w:val="0"/>
      <w:sz w:val="22"/>
      <w:szCs w:val="22"/>
      <w:lang w:eastAsia="en-AU"/>
      <w14:ligatures w14:val="none"/>
    </w:rPr>
  </w:style>
  <w:style w:type="paragraph" w:customStyle="1" w:styleId="CmqTitle1">
    <w:name w:val="Cmq Title 1"/>
    <w:basedOn w:val="Normal"/>
    <w:qFormat/>
    <w:rsid w:val="00331601"/>
    <w:pPr>
      <w:spacing w:before="120" w:after="120" w:line="260" w:lineRule="exact"/>
      <w:jc w:val="center"/>
    </w:pPr>
    <w:rPr>
      <w:rFonts w:ascii="Arial" w:eastAsiaTheme="minorHAnsi" w:hAnsi="Arial" w:cs="Arial"/>
      <w:b/>
      <w:bCs/>
      <w:color w:val="000000"/>
      <w:sz w:val="24"/>
      <w:szCs w:val="28"/>
      <w:lang w:eastAsia="en-US"/>
    </w:rPr>
  </w:style>
  <w:style w:type="character" w:customStyle="1" w:styleId="Cmqheading3Char">
    <w:name w:val="Cmq heading 3 Char"/>
    <w:basedOn w:val="Heading3Char"/>
    <w:link w:val="Cmqheading3"/>
    <w:rsid w:val="00331601"/>
    <w:rPr>
      <w:rFonts w:ascii="Arial" w:eastAsiaTheme="majorEastAsia" w:hAnsi="Arial" w:cs="Arial"/>
      <w:b/>
      <w:color w:val="0A2F40" w:themeColor="accent1" w:themeShade="7F"/>
      <w:kern w:val="0"/>
      <w:sz w:val="22"/>
      <w:szCs w:val="22"/>
      <w:lang w:eastAsia="en-AU"/>
      <w14:ligatures w14:val="none"/>
    </w:rPr>
  </w:style>
  <w:style w:type="paragraph" w:customStyle="1" w:styleId="CmqTitle2">
    <w:name w:val="Cmq Title 2"/>
    <w:basedOn w:val="Normal"/>
    <w:qFormat/>
    <w:rsid w:val="00331601"/>
    <w:pPr>
      <w:pBdr>
        <w:top w:val="single" w:sz="4" w:space="12" w:color="auto"/>
        <w:bottom w:val="single" w:sz="4" w:space="12" w:color="auto"/>
      </w:pBdr>
      <w:spacing w:after="0" w:line="240" w:lineRule="auto"/>
      <w:ind w:left="360"/>
      <w:jc w:val="center"/>
    </w:pPr>
    <w:rPr>
      <w:rFonts w:ascii="Arial" w:eastAsia="Times" w:hAnsi="Arial" w:cs="Arial"/>
      <w:b/>
      <w:i/>
      <w:iCs/>
      <w:lang w:eastAsia="en-US"/>
    </w:rPr>
  </w:style>
  <w:style w:type="character" w:styleId="Hyperlink">
    <w:name w:val="Hyperlink"/>
    <w:basedOn w:val="DefaultParagraphFont"/>
    <w:uiPriority w:val="99"/>
    <w:unhideWhenUsed/>
    <w:rsid w:val="00331601"/>
    <w:rPr>
      <w:color w:val="467886" w:themeColor="hyperlink"/>
      <w:u w:val="single"/>
    </w:rPr>
  </w:style>
  <w:style w:type="table" w:styleId="TableGrid">
    <w:name w:val="Table Grid"/>
    <w:basedOn w:val="TableNormal"/>
    <w:uiPriority w:val="59"/>
    <w:rsid w:val="00331601"/>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 1 Char"/>
    <w:basedOn w:val="DefaultParagraphFont"/>
    <w:link w:val="ListParagraph"/>
    <w:uiPriority w:val="34"/>
    <w:locked/>
    <w:rsid w:val="00392A12"/>
    <w:rPr>
      <w:rFonts w:asciiTheme="minorHAnsi" w:eastAsiaTheme="minorEastAsia" w:hAnsiTheme="minorHAnsi" w:cstheme="minorBidi"/>
      <w:kern w:val="0"/>
      <w:sz w:val="22"/>
      <w:szCs w:val="22"/>
      <w:lang w:eastAsia="en-AU"/>
      <w14:ligatures w14:val="none"/>
    </w:rPr>
  </w:style>
  <w:style w:type="paragraph" w:customStyle="1" w:styleId="folios">
    <w:name w:val="folios"/>
    <w:basedOn w:val="Normal"/>
    <w:link w:val="foliosChar"/>
    <w:rsid w:val="006633FD"/>
    <w:pPr>
      <w:spacing w:after="360" w:line="240" w:lineRule="auto"/>
      <w:contextualSpacing/>
      <w:jc w:val="right"/>
    </w:pPr>
    <w:rPr>
      <w:rFonts w:ascii="Calibri" w:eastAsia="Times New Roman" w:hAnsi="Calibri" w:cs="Times New Roman"/>
      <w:sz w:val="18"/>
    </w:rPr>
  </w:style>
  <w:style w:type="character" w:customStyle="1" w:styleId="foliosChar">
    <w:name w:val="folios Char"/>
    <w:basedOn w:val="DefaultParagraphFont"/>
    <w:link w:val="folios"/>
    <w:rsid w:val="006633FD"/>
    <w:rPr>
      <w:rFonts w:ascii="Calibri" w:eastAsia="Times New Roman" w:hAnsi="Calibri"/>
      <w:kern w:val="0"/>
      <w:sz w:val="18"/>
      <w:szCs w:val="22"/>
      <w:lang w:eastAsia="en-AU"/>
      <w14:ligatures w14:val="none"/>
    </w:rPr>
  </w:style>
  <w:style w:type="character" w:styleId="CommentReference">
    <w:name w:val="annotation reference"/>
    <w:basedOn w:val="DefaultParagraphFont"/>
    <w:uiPriority w:val="99"/>
    <w:semiHidden/>
    <w:unhideWhenUsed/>
    <w:rsid w:val="001B6AEC"/>
    <w:rPr>
      <w:sz w:val="16"/>
      <w:szCs w:val="16"/>
    </w:rPr>
  </w:style>
  <w:style w:type="paragraph" w:styleId="CommentText">
    <w:name w:val="annotation text"/>
    <w:basedOn w:val="Normal"/>
    <w:link w:val="CommentTextChar"/>
    <w:uiPriority w:val="99"/>
    <w:unhideWhenUsed/>
    <w:rsid w:val="001B6AEC"/>
    <w:pPr>
      <w:spacing w:line="240" w:lineRule="auto"/>
    </w:pPr>
    <w:rPr>
      <w:sz w:val="20"/>
      <w:szCs w:val="20"/>
    </w:rPr>
  </w:style>
  <w:style w:type="character" w:customStyle="1" w:styleId="CommentTextChar">
    <w:name w:val="Comment Text Char"/>
    <w:basedOn w:val="DefaultParagraphFont"/>
    <w:link w:val="CommentText"/>
    <w:uiPriority w:val="99"/>
    <w:rsid w:val="001B6AEC"/>
    <w:rPr>
      <w:rFonts w:asciiTheme="minorHAnsi" w:eastAsiaTheme="minorEastAsia" w:hAnsiTheme="minorHAnsi" w:cstheme="minorBidi"/>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1B6AEC"/>
    <w:rPr>
      <w:b/>
      <w:bCs/>
    </w:rPr>
  </w:style>
  <w:style w:type="character" w:customStyle="1" w:styleId="CommentSubjectChar">
    <w:name w:val="Comment Subject Char"/>
    <w:basedOn w:val="CommentTextChar"/>
    <w:link w:val="CommentSubject"/>
    <w:uiPriority w:val="99"/>
    <w:semiHidden/>
    <w:rsid w:val="001B6AEC"/>
    <w:rPr>
      <w:rFonts w:asciiTheme="minorHAnsi" w:eastAsiaTheme="minorEastAsia" w:hAnsiTheme="minorHAnsi" w:cstheme="minorBidi"/>
      <w:b/>
      <w:bCs/>
      <w:kern w:val="0"/>
      <w:sz w:val="20"/>
      <w:szCs w:val="20"/>
      <w:lang w:eastAsia="en-AU"/>
      <w14:ligatures w14:val="none"/>
    </w:rPr>
  </w:style>
  <w:style w:type="paragraph" w:styleId="Revision">
    <w:name w:val="Revision"/>
    <w:hidden/>
    <w:uiPriority w:val="99"/>
    <w:semiHidden/>
    <w:rsid w:val="001B6AEC"/>
    <w:pPr>
      <w:spacing w:after="0" w:line="240" w:lineRule="auto"/>
    </w:pPr>
    <w:rPr>
      <w:rFonts w:asciiTheme="minorHAnsi" w:eastAsiaTheme="minorEastAsia" w:hAnsiTheme="minorHAnsi" w:cstheme="minorBidi"/>
      <w:kern w:val="0"/>
      <w:sz w:val="22"/>
      <w:szCs w:val="22"/>
      <w:lang w:eastAsia="en-AU"/>
      <w14:ligatures w14:val="none"/>
    </w:rPr>
  </w:style>
  <w:style w:type="character" w:styleId="UnresolvedMention">
    <w:name w:val="Unresolved Mention"/>
    <w:basedOn w:val="DefaultParagraphFont"/>
    <w:uiPriority w:val="99"/>
    <w:semiHidden/>
    <w:unhideWhenUsed/>
    <w:rsid w:val="00F6365B"/>
    <w:rPr>
      <w:color w:val="605E5C"/>
      <w:shd w:val="clear" w:color="auto" w:fill="E1DFDD"/>
    </w:rPr>
  </w:style>
  <w:style w:type="character" w:styleId="FollowedHyperlink">
    <w:name w:val="FollowedHyperlink"/>
    <w:basedOn w:val="DefaultParagraphFont"/>
    <w:uiPriority w:val="99"/>
    <w:semiHidden/>
    <w:unhideWhenUsed/>
    <w:rsid w:val="00C62E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8837">
      <w:bodyDiv w:val="1"/>
      <w:marLeft w:val="0"/>
      <w:marRight w:val="0"/>
      <w:marTop w:val="0"/>
      <w:marBottom w:val="0"/>
      <w:divBdr>
        <w:top w:val="none" w:sz="0" w:space="0" w:color="auto"/>
        <w:left w:val="none" w:sz="0" w:space="0" w:color="auto"/>
        <w:bottom w:val="none" w:sz="0" w:space="0" w:color="auto"/>
        <w:right w:val="none" w:sz="0" w:space="0" w:color="auto"/>
      </w:divBdr>
    </w:div>
    <w:div w:id="20467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tr@health.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EFCC-FE56-40AB-8CFB-A162B5A3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5972</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Technical Advisory Committee 1 December 2025 Communiqué</dc:title>
  <dc:subject/>
  <dc:creator>OGTR.Voicemail@health.gov.au</dc:creator>
  <cp:keywords/>
  <dc:description/>
  <cp:lastModifiedBy>SMITH, Justine</cp:lastModifiedBy>
  <cp:revision>3</cp:revision>
  <dcterms:created xsi:type="dcterms:W3CDTF">2026-02-08T21:39:00Z</dcterms:created>
  <dcterms:modified xsi:type="dcterms:W3CDTF">2026-02-08T21:40:00Z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2536908e,77ccf55a,254c4be8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6929155b,7cd34f5,33ff18c3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2026-01-19T05:14:21Z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5715961d-38f7-4d79-9fbf-5b24aa9f2c80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