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B951" w14:textId="7397E6B0" w:rsidR="00280050" w:rsidRDefault="00DC756B">
      <w:r>
        <w:rPr>
          <w:noProof/>
        </w:rPr>
        <w:drawing>
          <wp:inline distT="0" distB="0" distL="0" distR="0" wp14:anchorId="2579F52F" wp14:editId="50F822DE">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36C5450F" w14:textId="77777777" w:rsidR="00DC756B" w:rsidRDefault="00DC756B"/>
    <w:p w14:paraId="3A35FBD6" w14:textId="77777777" w:rsidR="00DC756B" w:rsidRPr="00DC756B" w:rsidRDefault="00DC756B" w:rsidP="000D46BF">
      <w:pPr>
        <w:pStyle w:val="Title"/>
        <w:spacing w:after="120"/>
        <w:jc w:val="center"/>
        <w:rPr>
          <w:b/>
          <w:bCs/>
          <w:color w:val="989800"/>
        </w:rPr>
      </w:pPr>
      <w:r w:rsidRPr="00DC756B">
        <w:rPr>
          <w:b/>
          <w:bCs/>
          <w:color w:val="989800"/>
        </w:rPr>
        <w:t>Snapshot of Genetically Modified (GM) Canola in Australia</w:t>
      </w:r>
    </w:p>
    <w:p w14:paraId="254BE02F" w14:textId="3E05FD8F" w:rsidR="00DC756B" w:rsidRPr="000D46BF" w:rsidRDefault="00DC756B" w:rsidP="000D46BF">
      <w:pPr>
        <w:spacing w:before="240"/>
      </w:pPr>
      <w:r w:rsidRPr="00DC756B">
        <w:rPr>
          <w:rFonts w:ascii="HelveticaNeue-Light" w:hAnsi="HelveticaNeue-Light"/>
          <w:noProof/>
          <w:sz w:val="17"/>
          <w:szCs w:val="17"/>
        </w:rPr>
        <w:drawing>
          <wp:anchor distT="0" distB="0" distL="114300" distR="114300" simplePos="0" relativeHeight="251660288" behindDoc="1" locked="0" layoutInCell="1" allowOverlap="1" wp14:anchorId="794A37FC" wp14:editId="4D5AD35E">
            <wp:simplePos x="0" y="0"/>
            <wp:positionH relativeFrom="margin">
              <wp:align>left</wp:align>
            </wp:positionH>
            <wp:positionV relativeFrom="paragraph">
              <wp:posOffset>3810</wp:posOffset>
            </wp:positionV>
            <wp:extent cx="1657350" cy="1082675"/>
            <wp:effectExtent l="0" t="0" r="0" b="3175"/>
            <wp:wrapTight wrapText="bothSides">
              <wp:wrapPolygon edited="0">
                <wp:start x="0" y="0"/>
                <wp:lineTo x="0" y="21283"/>
                <wp:lineTo x="21352" y="21283"/>
                <wp:lineTo x="21352" y="0"/>
                <wp:lineTo x="0" y="0"/>
              </wp:wrapPolygon>
            </wp:wrapTight>
            <wp:docPr id="1899077911" name="Picture 1" descr="A close-up of a yellow canola flow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77911" name="Picture 1" descr="A close-up of a yellow canola flower&#10;&#10;"/>
                    <pic:cNvPicPr/>
                  </pic:nvPicPr>
                  <pic:blipFill>
                    <a:blip r:embed="rId7">
                      <a:extLst>
                        <a:ext uri="{28A0092B-C50C-407E-A947-70E740481C1C}">
                          <a14:useLocalDpi xmlns:a14="http://schemas.microsoft.com/office/drawing/2010/main" val="0"/>
                        </a:ext>
                      </a:extLst>
                    </a:blip>
                    <a:stretch>
                      <a:fillRect/>
                    </a:stretch>
                  </pic:blipFill>
                  <pic:spPr>
                    <a:xfrm>
                      <a:off x="0" y="0"/>
                      <a:ext cx="1664771" cy="1088005"/>
                    </a:xfrm>
                    <a:prstGeom prst="rect">
                      <a:avLst/>
                    </a:prstGeom>
                  </pic:spPr>
                </pic:pic>
              </a:graphicData>
            </a:graphic>
            <wp14:sizeRelH relativeFrom="page">
              <wp14:pctWidth>0</wp14:pctWidth>
            </wp14:sizeRelH>
            <wp14:sizeRelV relativeFrom="page">
              <wp14:pctHeight>0</wp14:pctHeight>
            </wp14:sizeRelV>
          </wp:anchor>
        </w:drawing>
      </w:r>
      <w:r w:rsidRPr="000D46BF">
        <w:rPr>
          <w:rFonts w:ascii="HelveticaNeue-Light" w:hAnsi="HelveticaNeue-Light"/>
          <w:sz w:val="18"/>
          <w:szCs w:val="18"/>
        </w:rPr>
        <w:t>Canola is grown for its seed which is crushed for the oil used in margarine, cooking oils, salad oils and edible oil blends. After the oil is extracted, the by</w:t>
      </w:r>
      <w:r w:rsidRPr="000D46BF">
        <w:rPr>
          <w:rFonts w:ascii="HelveticaNeue-Light" w:hAnsi="HelveticaNeue-Light"/>
          <w:sz w:val="18"/>
          <w:szCs w:val="18"/>
        </w:rPr>
        <w:noBreakHyphen/>
        <w:t>product is a protein-rich meal used to feed livestock. Canola is grown around Australia and is easily recognised by its vivid yellow flowers.</w:t>
      </w:r>
    </w:p>
    <w:p w14:paraId="6AE42478" w14:textId="77777777" w:rsidR="00DC756B" w:rsidRPr="000D46BF" w:rsidRDefault="00DC756B" w:rsidP="00DC756B">
      <w:pPr>
        <w:rPr>
          <w:rFonts w:ascii="Candara" w:hAnsi="Candara"/>
          <w:sz w:val="18"/>
          <w:szCs w:val="18"/>
        </w:rPr>
      </w:pPr>
      <w:r w:rsidRPr="000D46BF">
        <w:rPr>
          <w:rFonts w:ascii="HelveticaNeue-Light" w:hAnsi="HelveticaNeue-Light"/>
          <w:sz w:val="18"/>
          <w:szCs w:val="18"/>
        </w:rPr>
        <w:t>As of 2024, about 46% of canola produced in Australia is GM. The Australian Capital Territory, Kangaroo Island (South Australia) and Tasmania have legislation banning farming of GM canola due to marketing concerns</w:t>
      </w:r>
      <w:r w:rsidRPr="000D46BF">
        <w:rPr>
          <w:rFonts w:ascii="Candara" w:hAnsi="Candara"/>
          <w:sz w:val="18"/>
          <w:szCs w:val="18"/>
        </w:rPr>
        <w:t>.</w:t>
      </w:r>
    </w:p>
    <w:p w14:paraId="04ECF434" w14:textId="2BD53685" w:rsidR="00DC756B" w:rsidRPr="00DC756B" w:rsidRDefault="00DC756B" w:rsidP="000D46BF">
      <w:pPr>
        <w:keepNext/>
        <w:spacing w:after="120"/>
        <w:rPr>
          <w:rFonts w:asciiTheme="majorHAnsi" w:hAnsiTheme="majorHAnsi"/>
          <w:b/>
          <w:bCs/>
          <w:color w:val="989800"/>
          <w:sz w:val="32"/>
          <w:szCs w:val="32"/>
        </w:rPr>
      </w:pPr>
      <w:r w:rsidRPr="00DC756B">
        <w:rPr>
          <w:noProof/>
        </w:rPr>
        <w:drawing>
          <wp:anchor distT="0" distB="0" distL="114300" distR="114300" simplePos="0" relativeHeight="251659264" behindDoc="0" locked="0" layoutInCell="1" allowOverlap="1" wp14:anchorId="1075E792" wp14:editId="1A310E2D">
            <wp:simplePos x="0" y="0"/>
            <wp:positionH relativeFrom="margin">
              <wp:posOffset>4636135</wp:posOffset>
            </wp:positionH>
            <wp:positionV relativeFrom="paragraph">
              <wp:posOffset>208280</wp:posOffset>
            </wp:positionV>
            <wp:extent cx="1933845" cy="1314633"/>
            <wp:effectExtent l="0" t="0" r="9525" b="0"/>
            <wp:wrapThrough wrapText="bothSides">
              <wp:wrapPolygon edited="0">
                <wp:start x="0" y="0"/>
                <wp:lineTo x="0" y="21287"/>
                <wp:lineTo x="21494" y="21287"/>
                <wp:lineTo x="21494" y="0"/>
                <wp:lineTo x="0" y="0"/>
              </wp:wrapPolygon>
            </wp:wrapThrough>
            <wp:docPr id="965099515" name="Picture 1" descr="A field of yellow canola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99515" name="Picture 1" descr="A field of yellow canola &#10;&#10;"/>
                    <pic:cNvPicPr/>
                  </pic:nvPicPr>
                  <pic:blipFill>
                    <a:blip r:embed="rId8">
                      <a:extLst>
                        <a:ext uri="{28A0092B-C50C-407E-A947-70E740481C1C}">
                          <a14:useLocalDpi xmlns:a14="http://schemas.microsoft.com/office/drawing/2010/main" val="0"/>
                        </a:ext>
                      </a:extLst>
                    </a:blip>
                    <a:stretch>
                      <a:fillRect/>
                    </a:stretch>
                  </pic:blipFill>
                  <pic:spPr>
                    <a:xfrm>
                      <a:off x="0" y="0"/>
                      <a:ext cx="1933845" cy="1314633"/>
                    </a:xfrm>
                    <a:prstGeom prst="rect">
                      <a:avLst/>
                    </a:prstGeom>
                  </pic:spPr>
                </pic:pic>
              </a:graphicData>
            </a:graphic>
            <wp14:sizeRelH relativeFrom="page">
              <wp14:pctWidth>0</wp14:pctWidth>
            </wp14:sizeRelH>
            <wp14:sizeRelV relativeFrom="page">
              <wp14:pctHeight>0</wp14:pctHeight>
            </wp14:sizeRelV>
          </wp:anchor>
        </w:drawing>
      </w:r>
      <w:r w:rsidRPr="00DC756B">
        <w:rPr>
          <w:rFonts w:asciiTheme="majorHAnsi" w:hAnsiTheme="majorHAnsi"/>
          <w:b/>
          <w:bCs/>
          <w:color w:val="989800"/>
          <w:sz w:val="32"/>
          <w:szCs w:val="32"/>
        </w:rPr>
        <w:t>Safety of GM canola</w:t>
      </w:r>
    </w:p>
    <w:p w14:paraId="0047DB78" w14:textId="3F8D53D0" w:rsidR="00DC756B" w:rsidRPr="000D46BF" w:rsidRDefault="00DC756B" w:rsidP="00DC756B">
      <w:pPr>
        <w:rPr>
          <w:rFonts w:ascii="HelveticaNeue-Light" w:hAnsi="HelveticaNeue-Light"/>
          <w:sz w:val="18"/>
          <w:szCs w:val="18"/>
        </w:rPr>
      </w:pPr>
      <w:r w:rsidRPr="000D46BF">
        <w:rPr>
          <w:rFonts w:ascii="HelveticaNeue-Light" w:hAnsi="HelveticaNeue-Light"/>
          <w:sz w:val="18"/>
          <w:szCs w:val="18"/>
        </w:rPr>
        <w:t xml:space="preserve">The Office of the Gene Technology Regulator (OGTR) carried out scientific evaluations of GM </w:t>
      </w:r>
      <w:proofErr w:type="gramStart"/>
      <w:r w:rsidRPr="000D46BF">
        <w:rPr>
          <w:rFonts w:ascii="HelveticaNeue-Light" w:hAnsi="HelveticaNeue-Light"/>
          <w:sz w:val="18"/>
          <w:szCs w:val="18"/>
        </w:rPr>
        <w:t>canola</w:t>
      </w:r>
      <w:proofErr w:type="gramEnd"/>
      <w:r w:rsidRPr="000D46BF">
        <w:rPr>
          <w:rFonts w:ascii="HelveticaNeue-Light" w:hAnsi="HelveticaNeue-Light"/>
          <w:sz w:val="18"/>
          <w:szCs w:val="18"/>
        </w:rPr>
        <w:t xml:space="preserve"> and the Regulator authorised the first commercial releases of 2 herbicide</w:t>
      </w:r>
      <w:r w:rsidRPr="000D46BF">
        <w:rPr>
          <w:rFonts w:ascii="HelveticaNeue-Light" w:hAnsi="HelveticaNeue-Light"/>
          <w:sz w:val="18"/>
          <w:szCs w:val="18"/>
        </w:rPr>
        <w:noBreakHyphen/>
        <w:t>tolerant types in 2003. The OGTR risk analysis found that these types of GM canola posed no more risk to human health and the environment than non</w:t>
      </w:r>
      <w:r w:rsidRPr="000D46BF">
        <w:rPr>
          <w:rFonts w:ascii="HelveticaNeue-Light" w:hAnsi="HelveticaNeue-Light"/>
          <w:sz w:val="18"/>
          <w:szCs w:val="18"/>
        </w:rPr>
        <w:noBreakHyphen/>
        <w:t>GM canola.</w:t>
      </w:r>
    </w:p>
    <w:p w14:paraId="74C17448" w14:textId="77777777" w:rsidR="00DC756B" w:rsidRPr="000D46BF" w:rsidRDefault="00DC756B" w:rsidP="00DC756B">
      <w:pPr>
        <w:rPr>
          <w:rFonts w:ascii="HelveticaNeue-Light" w:hAnsi="HelveticaNeue-Light"/>
          <w:sz w:val="18"/>
          <w:szCs w:val="18"/>
        </w:rPr>
      </w:pPr>
      <w:r w:rsidRPr="000D46BF">
        <w:rPr>
          <w:rFonts w:ascii="HelveticaNeue-Light" w:hAnsi="HelveticaNeue-Light"/>
          <w:sz w:val="18"/>
          <w:szCs w:val="18"/>
        </w:rPr>
        <w:t>The Regulator has issued a total of 10 licences for the commercial release of GM canola. This includes one commercial licence for GM Indian mustard (which is closely related to canola). These allow the approved GM canola to be grown throughout Australia.</w:t>
      </w:r>
    </w:p>
    <w:p w14:paraId="3C96D93B" w14:textId="77777777" w:rsidR="00DC756B" w:rsidRPr="000D46BF" w:rsidRDefault="00DC756B" w:rsidP="00DC756B">
      <w:pPr>
        <w:rPr>
          <w:rFonts w:ascii="HelveticaNeue-Light" w:hAnsi="HelveticaNeue-Light"/>
          <w:sz w:val="18"/>
          <w:szCs w:val="18"/>
        </w:rPr>
      </w:pPr>
      <w:r w:rsidRPr="000D46BF">
        <w:rPr>
          <w:rFonts w:ascii="HelveticaNeue-Light" w:hAnsi="HelveticaNeue-Light"/>
          <w:sz w:val="18"/>
          <w:szCs w:val="18"/>
        </w:rPr>
        <w:t xml:space="preserve">Currently, commercially grown GM canola in Australia is glyphosate or </w:t>
      </w:r>
      <w:proofErr w:type="spellStart"/>
      <w:r w:rsidRPr="000D46BF">
        <w:rPr>
          <w:rFonts w:ascii="HelveticaNeue-Light" w:hAnsi="HelveticaNeue-Light"/>
          <w:sz w:val="18"/>
          <w:szCs w:val="18"/>
        </w:rPr>
        <w:t>glufosinate</w:t>
      </w:r>
      <w:proofErr w:type="spellEnd"/>
      <w:r w:rsidRPr="000D46BF">
        <w:rPr>
          <w:rFonts w:ascii="HelveticaNeue-Light" w:hAnsi="HelveticaNeue-Light"/>
          <w:sz w:val="18"/>
          <w:szCs w:val="18"/>
        </w:rPr>
        <w:t xml:space="preserve"> tolerant canola with a hybrid breeding system.</w:t>
      </w:r>
    </w:p>
    <w:p w14:paraId="021875A5" w14:textId="77777777" w:rsidR="00DC756B" w:rsidRPr="000D46BF" w:rsidRDefault="00DC756B" w:rsidP="00DC756B">
      <w:pPr>
        <w:rPr>
          <w:rFonts w:ascii="HelveticaNeue-Light" w:hAnsi="HelveticaNeue-Light"/>
          <w:sz w:val="18"/>
          <w:szCs w:val="18"/>
        </w:rPr>
      </w:pPr>
      <w:r w:rsidRPr="000D46BF">
        <w:rPr>
          <w:rFonts w:ascii="HelveticaNeue-Light" w:hAnsi="HelveticaNeue-Light"/>
          <w:sz w:val="18"/>
          <w:szCs w:val="18"/>
        </w:rPr>
        <w:t xml:space="preserve">Other types of GM canola have been approved for commercial release in Australia including canola tolerant to both glyphosate and </w:t>
      </w:r>
      <w:proofErr w:type="spellStart"/>
      <w:r w:rsidRPr="000D46BF">
        <w:rPr>
          <w:rFonts w:ascii="HelveticaNeue-Light" w:hAnsi="HelveticaNeue-Light"/>
          <w:sz w:val="18"/>
          <w:szCs w:val="18"/>
        </w:rPr>
        <w:t>glufosinate</w:t>
      </w:r>
      <w:proofErr w:type="spellEnd"/>
      <w:r w:rsidRPr="000D46BF">
        <w:rPr>
          <w:rFonts w:ascii="HelveticaNeue-Light" w:hAnsi="HelveticaNeue-Light"/>
          <w:sz w:val="18"/>
          <w:szCs w:val="18"/>
        </w:rPr>
        <w:t xml:space="preserve"> and canola producing long chain omega-3 oil. However, these are not currently being grown commercially. </w:t>
      </w:r>
    </w:p>
    <w:p w14:paraId="6C8A0E4A" w14:textId="15B3BD67" w:rsidR="00DC756B" w:rsidRPr="000D46BF" w:rsidRDefault="00DC756B" w:rsidP="000D46BF">
      <w:pPr>
        <w:rPr>
          <w:rFonts w:ascii="HelveticaNeue-Light" w:hAnsi="HelveticaNeue-Light"/>
          <w:sz w:val="18"/>
          <w:szCs w:val="18"/>
        </w:rPr>
      </w:pPr>
      <w:r w:rsidRPr="000D46BF">
        <w:rPr>
          <w:rFonts w:ascii="HelveticaNeue-Light" w:hAnsi="HelveticaNeue-Light"/>
          <w:sz w:val="18"/>
          <w:szCs w:val="18"/>
        </w:rPr>
        <w:t xml:space="preserve">The commercial approvals of GM canola to date are listed in the table above. The latest information on commercial approvals is available online as part of the </w:t>
      </w:r>
      <w:hyperlink r:id="rId9" w:history="1">
        <w:r w:rsidRPr="000D46BF">
          <w:rPr>
            <w:rFonts w:ascii="HelveticaNeue-Light" w:hAnsi="HelveticaNeue-Light"/>
            <w:sz w:val="18"/>
            <w:szCs w:val="18"/>
          </w:rPr>
          <w:t>GMO Record</w:t>
        </w:r>
      </w:hyperlink>
      <w:r w:rsidRPr="000D46BF">
        <w:rPr>
          <w:rFonts w:ascii="HelveticaNeue-Light" w:hAnsi="HelveticaNeue-Light"/>
          <w:sz w:val="18"/>
          <w:szCs w:val="18"/>
        </w:rPr>
        <w:t>.</w:t>
      </w:r>
      <w:bookmarkStart w:id="0" w:name="_Hlk214446269"/>
    </w:p>
    <w:p w14:paraId="1EC80BA3" w14:textId="77777777" w:rsidR="00DC756B" w:rsidRPr="00DC756B" w:rsidRDefault="00DC756B" w:rsidP="00DC756B">
      <w:pPr>
        <w:pBdr>
          <w:top w:val="single" w:sz="12" w:space="1" w:color="FFD966"/>
          <w:left w:val="single" w:sz="12" w:space="4" w:color="FFD966"/>
          <w:bottom w:val="single" w:sz="12" w:space="1" w:color="FFD966"/>
          <w:right w:val="single" w:sz="12" w:space="4" w:color="FFD966"/>
        </w:pBdr>
        <w:shd w:val="clear" w:color="auto" w:fill="FFF2CC"/>
        <w:spacing w:before="120" w:after="0" w:line="240" w:lineRule="auto"/>
        <w:rPr>
          <w:rFonts w:ascii="Candara" w:eastAsia="Calibri" w:hAnsi="Candara"/>
          <w:sz w:val="8"/>
          <w:szCs w:val="8"/>
        </w:rPr>
      </w:pPr>
    </w:p>
    <w:p w14:paraId="7B733365" w14:textId="77777777" w:rsidR="00DC756B" w:rsidRPr="000D46BF" w:rsidRDefault="00DC756B" w:rsidP="000D46BF">
      <w:pPr>
        <w:pBdr>
          <w:top w:val="single" w:sz="12" w:space="1" w:color="FFD966"/>
          <w:left w:val="single" w:sz="12" w:space="4" w:color="FFD966"/>
          <w:bottom w:val="single" w:sz="12" w:space="1" w:color="FFD966"/>
          <w:right w:val="single" w:sz="12" w:space="4" w:color="FFD966"/>
        </w:pBdr>
        <w:shd w:val="clear" w:color="auto" w:fill="FFF2CC"/>
        <w:spacing w:before="80" w:after="0" w:line="240" w:lineRule="auto"/>
        <w:rPr>
          <w:rFonts w:ascii="HelveticaNeue-Light" w:eastAsia="Calibri" w:hAnsi="HelveticaNeue-Light"/>
          <w:sz w:val="18"/>
          <w:szCs w:val="18"/>
        </w:rPr>
      </w:pPr>
      <w:r w:rsidRPr="000D46BF">
        <w:rPr>
          <w:rFonts w:ascii="HelveticaNeue-Light" w:eastAsia="Calibri" w:hAnsi="HelveticaNeue-Light"/>
          <w:sz w:val="18"/>
          <w:szCs w:val="18"/>
        </w:rPr>
        <w:t xml:space="preserve">GM canola currently grown in Australia is tolerant to glyphosate or </w:t>
      </w:r>
      <w:proofErr w:type="spellStart"/>
      <w:r w:rsidRPr="000D46BF">
        <w:rPr>
          <w:rFonts w:ascii="HelveticaNeue-Light" w:eastAsia="Calibri" w:hAnsi="HelveticaNeue-Light"/>
          <w:sz w:val="18"/>
          <w:szCs w:val="18"/>
        </w:rPr>
        <w:t>glufosinate</w:t>
      </w:r>
      <w:proofErr w:type="spellEnd"/>
      <w:r w:rsidRPr="000D46BF">
        <w:rPr>
          <w:rFonts w:ascii="HelveticaNeue-Light" w:eastAsia="Calibri" w:hAnsi="HelveticaNeue-Light"/>
          <w:sz w:val="18"/>
          <w:szCs w:val="18"/>
        </w:rPr>
        <w:t xml:space="preserve"> herbicides. This offers farmers potential economic and environmental gains.</w:t>
      </w:r>
    </w:p>
    <w:p w14:paraId="0D8798F7" w14:textId="77777777" w:rsidR="00DC756B" w:rsidRPr="000D46BF" w:rsidRDefault="00DC756B" w:rsidP="000D46BF">
      <w:pPr>
        <w:pBdr>
          <w:top w:val="single" w:sz="12" w:space="1" w:color="FFD966"/>
          <w:left w:val="single" w:sz="12" w:space="4" w:color="FFD966"/>
          <w:bottom w:val="single" w:sz="12" w:space="1" w:color="FFD966"/>
          <w:right w:val="single" w:sz="12" w:space="4" w:color="FFD966"/>
        </w:pBdr>
        <w:shd w:val="clear" w:color="auto" w:fill="FFF2CC"/>
        <w:spacing w:before="80" w:after="0" w:line="240" w:lineRule="auto"/>
        <w:rPr>
          <w:rFonts w:ascii="HelveticaNeue-Light" w:eastAsia="Calibri" w:hAnsi="HelveticaNeue-Light"/>
          <w:sz w:val="18"/>
          <w:szCs w:val="18"/>
        </w:rPr>
      </w:pPr>
      <w:r w:rsidRPr="000D46BF">
        <w:rPr>
          <w:rFonts w:ascii="HelveticaNeue-Light" w:eastAsia="Calibri" w:hAnsi="HelveticaNeue-Light"/>
          <w:sz w:val="18"/>
          <w:szCs w:val="18"/>
        </w:rPr>
        <w:t xml:space="preserve">All GM canola grown in Australia (commercial and experimental) are approved by the Gene Technology Regulator (the Regulator) only if they are safe for people and the environment. You can find the risk analyses and other documents for each licence on the </w:t>
      </w:r>
      <w:hyperlink r:id="rId10" w:history="1">
        <w:r w:rsidRPr="000D46BF">
          <w:rPr>
            <w:rFonts w:ascii="HelveticaNeue-Light" w:eastAsia="Calibri" w:hAnsi="HelveticaNeue-Light"/>
            <w:color w:val="000000"/>
            <w:sz w:val="18"/>
            <w:szCs w:val="18"/>
            <w:u w:val="single"/>
          </w:rPr>
          <w:t>GMO Record</w:t>
        </w:r>
      </w:hyperlink>
      <w:r w:rsidRPr="000D46BF">
        <w:rPr>
          <w:rFonts w:ascii="HelveticaNeue-Light" w:eastAsia="Calibri" w:hAnsi="HelveticaNeue-Light"/>
          <w:color w:val="000000"/>
          <w:sz w:val="18"/>
          <w:szCs w:val="18"/>
        </w:rPr>
        <w:t xml:space="preserve"> o</w:t>
      </w:r>
      <w:r w:rsidRPr="000D46BF">
        <w:rPr>
          <w:rFonts w:ascii="HelveticaNeue-Light" w:eastAsia="Calibri" w:hAnsi="HelveticaNeue-Light"/>
          <w:sz w:val="18"/>
          <w:szCs w:val="18"/>
        </w:rPr>
        <w:t>n our website.</w:t>
      </w:r>
    </w:p>
    <w:p w14:paraId="2603E52B" w14:textId="77777777" w:rsidR="00DC756B" w:rsidRPr="000D46BF" w:rsidRDefault="00DC756B" w:rsidP="000D46BF">
      <w:pPr>
        <w:pBdr>
          <w:top w:val="single" w:sz="12" w:space="1" w:color="FFD966"/>
          <w:left w:val="single" w:sz="12" w:space="4" w:color="FFD966"/>
          <w:bottom w:val="single" w:sz="12" w:space="1" w:color="FFD966"/>
          <w:right w:val="single" w:sz="12" w:space="4" w:color="FFD966"/>
        </w:pBdr>
        <w:shd w:val="clear" w:color="auto" w:fill="FFF2CC"/>
        <w:spacing w:before="80" w:after="0" w:line="240" w:lineRule="auto"/>
        <w:rPr>
          <w:rFonts w:ascii="HelveticaNeue-Light" w:eastAsia="Calibri" w:hAnsi="HelveticaNeue-Light"/>
          <w:sz w:val="18"/>
          <w:szCs w:val="18"/>
        </w:rPr>
      </w:pPr>
      <w:r w:rsidRPr="000D46BF">
        <w:rPr>
          <w:rFonts w:ascii="HelveticaNeue-Light" w:eastAsia="Calibri" w:hAnsi="HelveticaNeue-Light"/>
          <w:sz w:val="18"/>
          <w:szCs w:val="18"/>
        </w:rPr>
        <w:t>Some state governments have further restrictions on growing GM canola.</w:t>
      </w:r>
    </w:p>
    <w:p w14:paraId="7E7B6740" w14:textId="77777777" w:rsidR="00DC756B" w:rsidRPr="000D46BF" w:rsidRDefault="00DC756B" w:rsidP="000D46BF">
      <w:pPr>
        <w:pBdr>
          <w:top w:val="single" w:sz="12" w:space="1" w:color="FFD966"/>
          <w:left w:val="single" w:sz="12" w:space="4" w:color="FFD966"/>
          <w:bottom w:val="single" w:sz="12" w:space="1" w:color="FFD966"/>
          <w:right w:val="single" w:sz="12" w:space="4" w:color="FFD966"/>
        </w:pBdr>
        <w:shd w:val="clear" w:color="auto" w:fill="FFF2CC"/>
        <w:spacing w:before="80" w:after="0" w:line="240" w:lineRule="auto"/>
        <w:rPr>
          <w:rFonts w:ascii="HelveticaNeue-Light" w:eastAsia="Calibri" w:hAnsi="HelveticaNeue-Light"/>
          <w:sz w:val="18"/>
          <w:szCs w:val="18"/>
        </w:rPr>
      </w:pPr>
      <w:r w:rsidRPr="000D46BF">
        <w:rPr>
          <w:rFonts w:ascii="HelveticaNeue-Light" w:eastAsia="Calibri" w:hAnsi="HelveticaNeue-Light"/>
          <w:sz w:val="18"/>
          <w:szCs w:val="18"/>
        </w:rPr>
        <w:t>There are additional guidelines for use of GM canola in stockfeed and for dealing with GM canola growing on the roadside (volunteer plants).</w:t>
      </w:r>
    </w:p>
    <w:p w14:paraId="5F351123" w14:textId="77777777" w:rsidR="00DC756B" w:rsidRPr="000D46BF" w:rsidRDefault="00DC756B" w:rsidP="000D46BF">
      <w:pPr>
        <w:pBdr>
          <w:top w:val="single" w:sz="12" w:space="1" w:color="FFD966"/>
          <w:left w:val="single" w:sz="12" w:space="4" w:color="FFD966"/>
          <w:bottom w:val="single" w:sz="12" w:space="1" w:color="FFD966"/>
          <w:right w:val="single" w:sz="12" w:space="4" w:color="FFD966"/>
        </w:pBdr>
        <w:shd w:val="clear" w:color="auto" w:fill="FFF2CC"/>
        <w:spacing w:before="80" w:after="0" w:line="240" w:lineRule="auto"/>
        <w:rPr>
          <w:rFonts w:ascii="HelveticaNeue-Light" w:eastAsia="Calibri" w:hAnsi="HelveticaNeue-Light"/>
          <w:sz w:val="18"/>
          <w:szCs w:val="18"/>
        </w:rPr>
      </w:pPr>
      <w:r w:rsidRPr="000D46BF">
        <w:rPr>
          <w:rFonts w:ascii="HelveticaNeue-Light" w:eastAsia="Calibri" w:hAnsi="HelveticaNeue-Light"/>
          <w:sz w:val="18"/>
          <w:szCs w:val="18"/>
        </w:rPr>
        <w:t>Criminal charges can apply for non</w:t>
      </w:r>
      <w:r w:rsidRPr="000D46BF">
        <w:rPr>
          <w:rFonts w:ascii="HelveticaNeue-Light" w:eastAsia="Calibri" w:hAnsi="HelveticaNeue-Light"/>
          <w:sz w:val="18"/>
          <w:szCs w:val="18"/>
        </w:rPr>
        <w:noBreakHyphen/>
        <w:t>authorised dealings with GM crops of any kind.</w:t>
      </w:r>
    </w:p>
    <w:p w14:paraId="11DF548B" w14:textId="75A73944" w:rsidR="00DC756B" w:rsidRPr="00DC756B" w:rsidRDefault="009C4C30" w:rsidP="00DC756B">
      <w:pPr>
        <w:pBdr>
          <w:top w:val="single" w:sz="12" w:space="1" w:color="FFD966"/>
          <w:left w:val="single" w:sz="12" w:space="4" w:color="FFD966"/>
          <w:bottom w:val="single" w:sz="12" w:space="1" w:color="FFD966"/>
          <w:right w:val="single" w:sz="12" w:space="4" w:color="FFD966"/>
        </w:pBdr>
        <w:shd w:val="clear" w:color="auto" w:fill="FFF2CC"/>
        <w:spacing w:before="120" w:after="0" w:line="240" w:lineRule="auto"/>
        <w:rPr>
          <w:rFonts w:ascii="Candara" w:eastAsia="Calibri" w:hAnsi="Candara"/>
          <w:sz w:val="8"/>
          <w:szCs w:val="8"/>
        </w:rPr>
      </w:pPr>
      <w:r w:rsidRPr="00DC756B">
        <w:rPr>
          <w:rFonts w:ascii="Candara" w:eastAsia="Calibri" w:hAnsi="Candara"/>
          <w:noProof/>
          <w:sz w:val="8"/>
          <w:szCs w:val="8"/>
        </w:rPr>
        <w:drawing>
          <wp:anchor distT="0" distB="0" distL="114300" distR="114300" simplePos="0" relativeHeight="251661312" behindDoc="1" locked="0" layoutInCell="1" allowOverlap="1" wp14:anchorId="374FD914" wp14:editId="4C845E8F">
            <wp:simplePos x="0" y="0"/>
            <wp:positionH relativeFrom="margin">
              <wp:align>right</wp:align>
            </wp:positionH>
            <wp:positionV relativeFrom="paragraph">
              <wp:posOffset>302895</wp:posOffset>
            </wp:positionV>
            <wp:extent cx="6567805" cy="1571625"/>
            <wp:effectExtent l="0" t="0" r="4445" b="9525"/>
            <wp:wrapTight wrapText="bothSides">
              <wp:wrapPolygon edited="0">
                <wp:start x="0" y="0"/>
                <wp:lineTo x="0" y="21469"/>
                <wp:lineTo x="21552" y="21469"/>
                <wp:lineTo x="21552" y="0"/>
                <wp:lineTo x="0" y="0"/>
              </wp:wrapPolygon>
            </wp:wrapTight>
            <wp:docPr id="1050198131" name="Picture 1" descr="Paddocks of canola with trees in th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98131" name="Picture 1" descr="Paddocks of canola with trees in the field"/>
                    <pic:cNvPicPr/>
                  </pic:nvPicPr>
                  <pic:blipFill>
                    <a:blip r:embed="rId11">
                      <a:extLst>
                        <a:ext uri="{28A0092B-C50C-407E-A947-70E740481C1C}">
                          <a14:useLocalDpi xmlns:a14="http://schemas.microsoft.com/office/drawing/2010/main" val="0"/>
                        </a:ext>
                      </a:extLst>
                    </a:blip>
                    <a:stretch>
                      <a:fillRect/>
                    </a:stretch>
                  </pic:blipFill>
                  <pic:spPr>
                    <a:xfrm>
                      <a:off x="0" y="0"/>
                      <a:ext cx="6567805" cy="1571625"/>
                    </a:xfrm>
                    <a:prstGeom prst="rect">
                      <a:avLst/>
                    </a:prstGeom>
                  </pic:spPr>
                </pic:pic>
              </a:graphicData>
            </a:graphic>
            <wp14:sizeRelH relativeFrom="page">
              <wp14:pctWidth>0</wp14:pctWidth>
            </wp14:sizeRelH>
            <wp14:sizeRelV relativeFrom="page">
              <wp14:pctHeight>0</wp14:pctHeight>
            </wp14:sizeRelV>
          </wp:anchor>
        </w:drawing>
      </w:r>
    </w:p>
    <w:p w14:paraId="0670B981" w14:textId="38E39343" w:rsidR="00DC756B" w:rsidRDefault="00DC756B" w:rsidP="00DC756B">
      <w:pPr>
        <w:spacing w:before="120" w:after="0" w:line="240" w:lineRule="auto"/>
        <w:rPr>
          <w:rFonts w:ascii="Candara" w:eastAsia="Calibri" w:hAnsi="Candara"/>
          <w:sz w:val="8"/>
          <w:szCs w:val="8"/>
        </w:rPr>
      </w:pPr>
    </w:p>
    <w:p w14:paraId="032E53A3" w14:textId="2B083A09" w:rsidR="00DC756B" w:rsidRDefault="00DC756B" w:rsidP="00DC756B">
      <w:pPr>
        <w:ind w:firstLine="720"/>
        <w:rPr>
          <w:rFonts w:ascii="Candara" w:eastAsia="Calibri" w:hAnsi="Candara"/>
          <w:sz w:val="8"/>
          <w:szCs w:val="8"/>
        </w:rPr>
      </w:pPr>
    </w:p>
    <w:tbl>
      <w:tblPr>
        <w:tblStyle w:val="PlainTable21"/>
        <w:tblW w:w="0" w:type="auto"/>
        <w:tblInd w:w="284" w:type="dxa"/>
        <w:tblBorders>
          <w:top w:val="single" w:sz="12" w:space="0" w:color="FFD966"/>
          <w:bottom w:val="single" w:sz="12" w:space="0" w:color="FFD966"/>
          <w:insideH w:val="single" w:sz="12" w:space="0" w:color="FFD966"/>
        </w:tblBorders>
        <w:tblLook w:val="04A0" w:firstRow="1" w:lastRow="0" w:firstColumn="1" w:lastColumn="0" w:noHBand="0" w:noVBand="1"/>
      </w:tblPr>
      <w:tblGrid>
        <w:gridCol w:w="1101"/>
        <w:gridCol w:w="1870"/>
        <w:gridCol w:w="2960"/>
        <w:gridCol w:w="2309"/>
        <w:gridCol w:w="1222"/>
      </w:tblGrid>
      <w:tr w:rsidR="00567BF5" w:rsidRPr="000D46BF" w14:paraId="1BAB0E41" w14:textId="77777777" w:rsidTr="00567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2CC"/>
          </w:tcPr>
          <w:p w14:paraId="409E3F50" w14:textId="77777777" w:rsidR="00567BF5" w:rsidRPr="005E46A7" w:rsidRDefault="00567BF5" w:rsidP="00567BF5">
            <w:pPr>
              <w:spacing w:before="40" w:after="20"/>
              <w:rPr>
                <w:rFonts w:ascii="HelveticaNeue-Light" w:eastAsia="Calibri" w:hAnsi="HelveticaNeue-Light"/>
                <w:b w:val="0"/>
                <w:bCs w:val="0"/>
                <w:sz w:val="17"/>
                <w:szCs w:val="17"/>
              </w:rPr>
            </w:pPr>
            <w:r w:rsidRPr="005E46A7">
              <w:rPr>
                <w:rFonts w:ascii="HelveticaNeue-Light" w:eastAsia="Calibri" w:hAnsi="HelveticaNeue-Light"/>
                <w:b w:val="0"/>
                <w:bCs w:val="0"/>
                <w:sz w:val="17"/>
                <w:szCs w:val="17"/>
              </w:rPr>
              <w:lastRenderedPageBreak/>
              <w:t>Licence number</w:t>
            </w:r>
          </w:p>
        </w:tc>
        <w:tc>
          <w:tcPr>
            <w:tcW w:w="1870" w:type="dxa"/>
            <w:shd w:val="clear" w:color="auto" w:fill="FFF2CC"/>
          </w:tcPr>
          <w:p w14:paraId="11EFC9F0" w14:textId="77777777" w:rsidR="00567BF5" w:rsidRPr="005E46A7" w:rsidRDefault="00567BF5" w:rsidP="00567BF5">
            <w:pPr>
              <w:spacing w:before="40" w:after="20"/>
              <w:cnfStyle w:val="100000000000" w:firstRow="1" w:lastRow="0" w:firstColumn="0" w:lastColumn="0" w:oddVBand="0" w:evenVBand="0" w:oddHBand="0" w:evenHBand="0" w:firstRowFirstColumn="0" w:firstRowLastColumn="0" w:lastRowFirstColumn="0" w:lastRowLastColumn="0"/>
              <w:rPr>
                <w:rFonts w:ascii="HelveticaNeue-Light" w:eastAsia="Calibri" w:hAnsi="HelveticaNeue-Light"/>
                <w:b w:val="0"/>
                <w:bCs w:val="0"/>
                <w:sz w:val="17"/>
                <w:szCs w:val="17"/>
              </w:rPr>
            </w:pPr>
            <w:r w:rsidRPr="005E46A7">
              <w:rPr>
                <w:rFonts w:ascii="HelveticaNeue-Light" w:eastAsia="Calibri" w:hAnsi="HelveticaNeue-Light"/>
                <w:b w:val="0"/>
                <w:bCs w:val="0"/>
                <w:sz w:val="17"/>
                <w:szCs w:val="17"/>
              </w:rPr>
              <w:t>Trade name</w:t>
            </w:r>
          </w:p>
        </w:tc>
        <w:tc>
          <w:tcPr>
            <w:tcW w:w="2960" w:type="dxa"/>
            <w:shd w:val="clear" w:color="auto" w:fill="FFF2CC"/>
          </w:tcPr>
          <w:p w14:paraId="3722C8EA" w14:textId="77777777" w:rsidR="00567BF5" w:rsidRPr="005E46A7" w:rsidRDefault="00567BF5" w:rsidP="00567BF5">
            <w:pPr>
              <w:spacing w:before="40" w:after="20"/>
              <w:cnfStyle w:val="100000000000" w:firstRow="1" w:lastRow="0" w:firstColumn="0" w:lastColumn="0" w:oddVBand="0" w:evenVBand="0" w:oddHBand="0" w:evenHBand="0" w:firstRowFirstColumn="0" w:firstRowLastColumn="0" w:lastRowFirstColumn="0" w:lastRowLastColumn="0"/>
              <w:rPr>
                <w:rFonts w:ascii="HelveticaNeue-Light" w:eastAsia="Calibri" w:hAnsi="HelveticaNeue-Light"/>
                <w:b w:val="0"/>
                <w:bCs w:val="0"/>
                <w:sz w:val="17"/>
                <w:szCs w:val="17"/>
              </w:rPr>
            </w:pPr>
            <w:r w:rsidRPr="005E46A7">
              <w:rPr>
                <w:rFonts w:ascii="HelveticaNeue-Light" w:eastAsia="Calibri" w:hAnsi="HelveticaNeue-Light"/>
                <w:b w:val="0"/>
                <w:bCs w:val="0"/>
                <w:sz w:val="17"/>
                <w:szCs w:val="17"/>
              </w:rPr>
              <w:t>Modified trait/s</w:t>
            </w:r>
          </w:p>
        </w:tc>
        <w:tc>
          <w:tcPr>
            <w:tcW w:w="2309" w:type="dxa"/>
            <w:shd w:val="clear" w:color="auto" w:fill="FFF2CC"/>
          </w:tcPr>
          <w:p w14:paraId="4C8292D9" w14:textId="77777777" w:rsidR="00567BF5" w:rsidRPr="005E46A7" w:rsidRDefault="00567BF5" w:rsidP="00567BF5">
            <w:pPr>
              <w:spacing w:before="40" w:after="20"/>
              <w:cnfStyle w:val="100000000000" w:firstRow="1" w:lastRow="0" w:firstColumn="0" w:lastColumn="0" w:oddVBand="0" w:evenVBand="0" w:oddHBand="0" w:evenHBand="0" w:firstRowFirstColumn="0" w:firstRowLastColumn="0" w:lastRowFirstColumn="0" w:lastRowLastColumn="0"/>
              <w:rPr>
                <w:rFonts w:ascii="HelveticaNeue-Light" w:eastAsia="Calibri" w:hAnsi="HelveticaNeue-Light"/>
                <w:b w:val="0"/>
                <w:bCs w:val="0"/>
                <w:sz w:val="17"/>
                <w:szCs w:val="17"/>
              </w:rPr>
            </w:pPr>
            <w:r w:rsidRPr="005E46A7">
              <w:rPr>
                <w:rFonts w:ascii="HelveticaNeue-Light" w:eastAsia="Calibri" w:hAnsi="HelveticaNeue-Light"/>
                <w:b w:val="0"/>
                <w:bCs w:val="0"/>
                <w:sz w:val="17"/>
                <w:szCs w:val="17"/>
              </w:rPr>
              <w:t xml:space="preserve">Licence holder </w:t>
            </w:r>
          </w:p>
        </w:tc>
        <w:tc>
          <w:tcPr>
            <w:tcW w:w="1222" w:type="dxa"/>
            <w:shd w:val="clear" w:color="auto" w:fill="FFF2CC"/>
          </w:tcPr>
          <w:p w14:paraId="48486081" w14:textId="77777777" w:rsidR="00567BF5" w:rsidRPr="005E46A7" w:rsidRDefault="00567BF5" w:rsidP="00567BF5">
            <w:pPr>
              <w:spacing w:before="40" w:after="20"/>
              <w:cnfStyle w:val="100000000000" w:firstRow="1" w:lastRow="0" w:firstColumn="0" w:lastColumn="0" w:oddVBand="0" w:evenVBand="0" w:oddHBand="0" w:evenHBand="0" w:firstRowFirstColumn="0" w:firstRowLastColumn="0" w:lastRowFirstColumn="0" w:lastRowLastColumn="0"/>
              <w:rPr>
                <w:rFonts w:ascii="HelveticaNeue-Light" w:eastAsia="Calibri" w:hAnsi="HelveticaNeue-Light"/>
                <w:b w:val="0"/>
                <w:bCs w:val="0"/>
                <w:sz w:val="17"/>
                <w:szCs w:val="17"/>
              </w:rPr>
            </w:pPr>
            <w:r w:rsidRPr="005E46A7">
              <w:rPr>
                <w:rFonts w:ascii="HelveticaNeue-Light" w:eastAsia="Calibri" w:hAnsi="HelveticaNeue-Light"/>
                <w:b w:val="0"/>
                <w:bCs w:val="0"/>
                <w:sz w:val="17"/>
                <w:szCs w:val="17"/>
              </w:rPr>
              <w:t>Licence issue date</w:t>
            </w:r>
          </w:p>
        </w:tc>
      </w:tr>
      <w:tr w:rsidR="00567BF5" w:rsidRPr="000D46BF" w14:paraId="0C8416D9" w14:textId="77777777" w:rsidTr="0056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C4EA1D8"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2" w:history="1">
              <w:r w:rsidRPr="005E46A7">
                <w:rPr>
                  <w:rFonts w:ascii="HelveticaNeue-Light" w:eastAsia="Calibri" w:hAnsi="HelveticaNeue-Light"/>
                  <w:b w:val="0"/>
                  <w:bCs w:val="0"/>
                  <w:sz w:val="17"/>
                  <w:szCs w:val="17"/>
                  <w:u w:val="single"/>
                </w:rPr>
                <w:t>DIR-190</w:t>
              </w:r>
            </w:hyperlink>
          </w:p>
        </w:tc>
        <w:tc>
          <w:tcPr>
            <w:tcW w:w="1870" w:type="dxa"/>
          </w:tcPr>
          <w:p w14:paraId="3FA380DC"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InVigor</w:t>
            </w:r>
            <w:proofErr w:type="spellEnd"/>
            <w:r w:rsidRPr="005E46A7">
              <w:rPr>
                <w:rFonts w:ascii="HelveticaNeue-Light" w:eastAsia="Calibri" w:hAnsi="HelveticaNeue-Light"/>
                <w:sz w:val="17"/>
                <w:szCs w:val="17"/>
              </w:rPr>
              <w:t>™ canola</w:t>
            </w:r>
          </w:p>
        </w:tc>
        <w:tc>
          <w:tcPr>
            <w:tcW w:w="2960" w:type="dxa"/>
          </w:tcPr>
          <w:p w14:paraId="7E9343E5"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72A0AF6F"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19773049"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13 Oct 2022</w:t>
            </w:r>
          </w:p>
        </w:tc>
      </w:tr>
      <w:tr w:rsidR="00567BF5" w:rsidRPr="000D46BF" w14:paraId="6E1485CC" w14:textId="77777777" w:rsidTr="00567BF5">
        <w:tc>
          <w:tcPr>
            <w:cnfStyle w:val="001000000000" w:firstRow="0" w:lastRow="0" w:firstColumn="1" w:lastColumn="0" w:oddVBand="0" w:evenVBand="0" w:oddHBand="0" w:evenHBand="0" w:firstRowFirstColumn="0" w:firstRowLastColumn="0" w:lastRowFirstColumn="0" w:lastRowLastColumn="0"/>
            <w:tcW w:w="1101" w:type="dxa"/>
          </w:tcPr>
          <w:p w14:paraId="426D2A65"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3" w:history="1">
              <w:r w:rsidRPr="005E46A7">
                <w:rPr>
                  <w:rFonts w:ascii="HelveticaNeue-Light" w:eastAsia="Calibri" w:hAnsi="HelveticaNeue-Light"/>
                  <w:b w:val="0"/>
                  <w:bCs w:val="0"/>
                  <w:sz w:val="17"/>
                  <w:szCs w:val="17"/>
                  <w:u w:val="single"/>
                </w:rPr>
                <w:t>DIR-178</w:t>
              </w:r>
            </w:hyperlink>
          </w:p>
        </w:tc>
        <w:tc>
          <w:tcPr>
            <w:tcW w:w="1870" w:type="dxa"/>
          </w:tcPr>
          <w:p w14:paraId="71003AEE"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w:t>
            </w:r>
          </w:p>
        </w:tc>
        <w:tc>
          <w:tcPr>
            <w:tcW w:w="2960" w:type="dxa"/>
          </w:tcPr>
          <w:p w14:paraId="30E1BF49"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5F74330D"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07D76A45"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16 Sep 2021</w:t>
            </w:r>
          </w:p>
        </w:tc>
      </w:tr>
      <w:tr w:rsidR="00567BF5" w:rsidRPr="000D46BF" w14:paraId="20F123EC" w14:textId="77777777" w:rsidTr="0056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45DCDCF"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4" w:history="1">
              <w:r w:rsidRPr="005E46A7">
                <w:rPr>
                  <w:rFonts w:ascii="HelveticaNeue-Light" w:eastAsia="Calibri" w:hAnsi="HelveticaNeue-Light"/>
                  <w:b w:val="0"/>
                  <w:bCs w:val="0"/>
                  <w:sz w:val="17"/>
                  <w:szCs w:val="17"/>
                  <w:u w:val="single"/>
                </w:rPr>
                <w:t>DIR-175</w:t>
              </w:r>
            </w:hyperlink>
          </w:p>
        </w:tc>
        <w:tc>
          <w:tcPr>
            <w:tcW w:w="1870" w:type="dxa"/>
          </w:tcPr>
          <w:p w14:paraId="3DAD4ADA"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w:t>
            </w:r>
          </w:p>
        </w:tc>
        <w:tc>
          <w:tcPr>
            <w:tcW w:w="2960" w:type="dxa"/>
          </w:tcPr>
          <w:p w14:paraId="3C1D6011"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4DFB41F8"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3B1EA01C"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12 May 2021</w:t>
            </w:r>
          </w:p>
        </w:tc>
      </w:tr>
      <w:tr w:rsidR="00567BF5" w:rsidRPr="000D46BF" w14:paraId="2BF393BB" w14:textId="77777777" w:rsidTr="00567BF5">
        <w:tc>
          <w:tcPr>
            <w:cnfStyle w:val="001000000000" w:firstRow="0" w:lastRow="0" w:firstColumn="1" w:lastColumn="0" w:oddVBand="0" w:evenVBand="0" w:oddHBand="0" w:evenHBand="0" w:firstRowFirstColumn="0" w:firstRowLastColumn="0" w:lastRowFirstColumn="0" w:lastRowLastColumn="0"/>
            <w:tcW w:w="1101" w:type="dxa"/>
          </w:tcPr>
          <w:p w14:paraId="5DFBCEBA"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5" w:history="1">
              <w:r w:rsidRPr="005E46A7">
                <w:rPr>
                  <w:rFonts w:ascii="HelveticaNeue-Light" w:eastAsia="Calibri" w:hAnsi="HelveticaNeue-Light"/>
                  <w:b w:val="0"/>
                  <w:bCs w:val="0"/>
                  <w:sz w:val="17"/>
                  <w:szCs w:val="17"/>
                  <w:u w:val="single"/>
                </w:rPr>
                <w:t>DIR-155</w:t>
              </w:r>
            </w:hyperlink>
          </w:p>
        </w:tc>
        <w:tc>
          <w:tcPr>
            <w:tcW w:w="1870" w:type="dxa"/>
          </w:tcPr>
          <w:p w14:paraId="2036A60A"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DHA canola</w:t>
            </w:r>
          </w:p>
        </w:tc>
        <w:tc>
          <w:tcPr>
            <w:tcW w:w="2960" w:type="dxa"/>
          </w:tcPr>
          <w:p w14:paraId="6B8C99C2"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Omega-3 oil content</w:t>
            </w:r>
          </w:p>
        </w:tc>
        <w:tc>
          <w:tcPr>
            <w:tcW w:w="2309" w:type="dxa"/>
          </w:tcPr>
          <w:p w14:paraId="0BF3964D"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Nuseed</w:t>
            </w:r>
            <w:proofErr w:type="spellEnd"/>
            <w:r w:rsidRPr="005E46A7">
              <w:rPr>
                <w:rFonts w:ascii="HelveticaNeue-Light" w:eastAsia="Calibri" w:hAnsi="HelveticaNeue-Light"/>
                <w:sz w:val="17"/>
                <w:szCs w:val="17"/>
              </w:rPr>
              <w:t xml:space="preserve"> Pty Ltd</w:t>
            </w:r>
          </w:p>
        </w:tc>
        <w:tc>
          <w:tcPr>
            <w:tcW w:w="1222" w:type="dxa"/>
          </w:tcPr>
          <w:p w14:paraId="1AD9ADF7"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13 Feb 2018</w:t>
            </w:r>
          </w:p>
        </w:tc>
      </w:tr>
      <w:tr w:rsidR="00567BF5" w:rsidRPr="000D46BF" w14:paraId="1C25346D" w14:textId="77777777" w:rsidTr="0056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A772CD9"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6" w:history="1">
              <w:r w:rsidRPr="005E46A7">
                <w:rPr>
                  <w:rFonts w:ascii="HelveticaNeue-Light" w:eastAsia="Calibri" w:hAnsi="HelveticaNeue-Light"/>
                  <w:b w:val="0"/>
                  <w:bCs w:val="0"/>
                  <w:sz w:val="17"/>
                  <w:szCs w:val="17"/>
                  <w:u w:val="single"/>
                </w:rPr>
                <w:t>DIR-139</w:t>
              </w:r>
            </w:hyperlink>
          </w:p>
        </w:tc>
        <w:tc>
          <w:tcPr>
            <w:tcW w:w="1870" w:type="dxa"/>
          </w:tcPr>
          <w:p w14:paraId="0900585A"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OptimumTM</w:t>
            </w:r>
            <w:proofErr w:type="spellEnd"/>
            <w:r w:rsidRPr="005E46A7">
              <w:rPr>
                <w:rFonts w:ascii="HelveticaNeue-Light" w:eastAsia="Calibri" w:hAnsi="HelveticaNeue-Light"/>
                <w:sz w:val="17"/>
                <w:szCs w:val="17"/>
              </w:rPr>
              <w:t xml:space="preserve"> GLY canola</w:t>
            </w:r>
          </w:p>
        </w:tc>
        <w:tc>
          <w:tcPr>
            <w:tcW w:w="2960" w:type="dxa"/>
          </w:tcPr>
          <w:p w14:paraId="6D4A2E2A"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w:t>
            </w:r>
          </w:p>
        </w:tc>
        <w:tc>
          <w:tcPr>
            <w:tcW w:w="2309" w:type="dxa"/>
          </w:tcPr>
          <w:p w14:paraId="51D9E74F"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Pioneer Hi-Bred Australia Pty Ltd</w:t>
            </w:r>
          </w:p>
        </w:tc>
        <w:tc>
          <w:tcPr>
            <w:tcW w:w="1222" w:type="dxa"/>
          </w:tcPr>
          <w:p w14:paraId="2F8BAAD3"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29 Mar 2016</w:t>
            </w:r>
          </w:p>
        </w:tc>
      </w:tr>
      <w:tr w:rsidR="00567BF5" w:rsidRPr="000D46BF" w14:paraId="04E1520B" w14:textId="77777777" w:rsidTr="00567BF5">
        <w:tc>
          <w:tcPr>
            <w:cnfStyle w:val="001000000000" w:firstRow="0" w:lastRow="0" w:firstColumn="1" w:lastColumn="0" w:oddVBand="0" w:evenVBand="0" w:oddHBand="0" w:evenHBand="0" w:firstRowFirstColumn="0" w:firstRowLastColumn="0" w:lastRowFirstColumn="0" w:lastRowLastColumn="0"/>
            <w:tcW w:w="1101" w:type="dxa"/>
          </w:tcPr>
          <w:p w14:paraId="5A58EFEB"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7" w:history="1">
              <w:r w:rsidRPr="005E46A7">
                <w:rPr>
                  <w:rFonts w:ascii="HelveticaNeue-Light" w:eastAsia="Calibri" w:hAnsi="HelveticaNeue-Light"/>
                  <w:b w:val="0"/>
                  <w:bCs w:val="0"/>
                  <w:sz w:val="17"/>
                  <w:szCs w:val="17"/>
                  <w:u w:val="single"/>
                </w:rPr>
                <w:t>DIR-138</w:t>
              </w:r>
            </w:hyperlink>
          </w:p>
        </w:tc>
        <w:tc>
          <w:tcPr>
            <w:tcW w:w="1870" w:type="dxa"/>
          </w:tcPr>
          <w:p w14:paraId="20F8FEA9"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InVigor</w:t>
            </w:r>
            <w:proofErr w:type="spellEnd"/>
            <w:r w:rsidRPr="005E46A7">
              <w:rPr>
                <w:rFonts w:ascii="HelveticaNeue-Light" w:eastAsia="Calibri" w:hAnsi="HelveticaNeue-Light"/>
                <w:sz w:val="17"/>
                <w:szCs w:val="17"/>
              </w:rPr>
              <w:t xml:space="preserve">® x </w:t>
            </w:r>
            <w:proofErr w:type="spellStart"/>
            <w:r w:rsidRPr="005E46A7">
              <w:rPr>
                <w:rFonts w:ascii="HelveticaNeue-Light" w:eastAsia="Calibri" w:hAnsi="HelveticaNeue-Light"/>
                <w:sz w:val="17"/>
                <w:szCs w:val="17"/>
              </w:rPr>
              <w:t>TruFlex</w:t>
            </w:r>
            <w:proofErr w:type="spellEnd"/>
            <w:r w:rsidRPr="005E46A7">
              <w:rPr>
                <w:rFonts w:ascii="HelveticaNeue-Light" w:eastAsia="Calibri" w:hAnsi="HelveticaNeue-Light"/>
                <w:sz w:val="17"/>
                <w:szCs w:val="17"/>
              </w:rPr>
              <w:t>™ Roundup Ready® canola</w:t>
            </w:r>
          </w:p>
        </w:tc>
        <w:tc>
          <w:tcPr>
            <w:tcW w:w="2960" w:type="dxa"/>
          </w:tcPr>
          <w:p w14:paraId="0B4E6FA4"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5B1D9CAD"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1A10783C"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22 Mar 2016</w:t>
            </w:r>
          </w:p>
        </w:tc>
      </w:tr>
      <w:tr w:rsidR="00567BF5" w:rsidRPr="000D46BF" w14:paraId="397C4C0B" w14:textId="77777777" w:rsidTr="0056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31524F8"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8" w:history="1">
              <w:r w:rsidRPr="005E46A7">
                <w:rPr>
                  <w:rFonts w:ascii="HelveticaNeue-Light" w:eastAsia="Calibri" w:hAnsi="HelveticaNeue-Light"/>
                  <w:b w:val="0"/>
                  <w:bCs w:val="0"/>
                  <w:sz w:val="17"/>
                  <w:szCs w:val="17"/>
                  <w:u w:val="single"/>
                </w:rPr>
                <w:t>DIR-127</w:t>
              </w:r>
            </w:hyperlink>
          </w:p>
        </w:tc>
        <w:tc>
          <w:tcPr>
            <w:tcW w:w="1870" w:type="dxa"/>
          </w:tcPr>
          <w:p w14:paraId="6D38280A"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TruFlex</w:t>
            </w:r>
            <w:proofErr w:type="spellEnd"/>
            <w:r w:rsidRPr="005E46A7">
              <w:rPr>
                <w:rFonts w:ascii="HelveticaNeue-Light" w:eastAsia="Calibri" w:hAnsi="HelveticaNeue-Light"/>
                <w:sz w:val="17"/>
                <w:szCs w:val="17"/>
              </w:rPr>
              <w:t>™ Roundup Ready® canola (MON 88302)</w:t>
            </w:r>
          </w:p>
        </w:tc>
        <w:tc>
          <w:tcPr>
            <w:tcW w:w="2960" w:type="dxa"/>
          </w:tcPr>
          <w:p w14:paraId="1E6501B2"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w:t>
            </w:r>
          </w:p>
        </w:tc>
        <w:tc>
          <w:tcPr>
            <w:tcW w:w="2309" w:type="dxa"/>
          </w:tcPr>
          <w:p w14:paraId="23FEB919"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Monsanto Australia Ltd</w:t>
            </w:r>
          </w:p>
        </w:tc>
        <w:tc>
          <w:tcPr>
            <w:tcW w:w="1222" w:type="dxa"/>
          </w:tcPr>
          <w:p w14:paraId="7E0FA6BB"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21 Nov 2014</w:t>
            </w:r>
          </w:p>
        </w:tc>
      </w:tr>
      <w:tr w:rsidR="00567BF5" w:rsidRPr="000D46BF" w14:paraId="49C0824B" w14:textId="77777777" w:rsidTr="00567BF5">
        <w:tc>
          <w:tcPr>
            <w:cnfStyle w:val="001000000000" w:firstRow="0" w:lastRow="0" w:firstColumn="1" w:lastColumn="0" w:oddVBand="0" w:evenVBand="0" w:oddHBand="0" w:evenHBand="0" w:firstRowFirstColumn="0" w:firstRowLastColumn="0" w:lastRowFirstColumn="0" w:lastRowLastColumn="0"/>
            <w:tcW w:w="1101" w:type="dxa"/>
          </w:tcPr>
          <w:p w14:paraId="707E226D"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19" w:history="1">
              <w:r w:rsidRPr="005E46A7">
                <w:rPr>
                  <w:rFonts w:ascii="HelveticaNeue-Light" w:eastAsia="Calibri" w:hAnsi="HelveticaNeue-Light"/>
                  <w:b w:val="0"/>
                  <w:bCs w:val="0"/>
                  <w:sz w:val="17"/>
                  <w:szCs w:val="17"/>
                  <w:u w:val="single"/>
                </w:rPr>
                <w:t>DIR-108</w:t>
              </w:r>
            </w:hyperlink>
          </w:p>
        </w:tc>
        <w:tc>
          <w:tcPr>
            <w:tcW w:w="1870" w:type="dxa"/>
          </w:tcPr>
          <w:p w14:paraId="31FBA709"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InVigor</w:t>
            </w:r>
            <w:proofErr w:type="spellEnd"/>
            <w:r w:rsidRPr="005E46A7">
              <w:rPr>
                <w:rFonts w:ascii="HelveticaNeue-Light" w:eastAsia="Calibri" w:hAnsi="HelveticaNeue-Light"/>
                <w:sz w:val="17"/>
                <w:szCs w:val="17"/>
              </w:rPr>
              <w:t>® x Roundup Ready® canola</w:t>
            </w:r>
          </w:p>
        </w:tc>
        <w:tc>
          <w:tcPr>
            <w:tcW w:w="2960" w:type="dxa"/>
          </w:tcPr>
          <w:p w14:paraId="1E43CC6E"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2A06485E"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4E12FEA9"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2 Dec 2011</w:t>
            </w:r>
          </w:p>
        </w:tc>
      </w:tr>
      <w:tr w:rsidR="00567BF5" w:rsidRPr="000D46BF" w14:paraId="154E9F90" w14:textId="77777777" w:rsidTr="0056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9535C79"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20" w:history="1">
              <w:r w:rsidRPr="005E46A7">
                <w:rPr>
                  <w:rFonts w:ascii="HelveticaNeue-Light" w:eastAsia="Calibri" w:hAnsi="HelveticaNeue-Light"/>
                  <w:b w:val="0"/>
                  <w:bCs w:val="0"/>
                  <w:sz w:val="17"/>
                  <w:szCs w:val="17"/>
                  <w:u w:val="single"/>
                </w:rPr>
                <w:t>DIR 021/2002</w:t>
              </w:r>
            </w:hyperlink>
          </w:p>
        </w:tc>
        <w:tc>
          <w:tcPr>
            <w:tcW w:w="1870" w:type="dxa"/>
          </w:tcPr>
          <w:p w14:paraId="0E0F7703"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proofErr w:type="spellStart"/>
            <w:r w:rsidRPr="005E46A7">
              <w:rPr>
                <w:rFonts w:ascii="HelveticaNeue-Light" w:eastAsia="Calibri" w:hAnsi="HelveticaNeue-Light"/>
                <w:sz w:val="17"/>
                <w:szCs w:val="17"/>
              </w:rPr>
              <w:t>InVigor</w:t>
            </w:r>
            <w:proofErr w:type="spellEnd"/>
            <w:r w:rsidRPr="005E46A7">
              <w:rPr>
                <w:rFonts w:ascii="HelveticaNeue-Light" w:eastAsia="Calibri" w:hAnsi="HelveticaNeue-Light"/>
                <w:sz w:val="17"/>
                <w:szCs w:val="17"/>
              </w:rPr>
              <w:t>® canola</w:t>
            </w:r>
          </w:p>
        </w:tc>
        <w:tc>
          <w:tcPr>
            <w:tcW w:w="2960" w:type="dxa"/>
          </w:tcPr>
          <w:p w14:paraId="025554AF"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 hybrid breeding system</w:t>
            </w:r>
          </w:p>
        </w:tc>
        <w:tc>
          <w:tcPr>
            <w:tcW w:w="2309" w:type="dxa"/>
          </w:tcPr>
          <w:p w14:paraId="1E9E5F98"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BASF Australia Ltd</w:t>
            </w:r>
          </w:p>
        </w:tc>
        <w:tc>
          <w:tcPr>
            <w:tcW w:w="1222" w:type="dxa"/>
          </w:tcPr>
          <w:p w14:paraId="3CC60F88" w14:textId="77777777" w:rsidR="00567BF5" w:rsidRPr="005E46A7" w:rsidRDefault="00567BF5" w:rsidP="00567BF5">
            <w:pPr>
              <w:spacing w:before="40" w:after="20"/>
              <w:cnfStyle w:val="000000100000" w:firstRow="0" w:lastRow="0" w:firstColumn="0" w:lastColumn="0" w:oddVBand="0" w:evenVBand="0" w:oddHBand="1"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25 Jul 2003</w:t>
            </w:r>
          </w:p>
        </w:tc>
      </w:tr>
      <w:tr w:rsidR="00567BF5" w:rsidRPr="000D46BF" w14:paraId="2CED1E20" w14:textId="77777777" w:rsidTr="00567BF5">
        <w:tc>
          <w:tcPr>
            <w:cnfStyle w:val="001000000000" w:firstRow="0" w:lastRow="0" w:firstColumn="1" w:lastColumn="0" w:oddVBand="0" w:evenVBand="0" w:oddHBand="0" w:evenHBand="0" w:firstRowFirstColumn="0" w:firstRowLastColumn="0" w:lastRowFirstColumn="0" w:lastRowLastColumn="0"/>
            <w:tcW w:w="1101" w:type="dxa"/>
          </w:tcPr>
          <w:p w14:paraId="044C11E9" w14:textId="77777777" w:rsidR="00567BF5" w:rsidRPr="005E46A7" w:rsidRDefault="00567BF5" w:rsidP="00567BF5">
            <w:pPr>
              <w:spacing w:before="40" w:after="20"/>
              <w:rPr>
                <w:rFonts w:ascii="HelveticaNeue-Light" w:eastAsia="Calibri" w:hAnsi="HelveticaNeue-Light"/>
                <w:b w:val="0"/>
                <w:bCs w:val="0"/>
                <w:sz w:val="17"/>
                <w:szCs w:val="17"/>
                <w:u w:val="single"/>
              </w:rPr>
            </w:pPr>
            <w:hyperlink r:id="rId21" w:history="1">
              <w:r w:rsidRPr="005E46A7">
                <w:rPr>
                  <w:rFonts w:ascii="HelveticaNeue-Light" w:eastAsia="Calibri" w:hAnsi="HelveticaNeue-Light"/>
                  <w:b w:val="0"/>
                  <w:bCs w:val="0"/>
                  <w:sz w:val="17"/>
                  <w:szCs w:val="17"/>
                  <w:u w:val="single"/>
                </w:rPr>
                <w:t>DIR 020/2002</w:t>
              </w:r>
            </w:hyperlink>
          </w:p>
        </w:tc>
        <w:tc>
          <w:tcPr>
            <w:tcW w:w="1870" w:type="dxa"/>
          </w:tcPr>
          <w:p w14:paraId="7557CCC4"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Roundup Ready® canola</w:t>
            </w:r>
          </w:p>
        </w:tc>
        <w:tc>
          <w:tcPr>
            <w:tcW w:w="2960" w:type="dxa"/>
          </w:tcPr>
          <w:p w14:paraId="44577317"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Herbicide tolerance</w:t>
            </w:r>
          </w:p>
        </w:tc>
        <w:tc>
          <w:tcPr>
            <w:tcW w:w="2309" w:type="dxa"/>
          </w:tcPr>
          <w:p w14:paraId="69E704CE"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Monsanto Australia Ltd</w:t>
            </w:r>
          </w:p>
        </w:tc>
        <w:tc>
          <w:tcPr>
            <w:tcW w:w="1222" w:type="dxa"/>
          </w:tcPr>
          <w:p w14:paraId="5EB04FAA" w14:textId="77777777" w:rsidR="00567BF5" w:rsidRPr="005E46A7" w:rsidRDefault="00567BF5" w:rsidP="00567BF5">
            <w:pPr>
              <w:spacing w:before="40" w:after="20"/>
              <w:cnfStyle w:val="000000000000" w:firstRow="0" w:lastRow="0" w:firstColumn="0" w:lastColumn="0" w:oddVBand="0" w:evenVBand="0" w:oddHBand="0" w:evenHBand="0" w:firstRowFirstColumn="0" w:firstRowLastColumn="0" w:lastRowFirstColumn="0" w:lastRowLastColumn="0"/>
              <w:rPr>
                <w:rFonts w:ascii="HelveticaNeue-Light" w:eastAsia="Calibri" w:hAnsi="HelveticaNeue-Light"/>
                <w:sz w:val="17"/>
                <w:szCs w:val="17"/>
              </w:rPr>
            </w:pPr>
            <w:r w:rsidRPr="005E46A7">
              <w:rPr>
                <w:rFonts w:ascii="HelveticaNeue-Light" w:eastAsia="Calibri" w:hAnsi="HelveticaNeue-Light"/>
                <w:sz w:val="17"/>
                <w:szCs w:val="17"/>
              </w:rPr>
              <w:t>19 Dec 2003</w:t>
            </w:r>
          </w:p>
        </w:tc>
      </w:tr>
    </w:tbl>
    <w:p w14:paraId="7CDB676A" w14:textId="77777777" w:rsidR="00567BF5" w:rsidRPr="005E46A7" w:rsidRDefault="00567BF5" w:rsidP="00567BF5">
      <w:pPr>
        <w:rPr>
          <w:rFonts w:ascii="Candara" w:hAnsi="Candara"/>
          <w:b/>
          <w:bCs/>
          <w:color w:val="000000" w:themeColor="text1"/>
          <w:sz w:val="6"/>
          <w:szCs w:val="6"/>
        </w:rPr>
      </w:pPr>
    </w:p>
    <w:p w14:paraId="60CFDF50" w14:textId="53911324" w:rsidR="00567BF5" w:rsidRDefault="00567BF5" w:rsidP="000D46BF">
      <w:pPr>
        <w:keepNext/>
        <w:spacing w:after="120"/>
        <w:rPr>
          <w:rFonts w:asciiTheme="majorHAnsi" w:hAnsiTheme="majorHAnsi"/>
          <w:b/>
          <w:bCs/>
          <w:color w:val="989800"/>
          <w:sz w:val="32"/>
          <w:szCs w:val="32"/>
        </w:rPr>
      </w:pPr>
      <w:r w:rsidRPr="00567BF5">
        <w:rPr>
          <w:rFonts w:asciiTheme="majorHAnsi" w:hAnsiTheme="majorHAnsi"/>
          <w:b/>
          <w:bCs/>
          <w:color w:val="989800"/>
          <w:sz w:val="32"/>
          <w:szCs w:val="32"/>
        </w:rPr>
        <w:t>Ongoing oversight by the Regulator</w:t>
      </w:r>
    </w:p>
    <w:p w14:paraId="5AED6B45" w14:textId="11260D5F"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The OGTR monitors scientific and other literature for any new information relevant to GM crops and evaluates that information in relation to existing licences. The Regulator also maintains oversight of commercially grown GM canola, to ensure it remains safe.</w:t>
      </w:r>
    </w:p>
    <w:p w14:paraId="61391AFE" w14:textId="2F5B8669"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If something changes, and a GM crop can no longer be considered safe, the Regulator has the power to revoke existing licences to grow the crop. To date, no information has arisen in Australia or internationally to indicate that GM canola commercially grown in Australia is no longer safe, or that licences issued since 2003 should be suspended.</w:t>
      </w:r>
    </w:p>
    <w:p w14:paraId="54FC1066" w14:textId="22E4CF58"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 xml:space="preserve">You can read the risk assessment and risk management plan for each application and other details of the licences. These documents are available on the </w:t>
      </w:r>
      <w:hyperlink r:id="rId22" w:history="1">
        <w:r w:rsidRPr="000D46BF">
          <w:rPr>
            <w:rFonts w:ascii="HelveticaNeue-Light" w:hAnsi="HelveticaNeue-Light"/>
            <w:sz w:val="18"/>
            <w:szCs w:val="18"/>
          </w:rPr>
          <w:t>GMO Record</w:t>
        </w:r>
      </w:hyperlink>
      <w:r w:rsidRPr="000D46BF">
        <w:rPr>
          <w:rFonts w:ascii="HelveticaNeue-Light" w:hAnsi="HelveticaNeue-Light"/>
          <w:sz w:val="18"/>
          <w:szCs w:val="18"/>
        </w:rPr>
        <w:t>.</w:t>
      </w:r>
    </w:p>
    <w:p w14:paraId="17CF9CF0" w14:textId="5CE676EA" w:rsidR="00567BF5" w:rsidRPr="00567BF5" w:rsidRDefault="005E46A7" w:rsidP="000D46BF">
      <w:pPr>
        <w:spacing w:after="120"/>
        <w:rPr>
          <w:rFonts w:ascii="HelveticaNeue-Light" w:hAnsi="HelveticaNeue-Light"/>
          <w:sz w:val="17"/>
          <w:szCs w:val="17"/>
        </w:rPr>
      </w:pPr>
      <w:r w:rsidRPr="000D46BF">
        <w:rPr>
          <w:rFonts w:ascii="HelveticaNeue-Light" w:hAnsi="HelveticaNeue-Light"/>
          <w:noProof/>
          <w:sz w:val="18"/>
          <w:szCs w:val="18"/>
        </w:rPr>
        <w:drawing>
          <wp:anchor distT="0" distB="0" distL="114300" distR="114300" simplePos="0" relativeHeight="251662336" behindDoc="1" locked="0" layoutInCell="1" allowOverlap="1" wp14:anchorId="0B6F84C5" wp14:editId="73C9A727">
            <wp:simplePos x="0" y="0"/>
            <wp:positionH relativeFrom="margin">
              <wp:posOffset>-9525</wp:posOffset>
            </wp:positionH>
            <wp:positionV relativeFrom="paragraph">
              <wp:posOffset>334645</wp:posOffset>
            </wp:positionV>
            <wp:extent cx="1943100" cy="1285875"/>
            <wp:effectExtent l="0" t="0" r="0" b="9525"/>
            <wp:wrapTight wrapText="bothSides">
              <wp:wrapPolygon edited="0">
                <wp:start x="0" y="0"/>
                <wp:lineTo x="0" y="21440"/>
                <wp:lineTo x="21388" y="21440"/>
                <wp:lineTo x="21388" y="0"/>
                <wp:lineTo x="0" y="0"/>
              </wp:wrapPolygon>
            </wp:wrapTight>
            <wp:docPr id="814381422" name="Picture 1" descr="A yellow rectangular sign with black text statng that State and territory rules only relate to issues of market access and not to safety of human health or the environ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81422" name="Picture 1" descr="A yellow rectangular sign with black text statng that State and territory rules only relate to issues of market access and not to safety of human health or the environment.&#10;&#10;"/>
                    <pic:cNvPicPr/>
                  </pic:nvPicPr>
                  <pic:blipFill>
                    <a:blip r:embed="rId23">
                      <a:extLst>
                        <a:ext uri="{28A0092B-C50C-407E-A947-70E740481C1C}">
                          <a14:useLocalDpi xmlns:a14="http://schemas.microsoft.com/office/drawing/2010/main" val="0"/>
                        </a:ext>
                      </a:extLst>
                    </a:blip>
                    <a:stretch>
                      <a:fillRect/>
                    </a:stretch>
                  </pic:blipFill>
                  <pic:spPr>
                    <a:xfrm>
                      <a:off x="0" y="0"/>
                      <a:ext cx="1943100" cy="1285875"/>
                    </a:xfrm>
                    <a:prstGeom prst="rect">
                      <a:avLst/>
                    </a:prstGeom>
                  </pic:spPr>
                </pic:pic>
              </a:graphicData>
            </a:graphic>
            <wp14:sizeRelH relativeFrom="page">
              <wp14:pctWidth>0</wp14:pctWidth>
            </wp14:sizeRelH>
            <wp14:sizeRelV relativeFrom="page">
              <wp14:pctHeight>0</wp14:pctHeight>
            </wp14:sizeRelV>
          </wp:anchor>
        </w:drawing>
      </w:r>
      <w:r w:rsidR="00567BF5" w:rsidRPr="00567BF5">
        <w:rPr>
          <w:rFonts w:asciiTheme="majorHAnsi" w:hAnsiTheme="majorHAnsi"/>
          <w:b/>
          <w:bCs/>
          <w:color w:val="989800"/>
          <w:sz w:val="32"/>
          <w:szCs w:val="32"/>
        </w:rPr>
        <w:t>Restrictions on cultivation of GM canola</w:t>
      </w:r>
    </w:p>
    <w:p w14:paraId="0B861373" w14:textId="1B17034E"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Each state and territory may ban cultivation of GM crops temporarily or indefinitely for trade or marketing reasons on a case</w:t>
      </w:r>
      <w:r w:rsidRPr="000D46BF">
        <w:rPr>
          <w:rFonts w:ascii="HelveticaNeue-Light" w:hAnsi="HelveticaNeue-Light"/>
          <w:sz w:val="18"/>
          <w:szCs w:val="18"/>
        </w:rPr>
        <w:noBreakHyphen/>
        <w:t>by-case basis.</w:t>
      </w:r>
    </w:p>
    <w:p w14:paraId="31A4E9E3" w14:textId="77777777"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GM canola is grown in many states in Australia. Canola is generally not grown in the Northern Territory. The Australian Capital Territory, South Australia and Tasmanian governments have a range    of restrictions.</w:t>
      </w:r>
    </w:p>
    <w:p w14:paraId="1EAD6B67" w14:textId="77777777" w:rsidR="00567BF5" w:rsidRPr="000D46BF" w:rsidRDefault="00567BF5" w:rsidP="00567BF5">
      <w:pPr>
        <w:rPr>
          <w:rFonts w:ascii="HelveticaNeue-Light" w:hAnsi="HelveticaNeue-Light"/>
          <w:sz w:val="18"/>
          <w:szCs w:val="18"/>
        </w:rPr>
      </w:pPr>
      <w:r w:rsidRPr="000D46BF">
        <w:rPr>
          <w:rFonts w:ascii="HelveticaNeue-Light" w:hAnsi="HelveticaNeue-Light"/>
          <w:sz w:val="18"/>
          <w:szCs w:val="18"/>
        </w:rPr>
        <w:t>After the Regulator approved GM canola commercial releases in 2003, most states and territories passed laws to delay the commercial release of GM crops (including GM canola), allowing them to investigate issues such as marketability and trade before the first commercial plantings of GM canola.</w:t>
      </w:r>
    </w:p>
    <w:p w14:paraId="5BF01679" w14:textId="2E1EA4AB" w:rsidR="00567BF5" w:rsidRPr="000D46BF" w:rsidRDefault="00567BF5" w:rsidP="00567BF5">
      <w:pPr>
        <w:rPr>
          <w:rFonts w:ascii="HelveticaNeue-Light" w:hAnsi="HelveticaNeue-Light"/>
          <w:color w:val="000000" w:themeColor="text1"/>
          <w:sz w:val="18"/>
          <w:szCs w:val="18"/>
        </w:rPr>
      </w:pPr>
      <w:bookmarkStart w:id="1" w:name="_Hlk214447720"/>
      <w:r w:rsidRPr="000D46BF">
        <w:rPr>
          <w:rFonts w:ascii="HelveticaNeue-Light" w:hAnsi="HelveticaNeue-Light"/>
          <w:color w:val="000000" w:themeColor="text1"/>
          <w:sz w:val="18"/>
          <w:szCs w:val="18"/>
        </w:rPr>
        <w:t>Some states and territories have since allowed GM crops such as canola, while some moratoria (bans) remain in place.</w:t>
      </w:r>
      <w:r w:rsidRPr="000D46BF">
        <w:rPr>
          <w:noProof/>
          <w:sz w:val="18"/>
          <w:szCs w:val="18"/>
        </w:rPr>
        <w:t xml:space="preserve"> </w:t>
      </w:r>
    </w:p>
    <w:p w14:paraId="249B1599" w14:textId="374E469F" w:rsidR="00567BF5" w:rsidRPr="000D46BF" w:rsidRDefault="005E46A7" w:rsidP="00567BF5">
      <w:pPr>
        <w:rPr>
          <w:rFonts w:ascii="HelveticaNeue-Light" w:hAnsi="HelveticaNeue-Light"/>
          <w:color w:val="000000" w:themeColor="text1"/>
          <w:sz w:val="18"/>
          <w:szCs w:val="18"/>
        </w:rPr>
      </w:pPr>
      <w:r w:rsidRPr="000D46BF">
        <w:rPr>
          <w:rFonts w:ascii="HelveticaNeue-Light" w:hAnsi="HelveticaNeue-Light"/>
          <w:noProof/>
          <w:color w:val="000000" w:themeColor="text1"/>
          <w:sz w:val="18"/>
          <w:szCs w:val="18"/>
        </w:rPr>
        <w:drawing>
          <wp:anchor distT="0" distB="0" distL="114300" distR="114300" simplePos="0" relativeHeight="251663360" behindDoc="1" locked="0" layoutInCell="1" allowOverlap="1" wp14:anchorId="0016E63F" wp14:editId="2A02D6A9">
            <wp:simplePos x="0" y="0"/>
            <wp:positionH relativeFrom="margin">
              <wp:posOffset>4645660</wp:posOffset>
            </wp:positionH>
            <wp:positionV relativeFrom="paragraph">
              <wp:posOffset>242570</wp:posOffset>
            </wp:positionV>
            <wp:extent cx="1998980" cy="1352550"/>
            <wp:effectExtent l="0" t="0" r="1270" b="0"/>
            <wp:wrapTight wrapText="bothSides">
              <wp:wrapPolygon edited="0">
                <wp:start x="0" y="0"/>
                <wp:lineTo x="0" y="21296"/>
                <wp:lineTo x="21408" y="21296"/>
                <wp:lineTo x="21408" y="0"/>
                <wp:lineTo x="0" y="0"/>
              </wp:wrapPolygon>
            </wp:wrapTight>
            <wp:docPr id="1994749020" name="Picture 1" descr="Blus sky over rows of yellow can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49020" name="Picture 1" descr="Blus sky over rows of yellow canola"/>
                    <pic:cNvPicPr/>
                  </pic:nvPicPr>
                  <pic:blipFill>
                    <a:blip r:embed="rId24">
                      <a:extLst>
                        <a:ext uri="{28A0092B-C50C-407E-A947-70E740481C1C}">
                          <a14:useLocalDpi xmlns:a14="http://schemas.microsoft.com/office/drawing/2010/main" val="0"/>
                        </a:ext>
                      </a:extLst>
                    </a:blip>
                    <a:stretch>
                      <a:fillRect/>
                    </a:stretch>
                  </pic:blipFill>
                  <pic:spPr>
                    <a:xfrm>
                      <a:off x="0" y="0"/>
                      <a:ext cx="1998980" cy="1352550"/>
                    </a:xfrm>
                    <a:prstGeom prst="rect">
                      <a:avLst/>
                    </a:prstGeom>
                  </pic:spPr>
                </pic:pic>
              </a:graphicData>
            </a:graphic>
            <wp14:sizeRelH relativeFrom="page">
              <wp14:pctWidth>0</wp14:pctWidth>
            </wp14:sizeRelH>
            <wp14:sizeRelV relativeFrom="page">
              <wp14:pctHeight>0</wp14:pctHeight>
            </wp14:sizeRelV>
          </wp:anchor>
        </w:drawing>
      </w:r>
      <w:r w:rsidR="00567BF5" w:rsidRPr="000D46BF">
        <w:rPr>
          <w:rFonts w:ascii="HelveticaNeue-Light" w:hAnsi="HelveticaNeue-Light"/>
          <w:color w:val="000000" w:themeColor="text1"/>
          <w:sz w:val="18"/>
          <w:szCs w:val="18"/>
        </w:rPr>
        <w:t xml:space="preserve">The </w:t>
      </w:r>
      <w:hyperlink r:id="rId25" w:history="1">
        <w:r w:rsidR="00567BF5" w:rsidRPr="000D46BF">
          <w:rPr>
            <w:rStyle w:val="Hyperlink"/>
            <w:rFonts w:ascii="HelveticaNeue-Light" w:hAnsi="HelveticaNeue-Light"/>
            <w:b/>
            <w:bCs/>
            <w:color w:val="000000" w:themeColor="text1"/>
            <w:sz w:val="18"/>
            <w:szCs w:val="18"/>
          </w:rPr>
          <w:t>Australian Capital Territory</w:t>
        </w:r>
      </w:hyperlink>
      <w:r w:rsidR="00567BF5" w:rsidRPr="000D46BF">
        <w:rPr>
          <w:rFonts w:ascii="HelveticaNeue-Light" w:hAnsi="HelveticaNeue-Light"/>
          <w:color w:val="000000" w:themeColor="text1"/>
          <w:sz w:val="18"/>
          <w:szCs w:val="18"/>
        </w:rPr>
        <w:t>’s moratorium remains in force.</w:t>
      </w:r>
    </w:p>
    <w:p w14:paraId="6C9848CD" w14:textId="450DA3B6" w:rsidR="00567BF5" w:rsidRPr="000D46BF" w:rsidRDefault="00567BF5" w:rsidP="00567BF5">
      <w:pPr>
        <w:rPr>
          <w:rFonts w:ascii="HelveticaNeue-Light" w:hAnsi="HelveticaNeue-Light"/>
          <w:color w:val="000000" w:themeColor="text1"/>
          <w:sz w:val="18"/>
          <w:szCs w:val="18"/>
        </w:rPr>
      </w:pPr>
      <w:hyperlink r:id="rId26" w:history="1">
        <w:r w:rsidRPr="000D46BF">
          <w:rPr>
            <w:rStyle w:val="Hyperlink"/>
            <w:rFonts w:ascii="HelveticaNeue-Light" w:hAnsi="HelveticaNeue-Light"/>
            <w:b/>
            <w:bCs/>
            <w:color w:val="000000" w:themeColor="text1"/>
            <w:sz w:val="18"/>
            <w:szCs w:val="18"/>
          </w:rPr>
          <w:t>New South Wales</w:t>
        </w:r>
      </w:hyperlink>
      <w:r w:rsidRPr="000D46BF">
        <w:rPr>
          <w:rFonts w:ascii="HelveticaNeue-Light" w:hAnsi="HelveticaNeue-Light"/>
          <w:color w:val="000000" w:themeColor="text1"/>
          <w:sz w:val="18"/>
          <w:szCs w:val="18"/>
        </w:rPr>
        <w:t xml:space="preserve"> allowed its moratorium on commercial cultivation of GM food crops to lapse at the end of June 2021. GM canola restrictions were lifted prior to this in 2008.</w:t>
      </w:r>
    </w:p>
    <w:p w14:paraId="292DBF7C" w14:textId="77777777" w:rsidR="00567BF5" w:rsidRPr="000D46BF" w:rsidRDefault="00567BF5" w:rsidP="00567BF5">
      <w:pPr>
        <w:rPr>
          <w:rFonts w:ascii="HelveticaNeue-Light" w:hAnsi="HelveticaNeue-Light"/>
          <w:color w:val="000000" w:themeColor="text1"/>
          <w:sz w:val="18"/>
          <w:szCs w:val="18"/>
        </w:rPr>
      </w:pPr>
      <w:r w:rsidRPr="000D46BF">
        <w:rPr>
          <w:rFonts w:ascii="HelveticaNeue-Light" w:hAnsi="HelveticaNeue-Light"/>
          <w:color w:val="000000" w:themeColor="text1"/>
          <w:sz w:val="18"/>
          <w:szCs w:val="18"/>
        </w:rPr>
        <w:t xml:space="preserve">The </w:t>
      </w:r>
      <w:r w:rsidRPr="000D46BF">
        <w:rPr>
          <w:rFonts w:ascii="HelveticaNeue-Light" w:hAnsi="HelveticaNeue-Light"/>
          <w:b/>
          <w:bCs/>
          <w:color w:val="000000" w:themeColor="text1"/>
          <w:sz w:val="18"/>
          <w:szCs w:val="18"/>
        </w:rPr>
        <w:t>Northern Territory</w:t>
      </w:r>
      <w:r w:rsidRPr="000D46BF">
        <w:rPr>
          <w:rFonts w:ascii="HelveticaNeue-Light" w:hAnsi="HelveticaNeue-Light"/>
          <w:color w:val="000000" w:themeColor="text1"/>
          <w:sz w:val="18"/>
          <w:szCs w:val="18"/>
        </w:rPr>
        <w:t xml:space="preserve"> allows GM canola to be grown. Canola is currently not cultivated.</w:t>
      </w:r>
    </w:p>
    <w:p w14:paraId="5B17B7CF" w14:textId="77777777" w:rsidR="00567BF5" w:rsidRPr="000D46BF" w:rsidRDefault="00567BF5" w:rsidP="00567BF5">
      <w:pPr>
        <w:rPr>
          <w:rFonts w:ascii="HelveticaNeue-Light" w:hAnsi="HelveticaNeue-Light"/>
          <w:color w:val="000000" w:themeColor="text1"/>
          <w:sz w:val="18"/>
          <w:szCs w:val="18"/>
        </w:rPr>
      </w:pPr>
      <w:r w:rsidRPr="000D46BF">
        <w:rPr>
          <w:rFonts w:ascii="HelveticaNeue-Light" w:hAnsi="HelveticaNeue-Light"/>
          <w:b/>
          <w:bCs/>
          <w:color w:val="000000" w:themeColor="text1"/>
          <w:sz w:val="18"/>
          <w:szCs w:val="18"/>
        </w:rPr>
        <w:t>Queensland</w:t>
      </w:r>
      <w:r w:rsidRPr="000D46BF">
        <w:rPr>
          <w:rFonts w:ascii="HelveticaNeue-Light" w:hAnsi="HelveticaNeue-Light"/>
          <w:color w:val="000000" w:themeColor="text1"/>
          <w:sz w:val="18"/>
          <w:szCs w:val="18"/>
        </w:rPr>
        <w:t xml:space="preserve"> has allowed GM canola to be commercially cultivated since 2003.</w:t>
      </w:r>
    </w:p>
    <w:p w14:paraId="37F37025" w14:textId="77777777" w:rsidR="00567BF5" w:rsidRPr="000D46BF" w:rsidRDefault="00567BF5" w:rsidP="00567BF5">
      <w:pPr>
        <w:rPr>
          <w:rFonts w:ascii="HelveticaNeue-Light" w:hAnsi="HelveticaNeue-Light"/>
          <w:color w:val="000000" w:themeColor="text1"/>
          <w:sz w:val="18"/>
          <w:szCs w:val="18"/>
        </w:rPr>
      </w:pPr>
      <w:r w:rsidRPr="000D46BF">
        <w:rPr>
          <w:rFonts w:ascii="HelveticaNeue-Light" w:hAnsi="HelveticaNeue-Light"/>
          <w:sz w:val="18"/>
          <w:szCs w:val="18"/>
        </w:rPr>
        <w:t xml:space="preserve">In late 2020, </w:t>
      </w:r>
      <w:hyperlink r:id="rId27" w:history="1">
        <w:r w:rsidRPr="000D46BF">
          <w:rPr>
            <w:rStyle w:val="Hyperlink"/>
            <w:rFonts w:ascii="HelveticaNeue-Light" w:hAnsi="HelveticaNeue-Light"/>
            <w:b/>
            <w:bCs/>
            <w:color w:val="000000" w:themeColor="text1"/>
            <w:sz w:val="18"/>
            <w:szCs w:val="18"/>
          </w:rPr>
          <w:t>South Australia</w:t>
        </w:r>
      </w:hyperlink>
      <w:r w:rsidRPr="000D46BF">
        <w:rPr>
          <w:rFonts w:ascii="HelveticaNeue-Light" w:hAnsi="HelveticaNeue-Light"/>
          <w:color w:val="000000" w:themeColor="text1"/>
          <w:sz w:val="18"/>
          <w:szCs w:val="18"/>
        </w:rPr>
        <w:t xml:space="preserve"> has allowed commercial cultivation of GM canola in all areas except Kangaroo Island.</w:t>
      </w:r>
    </w:p>
    <w:p w14:paraId="1121FD28" w14:textId="77777777" w:rsidR="00567BF5" w:rsidRPr="000D46BF" w:rsidRDefault="00567BF5" w:rsidP="00567BF5">
      <w:pPr>
        <w:rPr>
          <w:rFonts w:ascii="HelveticaNeue-Light" w:hAnsi="HelveticaNeue-Light"/>
          <w:color w:val="000000" w:themeColor="text1"/>
          <w:sz w:val="18"/>
          <w:szCs w:val="18"/>
        </w:rPr>
      </w:pPr>
      <w:hyperlink r:id="rId28" w:history="1">
        <w:r w:rsidRPr="000D46BF">
          <w:rPr>
            <w:rStyle w:val="Hyperlink"/>
            <w:rFonts w:ascii="HelveticaNeue-Light" w:hAnsi="HelveticaNeue-Light"/>
            <w:b/>
            <w:bCs/>
            <w:color w:val="000000" w:themeColor="text1"/>
            <w:sz w:val="18"/>
            <w:szCs w:val="18"/>
          </w:rPr>
          <w:t>Tasmania</w:t>
        </w:r>
      </w:hyperlink>
      <w:r w:rsidRPr="000D46BF">
        <w:rPr>
          <w:rFonts w:ascii="HelveticaNeue-Light" w:hAnsi="HelveticaNeue-Light"/>
          <w:color w:val="000000" w:themeColor="text1"/>
          <w:sz w:val="18"/>
          <w:szCs w:val="18"/>
        </w:rPr>
        <w:t xml:space="preserve"> has extended its GM crop and animal moratorium until </w:t>
      </w:r>
      <w:hyperlink r:id="rId29" w:history="1">
        <w:r w:rsidRPr="000D46BF">
          <w:rPr>
            <w:rStyle w:val="Hyperlink"/>
            <w:rFonts w:ascii="HelveticaNeue-Light" w:hAnsi="HelveticaNeue-Light"/>
            <w:color w:val="000000" w:themeColor="text1"/>
            <w:sz w:val="18"/>
            <w:szCs w:val="18"/>
          </w:rPr>
          <w:t>2029</w:t>
        </w:r>
      </w:hyperlink>
      <w:r w:rsidRPr="000D46BF">
        <w:rPr>
          <w:rFonts w:ascii="HelveticaNeue-Light" w:hAnsi="HelveticaNeue-Light"/>
          <w:color w:val="000000" w:themeColor="text1"/>
          <w:sz w:val="18"/>
          <w:szCs w:val="18"/>
        </w:rPr>
        <w:t>.</w:t>
      </w:r>
    </w:p>
    <w:p w14:paraId="5FF9A678" w14:textId="77777777" w:rsidR="00567BF5" w:rsidRPr="000D46BF" w:rsidRDefault="00567BF5" w:rsidP="00567BF5">
      <w:pPr>
        <w:rPr>
          <w:rFonts w:ascii="HelveticaNeue-Light" w:hAnsi="HelveticaNeue-Light"/>
          <w:color w:val="000000" w:themeColor="text1"/>
          <w:sz w:val="18"/>
          <w:szCs w:val="18"/>
        </w:rPr>
      </w:pPr>
      <w:r w:rsidRPr="000D46BF">
        <w:rPr>
          <w:rFonts w:ascii="HelveticaNeue-Light" w:hAnsi="HelveticaNeue-Light"/>
          <w:b/>
          <w:bCs/>
          <w:color w:val="000000" w:themeColor="text1"/>
          <w:sz w:val="18"/>
          <w:szCs w:val="18"/>
        </w:rPr>
        <w:t>Victoria</w:t>
      </w:r>
      <w:r w:rsidRPr="000D46BF">
        <w:rPr>
          <w:rFonts w:ascii="HelveticaNeue-Light" w:hAnsi="HelveticaNeue-Light"/>
          <w:color w:val="000000" w:themeColor="text1"/>
          <w:sz w:val="18"/>
          <w:szCs w:val="18"/>
        </w:rPr>
        <w:t xml:space="preserve"> allowed its moratorium order on commercial production of GM canola to lapse in 2008.</w:t>
      </w:r>
    </w:p>
    <w:p w14:paraId="0774399E" w14:textId="77777777" w:rsidR="00567BF5" w:rsidRPr="000D46BF" w:rsidRDefault="00567BF5" w:rsidP="00567BF5">
      <w:pPr>
        <w:rPr>
          <w:rFonts w:ascii="HelveticaNeue-Light" w:hAnsi="HelveticaNeue-Light"/>
          <w:color w:val="000000" w:themeColor="text1"/>
          <w:sz w:val="18"/>
          <w:szCs w:val="18"/>
        </w:rPr>
      </w:pPr>
      <w:r w:rsidRPr="000D46BF">
        <w:rPr>
          <w:rFonts w:ascii="HelveticaNeue-Light" w:hAnsi="HelveticaNeue-Light"/>
          <w:b/>
          <w:bCs/>
          <w:color w:val="000000" w:themeColor="text1"/>
          <w:sz w:val="18"/>
          <w:szCs w:val="18"/>
        </w:rPr>
        <w:t>Western Australia</w:t>
      </w:r>
      <w:r w:rsidRPr="000D46BF">
        <w:rPr>
          <w:rFonts w:ascii="HelveticaNeue-Light" w:hAnsi="HelveticaNeue-Light"/>
          <w:color w:val="000000" w:themeColor="text1"/>
          <w:sz w:val="18"/>
          <w:szCs w:val="18"/>
        </w:rPr>
        <w:t xml:space="preserve"> granted an exemption in 2010 allowing commercial cultivation of GM canola and revoked its moratorium legislation in 2016.</w:t>
      </w:r>
    </w:p>
    <w:p w14:paraId="0FB5538F" w14:textId="77777777" w:rsidR="00567BF5" w:rsidRPr="00567BF5" w:rsidRDefault="00567BF5" w:rsidP="000D46BF">
      <w:pPr>
        <w:keepNext/>
        <w:spacing w:after="120"/>
        <w:rPr>
          <w:rFonts w:asciiTheme="majorHAnsi" w:hAnsiTheme="majorHAnsi"/>
          <w:b/>
          <w:bCs/>
          <w:color w:val="989800"/>
          <w:sz w:val="32"/>
          <w:szCs w:val="32"/>
        </w:rPr>
      </w:pPr>
      <w:r w:rsidRPr="00567BF5">
        <w:rPr>
          <w:rFonts w:asciiTheme="majorHAnsi" w:hAnsiTheme="majorHAnsi"/>
          <w:b/>
          <w:bCs/>
          <w:color w:val="989800"/>
          <w:sz w:val="32"/>
          <w:szCs w:val="32"/>
        </w:rPr>
        <w:lastRenderedPageBreak/>
        <w:t>Other regulators</w:t>
      </w:r>
    </w:p>
    <w:bookmarkEnd w:id="0"/>
    <w:bookmarkEnd w:id="1"/>
    <w:p w14:paraId="34ED1242" w14:textId="77777777" w:rsidR="009C4C30" w:rsidRPr="000D46BF" w:rsidRDefault="009C4C30" w:rsidP="009C4C30">
      <w:pPr>
        <w:keepNext/>
        <w:keepLines/>
        <w:rPr>
          <w:rStyle w:val="Hyperlink"/>
          <w:rFonts w:ascii="HelveticaNeue-Light" w:hAnsi="HelveticaNeue-Light"/>
          <w:color w:val="000000" w:themeColor="text1"/>
          <w:sz w:val="18"/>
          <w:szCs w:val="18"/>
          <w:u w:val="none"/>
        </w:rPr>
      </w:pPr>
      <w:r w:rsidRPr="000D46BF">
        <w:rPr>
          <w:rStyle w:val="Hyperlink"/>
          <w:rFonts w:ascii="HelveticaNeue-Light" w:hAnsi="HelveticaNeue-Light"/>
          <w:color w:val="000000" w:themeColor="text1"/>
          <w:sz w:val="18"/>
          <w:szCs w:val="18"/>
          <w:u w:val="none"/>
        </w:rPr>
        <w:t xml:space="preserve">The safety of GM products for sale as food is assessed by Food Standards Australia New Zealand (FSANZ). Read more on the </w:t>
      </w:r>
      <w:hyperlink r:id="rId30" w:history="1">
        <w:r w:rsidRPr="000D46BF">
          <w:rPr>
            <w:rStyle w:val="Hyperlink"/>
            <w:rFonts w:ascii="HelveticaNeue-Light" w:hAnsi="HelveticaNeue-Light"/>
            <w:color w:val="000000" w:themeColor="text1"/>
            <w:sz w:val="18"/>
            <w:szCs w:val="18"/>
            <w:u w:val="none"/>
          </w:rPr>
          <w:t>FSANZ website</w:t>
        </w:r>
      </w:hyperlink>
      <w:r w:rsidRPr="000D46BF">
        <w:rPr>
          <w:rStyle w:val="Hyperlink"/>
          <w:rFonts w:ascii="HelveticaNeue-Light" w:hAnsi="HelveticaNeue-Light"/>
          <w:color w:val="000000" w:themeColor="text1"/>
          <w:sz w:val="18"/>
          <w:szCs w:val="18"/>
          <w:u w:val="none"/>
        </w:rPr>
        <w:t>.</w:t>
      </w:r>
    </w:p>
    <w:p w14:paraId="7E709A50" w14:textId="798BF47B" w:rsidR="00DC756B" w:rsidRPr="000D46BF" w:rsidRDefault="009C4C30" w:rsidP="009C4C30">
      <w:pPr>
        <w:rPr>
          <w:rStyle w:val="Hyperlink"/>
          <w:rFonts w:ascii="HelveticaNeue-Light" w:hAnsi="HelveticaNeue-Light"/>
          <w:color w:val="000000" w:themeColor="text1"/>
          <w:sz w:val="18"/>
          <w:szCs w:val="18"/>
          <w:u w:val="none"/>
        </w:rPr>
      </w:pPr>
      <w:r w:rsidRPr="000D46BF">
        <w:rPr>
          <w:rStyle w:val="Hyperlink"/>
          <w:rFonts w:ascii="HelveticaNeue-Light" w:hAnsi="HelveticaNeue-Light"/>
          <w:color w:val="000000" w:themeColor="text1"/>
          <w:sz w:val="18"/>
          <w:szCs w:val="18"/>
          <w:u w:val="none"/>
        </w:rPr>
        <w:t xml:space="preserve">The use of herbicides on GM herbicide-tolerant canola varieties is regulated by the </w:t>
      </w:r>
      <w:hyperlink r:id="rId31" w:history="1">
        <w:r w:rsidRPr="000D46BF">
          <w:rPr>
            <w:rStyle w:val="Hyperlink"/>
            <w:rFonts w:ascii="HelveticaNeue-Light" w:hAnsi="HelveticaNeue-Light"/>
            <w:color w:val="000000" w:themeColor="text1"/>
            <w:sz w:val="18"/>
            <w:szCs w:val="18"/>
            <w:u w:val="none"/>
          </w:rPr>
          <w:t>Australian Pesticides and Veterinary Medicines Authority</w:t>
        </w:r>
      </w:hyperlink>
      <w:r w:rsidRPr="000D46BF">
        <w:rPr>
          <w:rStyle w:val="Hyperlink"/>
          <w:rFonts w:ascii="HelveticaNeue-Light" w:hAnsi="HelveticaNeue-Light"/>
          <w:color w:val="000000" w:themeColor="text1"/>
          <w:sz w:val="18"/>
          <w:szCs w:val="18"/>
          <w:u w:val="none"/>
        </w:rPr>
        <w:t>, which applies conditions to ensure responsible use of herbicides, and to minimise the development of weeds with herbicide resistance.</w:t>
      </w:r>
    </w:p>
    <w:p w14:paraId="1E9B869C" w14:textId="77777777" w:rsidR="009C4C30" w:rsidRDefault="009C4C30" w:rsidP="009C4C30">
      <w:pPr>
        <w:rPr>
          <w:rStyle w:val="Hyperlink"/>
          <w:rFonts w:ascii="HelveticaNeue-Light" w:hAnsi="HelveticaNeue-Light"/>
          <w:color w:val="000000" w:themeColor="text1"/>
          <w:sz w:val="17"/>
          <w:szCs w:val="17"/>
          <w:u w:val="none"/>
        </w:rPr>
      </w:pPr>
    </w:p>
    <w:p w14:paraId="27DF2A14" w14:textId="70AA013A" w:rsidR="009C4C30" w:rsidRPr="009C4C30" w:rsidRDefault="009C4C30" w:rsidP="009C4C30">
      <w:pPr>
        <w:rPr>
          <w:rStyle w:val="Hyperlink"/>
          <w:rFonts w:ascii="HelveticaNeue-Light" w:hAnsi="HelveticaNeue-Light"/>
          <w:color w:val="000000" w:themeColor="text1"/>
          <w:sz w:val="17"/>
          <w:szCs w:val="17"/>
          <w:u w:val="none"/>
        </w:rPr>
      </w:pPr>
      <w:r>
        <w:rPr>
          <w:noProof/>
        </w:rPr>
        <w:drawing>
          <wp:inline distT="0" distB="0" distL="0" distR="0" wp14:anchorId="385DCE27" wp14:editId="64E2D3B8">
            <wp:extent cx="6645910" cy="3461385"/>
            <wp:effectExtent l="0" t="0" r="2540" b="5715"/>
            <wp:docPr id="578327309" name="Picture 2" descr="Close up of a single yellow canola pla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27309" name="Picture 2" descr="Close up of a single yellow canola plant&#10;&#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5910" cy="3461385"/>
                    </a:xfrm>
                    <a:prstGeom prst="rect">
                      <a:avLst/>
                    </a:prstGeom>
                    <a:noFill/>
                    <a:ln>
                      <a:noFill/>
                    </a:ln>
                  </pic:spPr>
                </pic:pic>
              </a:graphicData>
            </a:graphic>
          </wp:inline>
        </w:drawing>
      </w:r>
    </w:p>
    <w:sectPr w:rsidR="009C4C30" w:rsidRPr="009C4C30" w:rsidSect="005E46A7">
      <w:footerReference w:type="default" r:id="rId3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C263" w14:textId="77777777" w:rsidR="001C21FA" w:rsidRDefault="001C21FA" w:rsidP="009C4C30">
      <w:pPr>
        <w:spacing w:after="0" w:line="240" w:lineRule="auto"/>
      </w:pPr>
      <w:r>
        <w:separator/>
      </w:r>
    </w:p>
  </w:endnote>
  <w:endnote w:type="continuationSeparator" w:id="0">
    <w:p w14:paraId="74A4B059" w14:textId="77777777" w:rsidR="001C21FA" w:rsidRDefault="001C21FA" w:rsidP="009C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088" w14:textId="31277EC1" w:rsidR="009C4C30" w:rsidRDefault="000D46BF">
    <w:pPr>
      <w:pStyle w:val="Footer"/>
    </w:pPr>
    <w:r>
      <w:tab/>
      <w:t>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14DF" w14:textId="77777777" w:rsidR="001C21FA" w:rsidRDefault="001C21FA" w:rsidP="009C4C30">
      <w:pPr>
        <w:spacing w:after="0" w:line="240" w:lineRule="auto"/>
      </w:pPr>
      <w:r>
        <w:separator/>
      </w:r>
    </w:p>
  </w:footnote>
  <w:footnote w:type="continuationSeparator" w:id="0">
    <w:p w14:paraId="0878485D" w14:textId="77777777" w:rsidR="001C21FA" w:rsidRDefault="001C21FA" w:rsidP="009C4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6B"/>
    <w:rsid w:val="0001004C"/>
    <w:rsid w:val="000D46BF"/>
    <w:rsid w:val="001C21FA"/>
    <w:rsid w:val="00280050"/>
    <w:rsid w:val="00351463"/>
    <w:rsid w:val="004013D3"/>
    <w:rsid w:val="00567BF5"/>
    <w:rsid w:val="0058705B"/>
    <w:rsid w:val="005E46A7"/>
    <w:rsid w:val="006602C5"/>
    <w:rsid w:val="0068162B"/>
    <w:rsid w:val="006A7465"/>
    <w:rsid w:val="007B722C"/>
    <w:rsid w:val="009C4C30"/>
    <w:rsid w:val="00A41707"/>
    <w:rsid w:val="00C84FAA"/>
    <w:rsid w:val="00DC756B"/>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BF13"/>
  <w15:chartTrackingRefBased/>
  <w15:docId w15:val="{2DC0E589-80F7-4558-8E76-F0769111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5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5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75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75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75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75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75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5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5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75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75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75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75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75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7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5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5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756B"/>
    <w:pPr>
      <w:spacing w:before="160"/>
      <w:jc w:val="center"/>
    </w:pPr>
    <w:rPr>
      <w:i/>
      <w:iCs/>
      <w:color w:val="404040" w:themeColor="text1" w:themeTint="BF"/>
    </w:rPr>
  </w:style>
  <w:style w:type="character" w:customStyle="1" w:styleId="QuoteChar">
    <w:name w:val="Quote Char"/>
    <w:basedOn w:val="DefaultParagraphFont"/>
    <w:link w:val="Quote"/>
    <w:uiPriority w:val="29"/>
    <w:rsid w:val="00DC756B"/>
    <w:rPr>
      <w:i/>
      <w:iCs/>
      <w:color w:val="404040" w:themeColor="text1" w:themeTint="BF"/>
    </w:rPr>
  </w:style>
  <w:style w:type="paragraph" w:styleId="ListParagraph">
    <w:name w:val="List Paragraph"/>
    <w:basedOn w:val="Normal"/>
    <w:uiPriority w:val="34"/>
    <w:qFormat/>
    <w:rsid w:val="00DC756B"/>
    <w:pPr>
      <w:ind w:left="720"/>
      <w:contextualSpacing/>
    </w:pPr>
  </w:style>
  <w:style w:type="character" w:styleId="IntenseEmphasis">
    <w:name w:val="Intense Emphasis"/>
    <w:basedOn w:val="DefaultParagraphFont"/>
    <w:uiPriority w:val="21"/>
    <w:qFormat/>
    <w:rsid w:val="00DC756B"/>
    <w:rPr>
      <w:i/>
      <w:iCs/>
      <w:color w:val="0F4761" w:themeColor="accent1" w:themeShade="BF"/>
    </w:rPr>
  </w:style>
  <w:style w:type="paragraph" w:styleId="IntenseQuote">
    <w:name w:val="Intense Quote"/>
    <w:basedOn w:val="Normal"/>
    <w:next w:val="Normal"/>
    <w:link w:val="IntenseQuoteChar"/>
    <w:uiPriority w:val="30"/>
    <w:qFormat/>
    <w:rsid w:val="00DC7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56B"/>
    <w:rPr>
      <w:i/>
      <w:iCs/>
      <w:color w:val="0F4761" w:themeColor="accent1" w:themeShade="BF"/>
    </w:rPr>
  </w:style>
  <w:style w:type="character" w:styleId="IntenseReference">
    <w:name w:val="Intense Reference"/>
    <w:basedOn w:val="DefaultParagraphFont"/>
    <w:uiPriority w:val="32"/>
    <w:qFormat/>
    <w:rsid w:val="00DC756B"/>
    <w:rPr>
      <w:b/>
      <w:bCs/>
      <w:smallCaps/>
      <w:color w:val="0F4761" w:themeColor="accent1" w:themeShade="BF"/>
      <w:spacing w:val="5"/>
    </w:rPr>
  </w:style>
  <w:style w:type="character" w:styleId="Hyperlink">
    <w:name w:val="Hyperlink"/>
    <w:basedOn w:val="DefaultParagraphFont"/>
    <w:uiPriority w:val="99"/>
    <w:unhideWhenUsed/>
    <w:rsid w:val="00DC756B"/>
    <w:rPr>
      <w:color w:val="467886" w:themeColor="hyperlink"/>
      <w:u w:val="single"/>
    </w:rPr>
  </w:style>
  <w:style w:type="table" w:customStyle="1" w:styleId="PlainTable21">
    <w:name w:val="Plain Table 21"/>
    <w:basedOn w:val="TableNormal"/>
    <w:next w:val="PlainTable2"/>
    <w:uiPriority w:val="42"/>
    <w:rsid w:val="00567BF5"/>
    <w:pPr>
      <w:spacing w:before="120" w:after="0" w:line="240" w:lineRule="auto"/>
    </w:pPr>
    <w:rPr>
      <w:rFonts w:ascii="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67B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C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30"/>
  </w:style>
  <w:style w:type="paragraph" w:styleId="Footer">
    <w:name w:val="footer"/>
    <w:basedOn w:val="Normal"/>
    <w:link w:val="FooterChar"/>
    <w:uiPriority w:val="99"/>
    <w:unhideWhenUsed/>
    <w:rsid w:val="009C4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gtr.gov.au/gmo-dealings/dealings-involving-intentional-release/dir-178" TargetMode="External"/><Relationship Id="rId18" Type="http://schemas.openxmlformats.org/officeDocument/2006/relationships/hyperlink" Target="https://www.ogtr.gov.au/gmo-dealings/dealings-involving-intentional-release/dir-127" TargetMode="External"/><Relationship Id="rId26" Type="http://schemas.openxmlformats.org/officeDocument/2006/relationships/hyperlink" Target="https://legislation.nsw.gov.au/view/html/inforce/current/act-2003-012" TargetMode="External"/><Relationship Id="rId3" Type="http://schemas.openxmlformats.org/officeDocument/2006/relationships/webSettings" Target="webSettings.xml"/><Relationship Id="rId21" Type="http://schemas.openxmlformats.org/officeDocument/2006/relationships/hyperlink" Target="https://www.ogtr.gov.au/gmo-dealings/dealings-involving-intentional-release/dir-0202002"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ogtr.gov.au/gmo-dealings/dealings-involving-intentional-release/dir-190" TargetMode="External"/><Relationship Id="rId17" Type="http://schemas.openxmlformats.org/officeDocument/2006/relationships/hyperlink" Target="https://www.ogtr.gov.au/gmo-dealings/dealings-involving-intentional-release/dir-138" TargetMode="External"/><Relationship Id="rId25" Type="http://schemas.openxmlformats.org/officeDocument/2006/relationships/hyperlink" Target="http://www.legislation.act.gov.au/a/2004-40/default.asp"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ogtr.gov.au/gmo-dealings/dealings-involving-intentional-release/dir-139" TargetMode="External"/><Relationship Id="rId20" Type="http://schemas.openxmlformats.org/officeDocument/2006/relationships/hyperlink" Target="https://www.ogtr.gov.au/gmo-dealings/dealings-involving-intentional-release/dir-0212002" TargetMode="External"/><Relationship Id="rId29" Type="http://schemas.openxmlformats.org/officeDocument/2006/relationships/hyperlink" Target="https://nre.tas.gov.au/agriculture/gene-technology/tasmanian-gene-technology-policy-2019-202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image" Target="media/image7.jpeg"/><Relationship Id="rId5" Type="http://schemas.openxmlformats.org/officeDocument/2006/relationships/endnotes" Target="endnotes.xml"/><Relationship Id="rId15" Type="http://schemas.openxmlformats.org/officeDocument/2006/relationships/hyperlink" Target="https://www.ogtr.gov.au/gmo-dealings/dealings-involving-intentional-release/dir-155" TargetMode="External"/><Relationship Id="rId23" Type="http://schemas.openxmlformats.org/officeDocument/2006/relationships/image" Target="media/image5.png"/><Relationship Id="rId28" Type="http://schemas.openxmlformats.org/officeDocument/2006/relationships/hyperlink" Target="http://www.thelaw.tas.gov.au/tocview/index.w3p%3Bcond%3D%3Bdoc_id%3D%2B126%2B2005%2BAT%40EN%2B20170706180000%3Bhiston%3D%3Bpdfauthverid%3D%3Bprompt%3D%3Brec%3D%3Brtfauthverid%3D%3Bterm%3D%3Bwebauthverid%3D" TargetMode="External"/><Relationship Id="rId10" Type="http://schemas.openxmlformats.org/officeDocument/2006/relationships/hyperlink" Target="https://www.ogtr.gov.au/what-weve-approved" TargetMode="External"/><Relationship Id="rId19" Type="http://schemas.openxmlformats.org/officeDocument/2006/relationships/hyperlink" Target="https://www.ogtr.gov.au/gmo-dealings/dealings-involving-intentional-release/dir-108" TargetMode="External"/><Relationship Id="rId31" Type="http://schemas.openxmlformats.org/officeDocument/2006/relationships/hyperlink" Target="http://www.apvma.gov.au/" TargetMode="External"/><Relationship Id="rId4" Type="http://schemas.openxmlformats.org/officeDocument/2006/relationships/footnotes" Target="footnotes.xml"/><Relationship Id="rId9" Type="http://schemas.openxmlformats.org/officeDocument/2006/relationships/hyperlink" Target="https://www.ogtr.gov.au/what-weve-approved" TargetMode="External"/><Relationship Id="rId14" Type="http://schemas.openxmlformats.org/officeDocument/2006/relationships/hyperlink" Target="https://www.ogtr.gov.au/gmo-dealings/dealings-involving-intentional-release/dir-175" TargetMode="External"/><Relationship Id="rId22" Type="http://schemas.openxmlformats.org/officeDocument/2006/relationships/hyperlink" Target="https://www.ogtr.gov.au/what-weve-approved" TargetMode="External"/><Relationship Id="rId27" Type="http://schemas.openxmlformats.org/officeDocument/2006/relationships/hyperlink" Target="https://www.pir.sa.gov.au/primary_industry/grains/genetically_modified_crops" TargetMode="External"/><Relationship Id="rId30" Type="http://schemas.openxmlformats.org/officeDocument/2006/relationships/hyperlink" Target="https://www.foodstandards.gov.au/consumer/gmfood" TargetMode="External"/><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6962</Characters>
  <Application>Microsoft Office Word</Application>
  <DocSecurity>0</DocSecurity>
  <Lines>188</Lines>
  <Paragraphs>135</Paragraphs>
  <ScaleCrop>false</ScaleCrop>
  <HeadingPairs>
    <vt:vector size="2" baseType="variant">
      <vt:variant>
        <vt:lpstr>Title</vt:lpstr>
      </vt:variant>
      <vt:variant>
        <vt:i4>1</vt:i4>
      </vt:variant>
    </vt:vector>
  </HeadingPairs>
  <TitlesOfParts>
    <vt:vector size="1" baseType="lpstr">
      <vt:lpstr>Snapshot of Genetically Modified (GM) Canola in Australia</vt:lpstr>
    </vt:vector>
  </TitlesOfParts>
  <Company>Department of Health, Disability and Ageing</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 of Genetically Modified (GM) Canola in Australia</dc:title>
  <dc:subject/>
  <dc:creator>OGTR.Voicemail@health.gov.au</dc:creator>
  <cp:keywords/>
  <dc:description/>
  <cp:lastModifiedBy>SMITH, Justine</cp:lastModifiedBy>
  <cp:revision>2</cp:revision>
  <dcterms:created xsi:type="dcterms:W3CDTF">2025-12-10T03:04:00Z</dcterms:created>
  <dcterms:modified xsi:type="dcterms:W3CDTF">2025-12-10T03:04:00Z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6edacab3,381d756f,59483728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7b56371f,2f7db896,dae1308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2025-11-19T01:40:42Z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f81eb767-2d0c-4574-a5e8-433ece735f3b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