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A561E" w14:textId="1E7BF4A5" w:rsidR="003A7FAF" w:rsidRDefault="003A7FAF">
      <w:bookmarkStart w:id="0" w:name="_Hlk215665153"/>
      <w:bookmarkEnd w:id="0"/>
      <w:r>
        <w:rPr>
          <w:noProof/>
        </w:rPr>
        <w:drawing>
          <wp:inline distT="0" distB="0" distL="0" distR="0" wp14:anchorId="1EC4F1D7" wp14:editId="40DFEC38">
            <wp:extent cx="3349759" cy="697993"/>
            <wp:effectExtent l="0" t="0" r="3175" b="6985"/>
            <wp:docPr id="1418876361" name="Picture 1" descr="Department of Health, Disability and Ageing , Office of the Gene Technolo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76361" name="Picture 1" descr="Department of Health, Disability and Ageing , Office of the Gene Technology Regulator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9759" cy="697993"/>
                    </a:xfrm>
                    <a:prstGeom prst="rect">
                      <a:avLst/>
                    </a:prstGeom>
                  </pic:spPr>
                </pic:pic>
              </a:graphicData>
            </a:graphic>
          </wp:inline>
        </w:drawing>
      </w:r>
    </w:p>
    <w:p w14:paraId="05E3ECD5" w14:textId="77777777" w:rsidR="00ED00FB" w:rsidRDefault="00ED00FB"/>
    <w:p w14:paraId="0E25F83C" w14:textId="72DD830A" w:rsidR="003A7FAF" w:rsidRPr="00ED00FB" w:rsidRDefault="003A7FAF" w:rsidP="003C2CB9">
      <w:pPr>
        <w:pStyle w:val="Title"/>
        <w:spacing w:after="360"/>
        <w:jc w:val="center"/>
        <w:rPr>
          <w:b/>
          <w:bCs/>
          <w:color w:val="A02B93" w:themeColor="accent5"/>
        </w:rPr>
      </w:pPr>
      <w:r w:rsidRPr="00ED00FB">
        <w:rPr>
          <w:b/>
          <w:bCs/>
          <w:color w:val="A02B93" w:themeColor="accent5"/>
        </w:rPr>
        <w:t>GM kits in schools</w:t>
      </w:r>
    </w:p>
    <w:p w14:paraId="61B0D542" w14:textId="36F91C9B" w:rsidR="003A7FAF" w:rsidRPr="003C2CB9" w:rsidRDefault="003A7FAF" w:rsidP="003A7FAF">
      <w:pPr>
        <w:pStyle w:val="BodyText"/>
        <w:tabs>
          <w:tab w:val="left" w:pos="0"/>
        </w:tabs>
        <w:rPr>
          <w:rFonts w:ascii="HelveticaNeue-Light" w:eastAsiaTheme="minorEastAsia" w:hAnsi="HelveticaNeue-Light" w:cs="HelveticaNeue-Light"/>
          <w:sz w:val="18"/>
          <w:szCs w:val="18"/>
          <w:lang w:eastAsia="en-AU"/>
        </w:rPr>
      </w:pPr>
      <w:r w:rsidRPr="003C2CB9">
        <w:rPr>
          <w:noProof/>
          <w:sz w:val="18"/>
          <w:szCs w:val="18"/>
        </w:rPr>
        <w:drawing>
          <wp:anchor distT="0" distB="0" distL="114300" distR="114300" simplePos="0" relativeHeight="251658240" behindDoc="0" locked="0" layoutInCell="1" allowOverlap="1" wp14:anchorId="533618BE" wp14:editId="50372ADC">
            <wp:simplePos x="0" y="0"/>
            <wp:positionH relativeFrom="margin">
              <wp:align>right</wp:align>
            </wp:positionH>
            <wp:positionV relativeFrom="paragraph">
              <wp:posOffset>38100</wp:posOffset>
            </wp:positionV>
            <wp:extent cx="2753995" cy="1837690"/>
            <wp:effectExtent l="0" t="0" r="8255" b="0"/>
            <wp:wrapThrough wrapText="bothSides">
              <wp:wrapPolygon edited="0">
                <wp:start x="0" y="0"/>
                <wp:lineTo x="0" y="21272"/>
                <wp:lineTo x="21515" y="21272"/>
                <wp:lineTo x="21515" y="0"/>
                <wp:lineTo x="0" y="0"/>
              </wp:wrapPolygon>
            </wp:wrapThrough>
            <wp:docPr id="2" name="Picture 1" descr="A group of people in lab coa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people in lab coats&#10;&#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3995" cy="1837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CB9">
        <w:rPr>
          <w:rFonts w:ascii="HelveticaNeue-Light" w:eastAsiaTheme="minorEastAsia" w:hAnsi="HelveticaNeue-Light" w:cs="HelveticaNeue-Light"/>
          <w:sz w:val="18"/>
          <w:szCs w:val="18"/>
          <w:lang w:eastAsia="en-AU"/>
        </w:rPr>
        <w:t xml:space="preserve">Commercially available kits are used in Australian schools to help science students learn about genetics. For example, there are kits for adding fluorescent colours to bacteria. The kits generally use bacteria that have a long history of safe use in schools, university teaching laboratories and research and are on the OGTR’s ‘exempt dealings’ list. As such, most GMO studies in schools do not require licensing by the Regulator </w:t>
      </w:r>
      <w:proofErr w:type="gramStart"/>
      <w:r w:rsidRPr="003C2CB9">
        <w:rPr>
          <w:rFonts w:ascii="HelveticaNeue-Light" w:eastAsiaTheme="minorEastAsia" w:hAnsi="HelveticaNeue-Light" w:cs="HelveticaNeue-Light"/>
          <w:sz w:val="18"/>
          <w:szCs w:val="18"/>
          <w:lang w:eastAsia="en-AU"/>
        </w:rPr>
        <w:t>as long as</w:t>
      </w:r>
      <w:proofErr w:type="gramEnd"/>
      <w:r w:rsidRPr="003C2CB9">
        <w:rPr>
          <w:rFonts w:ascii="HelveticaNeue-Light" w:eastAsiaTheme="minorEastAsia" w:hAnsi="HelveticaNeue-Light" w:cs="HelveticaNeue-Light"/>
          <w:sz w:val="18"/>
          <w:szCs w:val="18"/>
          <w:lang w:eastAsia="en-AU"/>
        </w:rPr>
        <w:t xml:space="preserve"> the school follows good laboratory practice.</w:t>
      </w:r>
    </w:p>
    <w:p w14:paraId="12CE35AB" w14:textId="77777777" w:rsidR="003A7FAF" w:rsidRPr="003C2CB9" w:rsidRDefault="003A7FAF" w:rsidP="003A7FAF">
      <w:pPr>
        <w:pStyle w:val="BodyText"/>
        <w:tabs>
          <w:tab w:val="left" w:pos="0"/>
        </w:tabs>
        <w:rPr>
          <w:rFonts w:ascii="HelveticaNeue-Light" w:eastAsiaTheme="minorEastAsia" w:hAnsi="HelveticaNeue-Light" w:cs="HelveticaNeue-Light"/>
          <w:sz w:val="18"/>
          <w:szCs w:val="18"/>
          <w:lang w:eastAsia="en-AU"/>
        </w:rPr>
      </w:pPr>
    </w:p>
    <w:p w14:paraId="696343BB" w14:textId="77777777" w:rsidR="003A7FAF" w:rsidRPr="003C2CB9" w:rsidRDefault="003A7FAF" w:rsidP="003A7FAF">
      <w:pPr>
        <w:pStyle w:val="BodyText"/>
        <w:tabs>
          <w:tab w:val="left" w:pos="0"/>
        </w:tabs>
        <w:rPr>
          <w:rFonts w:ascii="HelveticaNeue-Light" w:eastAsiaTheme="minorEastAsia" w:hAnsi="HelveticaNeue-Light" w:cs="HelveticaNeue-Light"/>
          <w:sz w:val="18"/>
          <w:szCs w:val="18"/>
          <w:lang w:eastAsia="en-AU"/>
        </w:rPr>
      </w:pPr>
    </w:p>
    <w:p w14:paraId="34F0A9F0" w14:textId="3287B31A" w:rsidR="003A7FAF" w:rsidRPr="003C2CB9" w:rsidRDefault="003A7FAF" w:rsidP="003A7FAF">
      <w:pPr>
        <w:pStyle w:val="BodyText"/>
        <w:spacing w:before="60"/>
        <w:ind w:right="34"/>
        <w:rPr>
          <w:rFonts w:ascii="HelveticaNeue-Light" w:eastAsiaTheme="minorEastAsia" w:hAnsi="HelveticaNeue-Light" w:cs="HelveticaNeue-Light"/>
          <w:sz w:val="18"/>
          <w:szCs w:val="18"/>
          <w:lang w:eastAsia="en-AU"/>
        </w:rPr>
      </w:pPr>
      <w:r w:rsidRPr="003C2CB9">
        <w:rPr>
          <w:rFonts w:ascii="HelveticaNeue-Light" w:eastAsiaTheme="minorEastAsia" w:hAnsi="HelveticaNeue-Light" w:cs="HelveticaNeue-Light"/>
          <w:sz w:val="18"/>
          <w:szCs w:val="18"/>
          <w:lang w:eastAsia="en-AU"/>
        </w:rPr>
        <w:t>To formally determine your obligations if you are using GMOs in your school</w:t>
      </w:r>
      <w:r w:rsidR="003C2CB9">
        <w:rPr>
          <w:rFonts w:ascii="HelveticaNeue-Light" w:eastAsiaTheme="minorEastAsia" w:hAnsi="HelveticaNeue-Light" w:cs="HelveticaNeue-Light"/>
          <w:sz w:val="18"/>
          <w:szCs w:val="18"/>
          <w:lang w:eastAsia="en-AU"/>
        </w:rPr>
        <w:t>,</w:t>
      </w:r>
      <w:r w:rsidRPr="003C2CB9">
        <w:rPr>
          <w:rFonts w:ascii="HelveticaNeue-Light" w:eastAsiaTheme="minorEastAsia" w:hAnsi="HelveticaNeue-Light" w:cs="HelveticaNeue-Light"/>
          <w:sz w:val="18"/>
          <w:szCs w:val="18"/>
          <w:lang w:eastAsia="en-AU"/>
        </w:rPr>
        <w:t xml:space="preserve"> you should:</w:t>
      </w:r>
    </w:p>
    <w:p w14:paraId="0FB43308" w14:textId="77777777" w:rsidR="003A7FAF" w:rsidRPr="003C2CB9" w:rsidRDefault="003A7FAF" w:rsidP="009F2FBB">
      <w:pPr>
        <w:pStyle w:val="ListParagraph"/>
        <w:widowControl w:val="0"/>
        <w:numPr>
          <w:ilvl w:val="0"/>
          <w:numId w:val="2"/>
        </w:numPr>
        <w:tabs>
          <w:tab w:val="left" w:pos="993"/>
        </w:tabs>
        <w:autoSpaceDE w:val="0"/>
        <w:autoSpaceDN w:val="0"/>
        <w:spacing w:before="62" w:after="0" w:line="256" w:lineRule="auto"/>
        <w:ind w:left="284" w:right="37" w:hanging="142"/>
        <w:contextualSpacing w:val="0"/>
        <w:rPr>
          <w:rFonts w:ascii="HelveticaNeue-Light" w:eastAsiaTheme="minorEastAsia" w:hAnsi="HelveticaNeue-Light" w:cs="HelveticaNeue-Light"/>
          <w:kern w:val="0"/>
          <w:sz w:val="18"/>
          <w:szCs w:val="18"/>
          <w:lang w:eastAsia="en-AU"/>
          <w14:ligatures w14:val="none"/>
        </w:rPr>
      </w:pPr>
      <w:r w:rsidRPr="003C2CB9">
        <w:rPr>
          <w:rFonts w:ascii="HelveticaNeue-Light" w:eastAsiaTheme="minorEastAsia" w:hAnsi="HelveticaNeue-Light" w:cs="HelveticaNeue-Light"/>
          <w:kern w:val="0"/>
          <w:sz w:val="18"/>
          <w:szCs w:val="18"/>
          <w:lang w:eastAsia="en-AU"/>
          <w14:ligatures w14:val="none"/>
        </w:rPr>
        <w:t>Ask the supplier of the kit if the organisms in the kit are covered by OGTR exempt dealings.</w:t>
      </w:r>
    </w:p>
    <w:p w14:paraId="0F168164" w14:textId="77777777" w:rsidR="003A7FAF" w:rsidRPr="003C2CB9" w:rsidRDefault="003A7FAF" w:rsidP="009F2FBB">
      <w:pPr>
        <w:pStyle w:val="ListParagraph"/>
        <w:widowControl w:val="0"/>
        <w:numPr>
          <w:ilvl w:val="0"/>
          <w:numId w:val="1"/>
        </w:numPr>
        <w:tabs>
          <w:tab w:val="left" w:pos="1135"/>
          <w:tab w:val="left" w:pos="1136"/>
        </w:tabs>
        <w:autoSpaceDE w:val="0"/>
        <w:autoSpaceDN w:val="0"/>
        <w:spacing w:before="2" w:after="0" w:line="256" w:lineRule="auto"/>
        <w:ind w:left="284" w:right="196" w:hanging="142"/>
        <w:contextualSpacing w:val="0"/>
        <w:rPr>
          <w:rFonts w:ascii="HelveticaNeue-Light" w:eastAsiaTheme="minorEastAsia" w:hAnsi="HelveticaNeue-Light" w:cs="HelveticaNeue-Light"/>
          <w:kern w:val="0"/>
          <w:sz w:val="18"/>
          <w:szCs w:val="18"/>
          <w:lang w:eastAsia="en-AU"/>
          <w14:ligatures w14:val="none"/>
        </w:rPr>
      </w:pPr>
      <w:r w:rsidRPr="003C2CB9">
        <w:rPr>
          <w:rFonts w:ascii="HelveticaNeue-Light" w:eastAsiaTheme="minorEastAsia" w:hAnsi="HelveticaNeue-Light" w:cs="HelveticaNeue-Light"/>
          <w:kern w:val="0"/>
          <w:sz w:val="18"/>
          <w:szCs w:val="18"/>
          <w:lang w:eastAsia="en-AU"/>
          <w14:ligatures w14:val="none"/>
        </w:rPr>
        <w:t>Ask the supplier about best practice for use of the specific GMO kit in the school laboratory.</w:t>
      </w:r>
    </w:p>
    <w:p w14:paraId="6D6E97BE" w14:textId="77777777" w:rsidR="003A7FAF" w:rsidRPr="003C2CB9" w:rsidRDefault="003A7FAF" w:rsidP="009F2FBB">
      <w:pPr>
        <w:pStyle w:val="ListParagraph"/>
        <w:widowControl w:val="0"/>
        <w:numPr>
          <w:ilvl w:val="0"/>
          <w:numId w:val="1"/>
        </w:numPr>
        <w:tabs>
          <w:tab w:val="left" w:pos="1135"/>
          <w:tab w:val="left" w:pos="1136"/>
        </w:tabs>
        <w:autoSpaceDE w:val="0"/>
        <w:autoSpaceDN w:val="0"/>
        <w:spacing w:before="4" w:after="0" w:line="240" w:lineRule="auto"/>
        <w:ind w:left="284" w:hanging="142"/>
        <w:contextualSpacing w:val="0"/>
        <w:rPr>
          <w:rFonts w:ascii="HelveticaNeue-Light" w:eastAsiaTheme="minorEastAsia" w:hAnsi="HelveticaNeue-Light" w:cs="HelveticaNeue-Light"/>
          <w:kern w:val="0"/>
          <w:sz w:val="18"/>
          <w:szCs w:val="18"/>
          <w:lang w:eastAsia="en-AU"/>
          <w14:ligatures w14:val="none"/>
        </w:rPr>
      </w:pPr>
      <w:r w:rsidRPr="003C2CB9">
        <w:rPr>
          <w:rFonts w:ascii="HelveticaNeue-Light" w:eastAsiaTheme="minorEastAsia" w:hAnsi="HelveticaNeue-Light" w:cs="HelveticaNeue-Light"/>
          <w:kern w:val="0"/>
          <w:sz w:val="18"/>
          <w:szCs w:val="18"/>
          <w:lang w:eastAsia="en-AU"/>
          <w14:ligatures w14:val="none"/>
        </w:rPr>
        <w:t>Read about containment of GMOs</w:t>
      </w:r>
    </w:p>
    <w:p w14:paraId="46C039A0" w14:textId="5F4A40C4" w:rsidR="003A7FAF" w:rsidRPr="003C2CB9" w:rsidRDefault="003A7FAF" w:rsidP="009F2FBB">
      <w:pPr>
        <w:pStyle w:val="BodyText"/>
        <w:spacing w:before="12" w:line="259" w:lineRule="auto"/>
        <w:ind w:right="137" w:firstLine="284"/>
        <w:jc w:val="both"/>
        <w:rPr>
          <w:rFonts w:ascii="HelveticaNeue-Light" w:eastAsiaTheme="minorEastAsia" w:hAnsi="HelveticaNeue-Light" w:cs="HelveticaNeue-Light"/>
          <w:sz w:val="18"/>
          <w:szCs w:val="18"/>
          <w:lang w:eastAsia="en-AU"/>
        </w:rPr>
      </w:pPr>
      <w:r w:rsidRPr="003C2CB9">
        <w:rPr>
          <w:rFonts w:ascii="HelveticaNeue-Light" w:eastAsiaTheme="minorEastAsia" w:hAnsi="HelveticaNeue-Light" w:cs="HelveticaNeue-Light"/>
          <w:sz w:val="18"/>
          <w:szCs w:val="18"/>
          <w:lang w:eastAsia="en-AU"/>
        </w:rPr>
        <w:t xml:space="preserve">– the OGTR has developed </w:t>
      </w:r>
      <w:hyperlink r:id="rId9" w:history="1">
        <w:r w:rsidRPr="003C2CB9">
          <w:rPr>
            <w:rFonts w:ascii="HelveticaNeue-Light" w:eastAsiaTheme="minorEastAsia" w:hAnsi="HelveticaNeue-Light" w:cs="HelveticaNeue-Light"/>
            <w:sz w:val="18"/>
            <w:szCs w:val="18"/>
            <w:u w:val="single"/>
            <w:lang w:eastAsia="en-AU"/>
          </w:rPr>
          <w:t>notes on how to avoid releasing a GMO into the environment.</w:t>
        </w:r>
      </w:hyperlink>
    </w:p>
    <w:p w14:paraId="6EA6A93A" w14:textId="71EB253F" w:rsidR="003A7FAF" w:rsidRPr="003C2CB9" w:rsidRDefault="003A7FAF" w:rsidP="003C2CB9">
      <w:pPr>
        <w:pStyle w:val="ListParagraph"/>
        <w:widowControl w:val="0"/>
        <w:numPr>
          <w:ilvl w:val="0"/>
          <w:numId w:val="2"/>
        </w:numPr>
        <w:tabs>
          <w:tab w:val="left" w:pos="284"/>
        </w:tabs>
        <w:autoSpaceDE w:val="0"/>
        <w:autoSpaceDN w:val="0"/>
        <w:spacing w:before="1" w:after="0" w:line="256" w:lineRule="auto"/>
        <w:ind w:left="-426" w:right="129" w:firstLine="568"/>
        <w:contextualSpacing w:val="0"/>
        <w:rPr>
          <w:rFonts w:ascii="HelveticaNeue-Light" w:eastAsiaTheme="minorEastAsia" w:hAnsi="HelveticaNeue-Light" w:cs="HelveticaNeue-Light"/>
          <w:kern w:val="0"/>
          <w:sz w:val="18"/>
          <w:szCs w:val="18"/>
          <w:lang w:eastAsia="en-AU"/>
          <w14:ligatures w14:val="none"/>
        </w:rPr>
      </w:pPr>
      <w:r w:rsidRPr="003C2CB9">
        <w:rPr>
          <w:rFonts w:ascii="HelveticaNeue-Light" w:eastAsiaTheme="minorEastAsia" w:hAnsi="HelveticaNeue-Light" w:cs="HelveticaNeue-Light"/>
          <w:kern w:val="0"/>
          <w:sz w:val="18"/>
          <w:szCs w:val="18"/>
          <w:lang w:eastAsia="en-AU"/>
          <w14:ligatures w14:val="none"/>
        </w:rPr>
        <w:t>Follow good laboratory practice and don’t release your GMOs into the environment. This includes:</w:t>
      </w:r>
    </w:p>
    <w:p w14:paraId="0AB6F8C1" w14:textId="1AEECDA1" w:rsidR="003A7FAF" w:rsidRPr="003C2CB9" w:rsidRDefault="003A7FAF" w:rsidP="003A7FAF">
      <w:pPr>
        <w:pStyle w:val="ListParagraph"/>
        <w:widowControl w:val="0"/>
        <w:numPr>
          <w:ilvl w:val="1"/>
          <w:numId w:val="1"/>
        </w:numPr>
        <w:tabs>
          <w:tab w:val="left" w:pos="284"/>
        </w:tabs>
        <w:autoSpaceDE w:val="0"/>
        <w:autoSpaceDN w:val="0"/>
        <w:spacing w:after="0" w:line="256" w:lineRule="auto"/>
        <w:ind w:left="-426" w:right="282" w:firstLine="993"/>
        <w:contextualSpacing w:val="0"/>
        <w:jc w:val="both"/>
        <w:rPr>
          <w:rFonts w:ascii="HelveticaNeue-Light" w:eastAsiaTheme="minorEastAsia" w:hAnsi="HelveticaNeue-Light" w:cs="HelveticaNeue-Light"/>
          <w:kern w:val="0"/>
          <w:sz w:val="18"/>
          <w:szCs w:val="18"/>
          <w:lang w:eastAsia="en-AU"/>
          <w14:ligatures w14:val="none"/>
        </w:rPr>
      </w:pPr>
      <w:r w:rsidRPr="003C2CB9">
        <w:rPr>
          <w:rFonts w:ascii="HelveticaNeue-Light" w:eastAsiaTheme="minorEastAsia" w:hAnsi="HelveticaNeue-Light" w:cs="HelveticaNeue-Light"/>
          <w:kern w:val="0"/>
          <w:sz w:val="18"/>
          <w:szCs w:val="18"/>
          <w:lang w:eastAsia="en-AU"/>
          <w14:ligatures w14:val="none"/>
        </w:rPr>
        <w:t>storing any unused GMOs safely in a sealed container</w:t>
      </w:r>
    </w:p>
    <w:p w14:paraId="2871C022" w14:textId="56536384" w:rsidR="003A7FAF" w:rsidRPr="003C2CB9" w:rsidRDefault="003A7FAF" w:rsidP="003A7FAF">
      <w:pPr>
        <w:pStyle w:val="ListParagraph"/>
        <w:widowControl w:val="0"/>
        <w:numPr>
          <w:ilvl w:val="1"/>
          <w:numId w:val="1"/>
        </w:numPr>
        <w:tabs>
          <w:tab w:val="left" w:pos="284"/>
          <w:tab w:val="left" w:pos="709"/>
        </w:tabs>
        <w:autoSpaceDE w:val="0"/>
        <w:autoSpaceDN w:val="0"/>
        <w:spacing w:before="3" w:after="0" w:line="256" w:lineRule="auto"/>
        <w:ind w:left="-426" w:right="271" w:firstLine="993"/>
        <w:contextualSpacing w:val="0"/>
        <w:jc w:val="both"/>
        <w:rPr>
          <w:rFonts w:ascii="HelveticaNeue-Light" w:eastAsiaTheme="minorEastAsia" w:hAnsi="HelveticaNeue-Light" w:cs="HelveticaNeue-Light"/>
          <w:kern w:val="0"/>
          <w:sz w:val="18"/>
          <w:szCs w:val="18"/>
          <w:lang w:eastAsia="en-AU"/>
          <w14:ligatures w14:val="none"/>
        </w:rPr>
      </w:pPr>
      <w:r w:rsidRPr="003C2CB9">
        <w:rPr>
          <w:rFonts w:ascii="HelveticaNeue-Light" w:eastAsiaTheme="minorEastAsia" w:hAnsi="HelveticaNeue-Light" w:cs="HelveticaNeue-Light"/>
          <w:kern w:val="0"/>
          <w:sz w:val="18"/>
          <w:szCs w:val="18"/>
          <w:lang w:eastAsia="en-AU"/>
          <w14:ligatures w14:val="none"/>
        </w:rPr>
        <w:t>keeping doors and windows shut while you work with the GMOs</w:t>
      </w:r>
    </w:p>
    <w:p w14:paraId="2EE49EC9" w14:textId="1C1E4484" w:rsidR="003A7FAF" w:rsidRPr="003C2CB9" w:rsidRDefault="003A7FAF" w:rsidP="003A7FAF">
      <w:pPr>
        <w:pStyle w:val="ListParagraph"/>
        <w:widowControl w:val="0"/>
        <w:numPr>
          <w:ilvl w:val="1"/>
          <w:numId w:val="1"/>
        </w:numPr>
        <w:tabs>
          <w:tab w:val="left" w:pos="284"/>
          <w:tab w:val="left" w:pos="709"/>
        </w:tabs>
        <w:autoSpaceDE w:val="0"/>
        <w:autoSpaceDN w:val="0"/>
        <w:spacing w:before="2" w:after="0"/>
        <w:ind w:left="-426" w:right="205" w:firstLine="993"/>
        <w:contextualSpacing w:val="0"/>
        <w:rPr>
          <w:rFonts w:ascii="HelveticaNeue-Light" w:eastAsiaTheme="minorEastAsia" w:hAnsi="HelveticaNeue-Light" w:cs="HelveticaNeue-Light"/>
          <w:kern w:val="0"/>
          <w:sz w:val="18"/>
          <w:szCs w:val="18"/>
          <w:lang w:eastAsia="en-AU"/>
          <w14:ligatures w14:val="none"/>
        </w:rPr>
      </w:pPr>
      <w:r w:rsidRPr="003C2CB9">
        <w:rPr>
          <w:rFonts w:ascii="HelveticaNeue-Light" w:eastAsiaTheme="minorEastAsia" w:hAnsi="HelveticaNeue-Light" w:cs="HelveticaNeue-Light"/>
          <w:kern w:val="0"/>
          <w:sz w:val="18"/>
          <w:szCs w:val="18"/>
          <w:lang w:eastAsia="en-AU"/>
          <w14:ligatures w14:val="none"/>
        </w:rPr>
        <w:t>disinfecting hands, surfaces and anything that might have touched the GMOs once you are finished</w:t>
      </w:r>
    </w:p>
    <w:p w14:paraId="13AC54F9" w14:textId="77777777" w:rsidR="003A7FAF" w:rsidRPr="003C2CB9" w:rsidRDefault="003A7FAF" w:rsidP="003A7FAF">
      <w:pPr>
        <w:pStyle w:val="ListParagraph"/>
        <w:widowControl w:val="0"/>
        <w:numPr>
          <w:ilvl w:val="1"/>
          <w:numId w:val="1"/>
        </w:numPr>
        <w:tabs>
          <w:tab w:val="left" w:pos="284"/>
          <w:tab w:val="left" w:pos="709"/>
        </w:tabs>
        <w:autoSpaceDE w:val="0"/>
        <w:autoSpaceDN w:val="0"/>
        <w:spacing w:after="0" w:line="254" w:lineRule="auto"/>
        <w:ind w:left="-426" w:right="167" w:firstLine="993"/>
        <w:contextualSpacing w:val="0"/>
        <w:rPr>
          <w:rFonts w:ascii="HelveticaNeue-Light" w:eastAsiaTheme="minorEastAsia" w:hAnsi="HelveticaNeue-Light" w:cs="HelveticaNeue-Light"/>
          <w:kern w:val="0"/>
          <w:sz w:val="18"/>
          <w:szCs w:val="18"/>
          <w:lang w:eastAsia="en-AU"/>
          <w14:ligatures w14:val="none"/>
        </w:rPr>
      </w:pPr>
      <w:r w:rsidRPr="003C2CB9">
        <w:rPr>
          <w:rFonts w:ascii="HelveticaNeue-Light" w:eastAsiaTheme="minorEastAsia" w:hAnsi="HelveticaNeue-Light" w:cs="HelveticaNeue-Light"/>
          <w:kern w:val="0"/>
          <w:sz w:val="18"/>
          <w:szCs w:val="18"/>
          <w:lang w:eastAsia="en-AU"/>
          <w14:ligatures w14:val="none"/>
        </w:rPr>
        <w:t>disposing of all waste and left over reagents properly.</w:t>
      </w:r>
    </w:p>
    <w:p w14:paraId="24A62AE0" w14:textId="59679398" w:rsidR="003A7FAF" w:rsidRPr="003C2CB9" w:rsidRDefault="003A7FAF" w:rsidP="003A7FAF">
      <w:pPr>
        <w:tabs>
          <w:tab w:val="left" w:pos="0"/>
          <w:tab w:val="left" w:pos="284"/>
        </w:tabs>
        <w:ind w:left="-284" w:firstLine="142"/>
        <w:rPr>
          <w:rFonts w:ascii="HelveticaNeue-Light" w:eastAsiaTheme="minorEastAsia" w:hAnsi="HelveticaNeue-Light" w:cs="HelveticaNeue-Light"/>
          <w:kern w:val="0"/>
          <w:sz w:val="18"/>
          <w:szCs w:val="18"/>
          <w:lang w:eastAsia="en-AU"/>
          <w14:ligatures w14:val="none"/>
        </w:rPr>
      </w:pPr>
    </w:p>
    <w:p w14:paraId="60978F92" w14:textId="116481F6" w:rsidR="009F2FBB" w:rsidRPr="009F2FBB" w:rsidRDefault="009F2FBB" w:rsidP="009F2FBB">
      <w:pPr>
        <w:pStyle w:val="Title"/>
        <w:rPr>
          <w:rStyle w:val="Heading2Char"/>
          <w:b/>
          <w:bCs/>
          <w:color w:val="A02B93" w:themeColor="accent5"/>
        </w:rPr>
      </w:pPr>
      <w:bookmarkStart w:id="1" w:name="Your_formal_obligations"/>
      <w:bookmarkEnd w:id="1"/>
      <w:r w:rsidRPr="009F2FBB">
        <w:rPr>
          <w:rStyle w:val="Heading2Char"/>
          <w:b/>
          <w:bCs/>
          <w:color w:val="A02B93" w:themeColor="accent5"/>
        </w:rPr>
        <w:t xml:space="preserve">Your </w:t>
      </w:r>
      <w:r w:rsidRPr="00ED00FB">
        <w:rPr>
          <w:rStyle w:val="Heading2Char"/>
          <w:b/>
          <w:bCs/>
          <w:color w:val="A02B93" w:themeColor="accent5"/>
        </w:rPr>
        <w:t>formal</w:t>
      </w:r>
      <w:r w:rsidRPr="009F2FBB">
        <w:rPr>
          <w:rStyle w:val="Heading2Char"/>
          <w:b/>
          <w:bCs/>
          <w:color w:val="A02B93" w:themeColor="accent5"/>
        </w:rPr>
        <w:t xml:space="preserve"> obligations</w:t>
      </w:r>
    </w:p>
    <w:p w14:paraId="316BB406" w14:textId="53A16458" w:rsidR="009F2FBB" w:rsidRPr="003C2CB9" w:rsidRDefault="009F2FBB" w:rsidP="003C2CB9">
      <w:pPr>
        <w:pStyle w:val="BodyText"/>
        <w:spacing w:before="122"/>
        <w:ind w:right="119"/>
        <w:rPr>
          <w:rFonts w:ascii="HelveticaNeue-Light" w:eastAsiaTheme="minorEastAsia" w:hAnsi="HelveticaNeue-Light" w:cs="HelveticaNeue-Light"/>
          <w:sz w:val="18"/>
          <w:szCs w:val="18"/>
          <w:lang w:eastAsia="en-AU"/>
        </w:rPr>
      </w:pPr>
      <w:r w:rsidRPr="003C2CB9">
        <w:rPr>
          <w:rFonts w:ascii="HelveticaNeue-Light" w:eastAsiaTheme="minorEastAsia" w:hAnsi="HelveticaNeue-Light" w:cs="HelveticaNeue-Light"/>
          <w:sz w:val="18"/>
          <w:szCs w:val="18"/>
          <w:lang w:eastAsia="en-AU"/>
        </w:rPr>
        <w:t>You must ensure that your experiments are classified as Exempt dealings.</w:t>
      </w:r>
    </w:p>
    <w:p w14:paraId="60F49DB5" w14:textId="57DA73FC" w:rsidR="009F2FBB" w:rsidRPr="003C2CB9" w:rsidRDefault="003C2CB9" w:rsidP="009F2FBB">
      <w:pPr>
        <w:pStyle w:val="BodyText"/>
        <w:spacing w:before="122"/>
        <w:ind w:left="617" w:right="118"/>
        <w:rPr>
          <w:rFonts w:ascii="HelveticaNeue-Light" w:eastAsiaTheme="minorEastAsia" w:hAnsi="HelveticaNeue-Light" w:cs="HelveticaNeue-Light"/>
          <w:sz w:val="18"/>
          <w:szCs w:val="18"/>
          <w:lang w:eastAsia="en-AU"/>
        </w:rPr>
      </w:pPr>
      <w:r w:rsidRPr="009F2FBB">
        <w:rPr>
          <w:rFonts w:ascii="HelveticaNeue-Light" w:eastAsiaTheme="minorEastAsia" w:hAnsi="HelveticaNeue-Light" w:cs="HelveticaNeue-Light"/>
          <w:noProof/>
          <w:lang w:eastAsia="en-AU"/>
        </w:rPr>
        <w:drawing>
          <wp:anchor distT="0" distB="0" distL="114300" distR="114300" simplePos="0" relativeHeight="251659264" behindDoc="0" locked="0" layoutInCell="1" allowOverlap="1" wp14:anchorId="1309B341" wp14:editId="72A07E88">
            <wp:simplePos x="0" y="0"/>
            <wp:positionH relativeFrom="margin">
              <wp:align>left</wp:align>
            </wp:positionH>
            <wp:positionV relativeFrom="paragraph">
              <wp:posOffset>203835</wp:posOffset>
            </wp:positionV>
            <wp:extent cx="2063115" cy="1247775"/>
            <wp:effectExtent l="0" t="0" r="0" b="9525"/>
            <wp:wrapThrough wrapText="bothSides">
              <wp:wrapPolygon edited="0">
                <wp:start x="0" y="0"/>
                <wp:lineTo x="0" y="21435"/>
                <wp:lineTo x="21341" y="21435"/>
                <wp:lineTo x="21341" y="0"/>
                <wp:lineTo x="0" y="0"/>
              </wp:wrapPolygon>
            </wp:wrapThrough>
            <wp:docPr id="2045152592" name="Picture 1" descr="A group of people in lab coats&#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52592" name="Picture 1" descr="A group of people in lab coats&#10;&#10;&#10;"/>
                    <pic:cNvPicPr/>
                  </pic:nvPicPr>
                  <pic:blipFill>
                    <a:blip r:embed="rId10">
                      <a:extLst>
                        <a:ext uri="{28A0092B-C50C-407E-A947-70E740481C1C}">
                          <a14:useLocalDpi xmlns:a14="http://schemas.microsoft.com/office/drawing/2010/main" val="0"/>
                        </a:ext>
                      </a:extLst>
                    </a:blip>
                    <a:stretch>
                      <a:fillRect/>
                    </a:stretch>
                  </pic:blipFill>
                  <pic:spPr>
                    <a:xfrm>
                      <a:off x="0" y="0"/>
                      <a:ext cx="2063115" cy="1247775"/>
                    </a:xfrm>
                    <a:prstGeom prst="rect">
                      <a:avLst/>
                    </a:prstGeom>
                  </pic:spPr>
                </pic:pic>
              </a:graphicData>
            </a:graphic>
            <wp14:sizeRelH relativeFrom="page">
              <wp14:pctWidth>0</wp14:pctWidth>
            </wp14:sizeRelH>
            <wp14:sizeRelV relativeFrom="page">
              <wp14:pctHeight>0</wp14:pctHeight>
            </wp14:sizeRelV>
          </wp:anchor>
        </w:drawing>
      </w:r>
    </w:p>
    <w:p w14:paraId="099C964F" w14:textId="77777777" w:rsidR="003C2CB9" w:rsidRDefault="003C2CB9" w:rsidP="009F2FBB">
      <w:pPr>
        <w:pStyle w:val="BodyText"/>
        <w:tabs>
          <w:tab w:val="left" w:pos="5954"/>
        </w:tabs>
        <w:spacing w:before="60"/>
        <w:ind w:left="617" w:right="118"/>
        <w:rPr>
          <w:rFonts w:ascii="HelveticaNeue-Light" w:eastAsiaTheme="minorEastAsia" w:hAnsi="HelveticaNeue-Light" w:cs="HelveticaNeue-Light"/>
          <w:sz w:val="18"/>
          <w:szCs w:val="18"/>
          <w:lang w:eastAsia="en-AU"/>
        </w:rPr>
      </w:pPr>
    </w:p>
    <w:p w14:paraId="0BE617CF" w14:textId="67CB9EEB" w:rsidR="009F2FBB" w:rsidRPr="003C2CB9" w:rsidRDefault="009F2FBB" w:rsidP="009F2FBB">
      <w:pPr>
        <w:pStyle w:val="BodyText"/>
        <w:tabs>
          <w:tab w:val="left" w:pos="5954"/>
        </w:tabs>
        <w:spacing w:before="60"/>
        <w:ind w:left="617" w:right="118"/>
        <w:rPr>
          <w:rFonts w:ascii="HelveticaNeue-Light" w:eastAsiaTheme="minorEastAsia" w:hAnsi="HelveticaNeue-Light" w:cs="HelveticaNeue-Light"/>
          <w:sz w:val="18"/>
          <w:szCs w:val="18"/>
          <w:lang w:eastAsia="en-AU"/>
        </w:rPr>
      </w:pPr>
      <w:r w:rsidRPr="003C2CB9">
        <w:rPr>
          <w:rFonts w:ascii="HelveticaNeue-Light" w:eastAsiaTheme="minorEastAsia" w:hAnsi="HelveticaNeue-Light" w:cs="HelveticaNeue-Light"/>
          <w:sz w:val="18"/>
          <w:szCs w:val="18"/>
          <w:lang w:eastAsia="en-AU"/>
        </w:rPr>
        <w:t>To be classified as Exempt Dealings, experiments must meet the definition of an Exempt Dealing in the legislation (as described in Part 1, Schedule 2, of the Regulations) and must not release viable GMOs outside the classroom or the laboratory.</w:t>
      </w:r>
    </w:p>
    <w:p w14:paraId="42FBEE5D" w14:textId="77777777" w:rsidR="009F2FBB" w:rsidRDefault="009F2FBB" w:rsidP="009F2FBB">
      <w:pPr>
        <w:pStyle w:val="BodyText"/>
        <w:tabs>
          <w:tab w:val="left" w:pos="5954"/>
        </w:tabs>
        <w:spacing w:before="60"/>
        <w:ind w:left="617" w:right="118"/>
        <w:rPr>
          <w:rFonts w:ascii="HelveticaNeue-Light" w:eastAsiaTheme="minorEastAsia" w:hAnsi="HelveticaNeue-Light" w:cs="HelveticaNeue-Light"/>
          <w:sz w:val="18"/>
          <w:szCs w:val="18"/>
          <w:lang w:eastAsia="en-AU"/>
        </w:rPr>
      </w:pPr>
    </w:p>
    <w:p w14:paraId="5F4CA6D5" w14:textId="77777777" w:rsidR="003C2CB9" w:rsidRDefault="003C2CB9" w:rsidP="009F2FBB">
      <w:pPr>
        <w:pStyle w:val="BodyText"/>
        <w:tabs>
          <w:tab w:val="left" w:pos="5954"/>
        </w:tabs>
        <w:spacing w:before="60"/>
        <w:ind w:left="617" w:right="118"/>
        <w:rPr>
          <w:rFonts w:ascii="HelveticaNeue-Light" w:eastAsiaTheme="minorEastAsia" w:hAnsi="HelveticaNeue-Light" w:cs="HelveticaNeue-Light"/>
          <w:sz w:val="18"/>
          <w:szCs w:val="18"/>
          <w:lang w:eastAsia="en-AU"/>
        </w:rPr>
      </w:pPr>
    </w:p>
    <w:p w14:paraId="6ABBD185" w14:textId="77777777" w:rsidR="003C2CB9" w:rsidRDefault="003C2CB9" w:rsidP="009F2FBB">
      <w:pPr>
        <w:pStyle w:val="BodyText"/>
        <w:tabs>
          <w:tab w:val="left" w:pos="5954"/>
        </w:tabs>
        <w:spacing w:before="60"/>
        <w:ind w:left="617" w:right="118"/>
        <w:rPr>
          <w:rFonts w:ascii="HelveticaNeue-Light" w:eastAsiaTheme="minorEastAsia" w:hAnsi="HelveticaNeue-Light" w:cs="HelveticaNeue-Light"/>
          <w:sz w:val="18"/>
          <w:szCs w:val="18"/>
          <w:lang w:eastAsia="en-AU"/>
        </w:rPr>
      </w:pPr>
    </w:p>
    <w:p w14:paraId="3B161E31" w14:textId="21ED955C" w:rsidR="003C2CB9" w:rsidRDefault="003C2CB9" w:rsidP="009F2FBB">
      <w:pPr>
        <w:pStyle w:val="BodyText"/>
        <w:tabs>
          <w:tab w:val="left" w:pos="5954"/>
        </w:tabs>
        <w:spacing w:before="60"/>
        <w:ind w:left="617" w:right="118"/>
        <w:rPr>
          <w:rFonts w:ascii="HelveticaNeue-Light" w:eastAsiaTheme="minorEastAsia" w:hAnsi="HelveticaNeue-Light" w:cs="HelveticaNeue-Light"/>
          <w:sz w:val="18"/>
          <w:szCs w:val="18"/>
          <w:lang w:eastAsia="en-AU"/>
        </w:rPr>
      </w:pPr>
      <w:r w:rsidRPr="009F2FBB">
        <w:rPr>
          <w:rFonts w:ascii="HelveticaNeue-Light" w:eastAsiaTheme="minorEastAsia" w:hAnsi="HelveticaNeue-Light" w:cs="HelveticaNeue-Light"/>
          <w:noProof/>
          <w:lang w:eastAsia="en-AU"/>
        </w:rPr>
        <w:drawing>
          <wp:anchor distT="0" distB="0" distL="114300" distR="114300" simplePos="0" relativeHeight="251661312" behindDoc="0" locked="0" layoutInCell="1" allowOverlap="1" wp14:anchorId="0CC41C8F" wp14:editId="1BA0DE2A">
            <wp:simplePos x="0" y="0"/>
            <wp:positionH relativeFrom="column">
              <wp:posOffset>4676775</wp:posOffset>
            </wp:positionH>
            <wp:positionV relativeFrom="paragraph">
              <wp:posOffset>122555</wp:posOffset>
            </wp:positionV>
            <wp:extent cx="1914525" cy="1526540"/>
            <wp:effectExtent l="0" t="0" r="9525" b="0"/>
            <wp:wrapThrough wrapText="bothSides">
              <wp:wrapPolygon edited="0">
                <wp:start x="0" y="0"/>
                <wp:lineTo x="0" y="21295"/>
                <wp:lineTo x="21493" y="21295"/>
                <wp:lineTo x="21493" y="0"/>
                <wp:lineTo x="0" y="0"/>
              </wp:wrapPolygon>
            </wp:wrapThrough>
            <wp:docPr id="1323136318" name="Picture 1" descr="A green folder with white paper on a wooden surf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136318" name="Picture 1" descr="A green folder with white paper on a wooden surface&#10;"/>
                    <pic:cNvPicPr/>
                  </pic:nvPicPr>
                  <pic:blipFill>
                    <a:blip r:embed="rId11">
                      <a:extLst>
                        <a:ext uri="{28A0092B-C50C-407E-A947-70E740481C1C}">
                          <a14:useLocalDpi xmlns:a14="http://schemas.microsoft.com/office/drawing/2010/main" val="0"/>
                        </a:ext>
                      </a:extLst>
                    </a:blip>
                    <a:stretch>
                      <a:fillRect/>
                    </a:stretch>
                  </pic:blipFill>
                  <pic:spPr>
                    <a:xfrm>
                      <a:off x="0" y="0"/>
                      <a:ext cx="1914525" cy="1526540"/>
                    </a:xfrm>
                    <a:prstGeom prst="rect">
                      <a:avLst/>
                    </a:prstGeom>
                  </pic:spPr>
                </pic:pic>
              </a:graphicData>
            </a:graphic>
            <wp14:sizeRelH relativeFrom="page">
              <wp14:pctWidth>0</wp14:pctWidth>
            </wp14:sizeRelH>
            <wp14:sizeRelV relativeFrom="page">
              <wp14:pctHeight>0</wp14:pctHeight>
            </wp14:sizeRelV>
          </wp:anchor>
        </w:drawing>
      </w:r>
    </w:p>
    <w:p w14:paraId="0C671331" w14:textId="77777777" w:rsidR="003C2CB9" w:rsidRPr="003C2CB9" w:rsidRDefault="003C2CB9" w:rsidP="009F2FBB">
      <w:pPr>
        <w:pStyle w:val="BodyText"/>
        <w:tabs>
          <w:tab w:val="left" w:pos="5954"/>
        </w:tabs>
        <w:spacing w:before="60"/>
        <w:ind w:left="617" w:right="118"/>
        <w:rPr>
          <w:rFonts w:ascii="HelveticaNeue-Light" w:eastAsiaTheme="minorEastAsia" w:hAnsi="HelveticaNeue-Light" w:cs="HelveticaNeue-Light"/>
          <w:sz w:val="18"/>
          <w:szCs w:val="18"/>
          <w:lang w:eastAsia="en-AU"/>
        </w:rPr>
      </w:pPr>
    </w:p>
    <w:p w14:paraId="152C1A92" w14:textId="0A315745" w:rsidR="009F2FBB" w:rsidRPr="003C2CB9" w:rsidRDefault="009F2FBB" w:rsidP="003C2CB9">
      <w:pPr>
        <w:pStyle w:val="BodyText"/>
        <w:spacing w:before="60"/>
        <w:ind w:right="119"/>
        <w:rPr>
          <w:rFonts w:ascii="HelveticaNeue-Light" w:eastAsiaTheme="minorEastAsia" w:hAnsi="HelveticaNeue-Light" w:cs="HelveticaNeue-Light"/>
          <w:sz w:val="18"/>
          <w:szCs w:val="18"/>
          <w:u w:val="single"/>
          <w:lang w:eastAsia="en-AU"/>
        </w:rPr>
      </w:pPr>
      <w:r w:rsidRPr="003C2CB9">
        <w:rPr>
          <w:rFonts w:ascii="HelveticaNeue-Light" w:eastAsiaTheme="minorEastAsia" w:hAnsi="HelveticaNeue-Light" w:cs="HelveticaNeue-Light"/>
          <w:sz w:val="18"/>
          <w:szCs w:val="18"/>
          <w:lang w:eastAsia="en-AU"/>
        </w:rPr>
        <w:t xml:space="preserve">Read what the Act says here: </w:t>
      </w:r>
      <w:hyperlink r:id="rId12" w:history="1">
        <w:r w:rsidRPr="003C2CB9">
          <w:rPr>
            <w:rFonts w:ascii="HelveticaNeue-Light" w:eastAsiaTheme="minorEastAsia" w:hAnsi="HelveticaNeue-Light" w:cs="HelveticaNeue-Light"/>
            <w:sz w:val="18"/>
            <w:szCs w:val="18"/>
            <w:u w:val="single"/>
            <w:lang w:eastAsia="en-AU"/>
          </w:rPr>
          <w:t>What dealings with GMOs are classified as exempt dealings?</w:t>
        </w:r>
      </w:hyperlink>
    </w:p>
    <w:p w14:paraId="516DAA93" w14:textId="2939974E" w:rsidR="009F2FBB" w:rsidRPr="003C2CB9" w:rsidRDefault="009F2FBB" w:rsidP="003C2CB9">
      <w:pPr>
        <w:pStyle w:val="BodyText"/>
        <w:spacing w:before="60"/>
        <w:ind w:right="119"/>
        <w:rPr>
          <w:rFonts w:ascii="HelveticaNeue-Light" w:eastAsiaTheme="minorEastAsia" w:hAnsi="HelveticaNeue-Light" w:cs="HelveticaNeue-Light"/>
          <w:sz w:val="18"/>
          <w:szCs w:val="18"/>
          <w:u w:val="single"/>
          <w:lang w:eastAsia="en-AU"/>
        </w:rPr>
      </w:pPr>
    </w:p>
    <w:p w14:paraId="5804199F" w14:textId="0DCBA7E3" w:rsidR="009F2FBB" w:rsidRPr="003C2CB9" w:rsidRDefault="009F2FBB" w:rsidP="003C2CB9">
      <w:pPr>
        <w:pStyle w:val="BodyText"/>
        <w:spacing w:before="61"/>
        <w:ind w:right="119"/>
        <w:rPr>
          <w:rFonts w:ascii="HelveticaNeue-Light" w:eastAsiaTheme="minorEastAsia" w:hAnsi="HelveticaNeue-Light" w:cs="HelveticaNeue-Light"/>
          <w:sz w:val="18"/>
          <w:szCs w:val="18"/>
          <w:lang w:eastAsia="en-AU"/>
        </w:rPr>
      </w:pPr>
      <w:r w:rsidRPr="003C2CB9">
        <w:rPr>
          <w:rFonts w:ascii="HelveticaNeue-Light" w:eastAsiaTheme="minorEastAsia" w:hAnsi="HelveticaNeue-Light" w:cs="HelveticaNeue-Light"/>
          <w:sz w:val="18"/>
          <w:szCs w:val="18"/>
          <w:lang w:eastAsia="en-AU"/>
        </w:rPr>
        <w:t>If a school is unable to meet these conditions, then you must seek approval from the Regulator.</w:t>
      </w:r>
    </w:p>
    <w:p w14:paraId="7860550B" w14:textId="7E18F989" w:rsidR="009F2FBB" w:rsidRPr="003C2CB9" w:rsidRDefault="009F2FBB" w:rsidP="003A7FAF">
      <w:pPr>
        <w:tabs>
          <w:tab w:val="left" w:pos="0"/>
          <w:tab w:val="left" w:pos="284"/>
        </w:tabs>
        <w:ind w:left="-284" w:firstLine="142"/>
        <w:rPr>
          <w:rFonts w:ascii="HelveticaNeue-Light" w:eastAsiaTheme="minorEastAsia" w:hAnsi="HelveticaNeue-Light" w:cs="HelveticaNeue-Light"/>
          <w:kern w:val="0"/>
          <w:sz w:val="18"/>
          <w:szCs w:val="18"/>
          <w:lang w:eastAsia="en-AU"/>
          <w14:ligatures w14:val="none"/>
        </w:rPr>
      </w:pPr>
    </w:p>
    <w:p w14:paraId="14DDDCA5" w14:textId="36DDD437" w:rsidR="009F2FBB" w:rsidRPr="003A7FAF" w:rsidRDefault="009F2FBB" w:rsidP="003A7FAF">
      <w:pPr>
        <w:tabs>
          <w:tab w:val="left" w:pos="0"/>
          <w:tab w:val="left" w:pos="284"/>
        </w:tabs>
        <w:ind w:left="-284" w:firstLine="142"/>
        <w:rPr>
          <w:rFonts w:ascii="HelveticaNeue-Light" w:eastAsiaTheme="minorEastAsia" w:hAnsi="HelveticaNeue-Light" w:cs="HelveticaNeue-Light"/>
          <w:kern w:val="0"/>
          <w:sz w:val="17"/>
          <w:szCs w:val="17"/>
          <w:lang w:eastAsia="en-AU"/>
          <w14:ligatures w14:val="none"/>
        </w:rPr>
      </w:pPr>
    </w:p>
    <w:sectPr w:rsidR="009F2FBB" w:rsidRPr="003A7FAF" w:rsidSect="003A7FAF">
      <w:headerReference w:type="even"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E443" w14:textId="77777777" w:rsidR="00A5486B" w:rsidRDefault="00A5486B" w:rsidP="009F2FBB">
      <w:pPr>
        <w:spacing w:after="0" w:line="240" w:lineRule="auto"/>
      </w:pPr>
      <w:r>
        <w:separator/>
      </w:r>
    </w:p>
  </w:endnote>
  <w:endnote w:type="continuationSeparator" w:id="0">
    <w:p w14:paraId="12FF3875" w14:textId="77777777" w:rsidR="00A5486B" w:rsidRDefault="00A5486B" w:rsidP="009F2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41F9" w14:textId="744166A3" w:rsidR="009F2FBB" w:rsidRDefault="009F2FBB">
    <w:pPr>
      <w:pStyle w:val="Footer"/>
    </w:pPr>
    <w:r>
      <w:rPr>
        <w:noProof/>
      </w:rPr>
      <mc:AlternateContent>
        <mc:Choice Requires="wps">
          <w:drawing>
            <wp:anchor distT="0" distB="0" distL="0" distR="0" simplePos="0" relativeHeight="251662336" behindDoc="0" locked="0" layoutInCell="1" allowOverlap="1" wp14:anchorId="0C0B7EF1" wp14:editId="78D02233">
              <wp:simplePos x="635" y="635"/>
              <wp:positionH relativeFrom="page">
                <wp:align>center</wp:align>
              </wp:positionH>
              <wp:positionV relativeFrom="page">
                <wp:align>bottom</wp:align>
              </wp:positionV>
              <wp:extent cx="622300" cy="391160"/>
              <wp:effectExtent l="0" t="0" r="6350" b="0"/>
              <wp:wrapNone/>
              <wp:docPr id="19535913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F92CA00" w14:textId="7D5C48CC" w:rsidR="009F2FBB" w:rsidRPr="009F2FBB" w:rsidRDefault="009F2FBB" w:rsidP="009F2FBB">
                          <w:pPr>
                            <w:spacing w:after="0"/>
                            <w:rPr>
                              <w:rFonts w:ascii="Aptos" w:eastAsia="Aptos" w:hAnsi="Aptos" w:cs="Aptos"/>
                              <w:noProof/>
                              <w:color w:val="FF0000"/>
                              <w:sz w:val="24"/>
                            </w:rPr>
                          </w:pPr>
                          <w:r w:rsidRPr="009F2FB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0B7EF1" id="_x0000_t202" coordsize="21600,21600" o:spt="202" path="m,l,21600r21600,l21600,xe">
              <v:stroke joinstyle="miter"/>
              <v:path gradientshapeok="t" o:connecttype="rect"/>
            </v:shapetype>
            <v:shape id="Text Box 6"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3F92CA00" w14:textId="7D5C48CC" w:rsidR="009F2FBB" w:rsidRPr="009F2FBB" w:rsidRDefault="009F2FBB" w:rsidP="009F2FBB">
                    <w:pPr>
                      <w:spacing w:after="0"/>
                      <w:rPr>
                        <w:rFonts w:ascii="Aptos" w:eastAsia="Aptos" w:hAnsi="Aptos" w:cs="Aptos"/>
                        <w:noProof/>
                        <w:color w:val="FF0000"/>
                        <w:sz w:val="24"/>
                      </w:rPr>
                    </w:pPr>
                    <w:r w:rsidRPr="009F2FB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BE83" w14:textId="59A2428C" w:rsidR="00B643E3" w:rsidRDefault="00B643E3" w:rsidP="00B643E3">
    <w:pPr>
      <w:pStyle w:val="Footer"/>
      <w:jc w:val="center"/>
    </w:pPr>
    <w:r>
      <w:t>Updated December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7505" w14:textId="72754F0D" w:rsidR="009F2FBB" w:rsidRDefault="009F2FBB">
    <w:pPr>
      <w:pStyle w:val="Footer"/>
    </w:pPr>
    <w:r>
      <w:rPr>
        <w:noProof/>
      </w:rPr>
      <mc:AlternateContent>
        <mc:Choice Requires="wps">
          <w:drawing>
            <wp:anchor distT="0" distB="0" distL="0" distR="0" simplePos="0" relativeHeight="251661312" behindDoc="0" locked="0" layoutInCell="1" allowOverlap="1" wp14:anchorId="196691B2" wp14:editId="72A93CEF">
              <wp:simplePos x="635" y="635"/>
              <wp:positionH relativeFrom="page">
                <wp:align>center</wp:align>
              </wp:positionH>
              <wp:positionV relativeFrom="page">
                <wp:align>bottom</wp:align>
              </wp:positionV>
              <wp:extent cx="622300" cy="391160"/>
              <wp:effectExtent l="0" t="0" r="6350" b="0"/>
              <wp:wrapNone/>
              <wp:docPr id="17267808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8F0745F" w14:textId="1BAD4AC3" w:rsidR="009F2FBB" w:rsidRPr="009F2FBB" w:rsidRDefault="009F2FBB" w:rsidP="009F2FBB">
                          <w:pPr>
                            <w:spacing w:after="0"/>
                            <w:rPr>
                              <w:rFonts w:ascii="Aptos" w:eastAsia="Aptos" w:hAnsi="Aptos" w:cs="Aptos"/>
                              <w:noProof/>
                              <w:color w:val="FF0000"/>
                              <w:sz w:val="24"/>
                            </w:rPr>
                          </w:pPr>
                          <w:r w:rsidRPr="009F2FB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691B2" id="_x0000_t202" coordsize="21600,21600" o:spt="202" path="m,l,21600r21600,l21600,xe">
              <v:stroke joinstyle="miter"/>
              <v:path gradientshapeok="t" o:connecttype="rect"/>
            </v:shapetype>
            <v:shape id="Text Box 5"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58F0745F" w14:textId="1BAD4AC3" w:rsidR="009F2FBB" w:rsidRPr="009F2FBB" w:rsidRDefault="009F2FBB" w:rsidP="009F2FBB">
                    <w:pPr>
                      <w:spacing w:after="0"/>
                      <w:rPr>
                        <w:rFonts w:ascii="Aptos" w:eastAsia="Aptos" w:hAnsi="Aptos" w:cs="Aptos"/>
                        <w:noProof/>
                        <w:color w:val="FF0000"/>
                        <w:sz w:val="24"/>
                      </w:rPr>
                    </w:pPr>
                    <w:r w:rsidRPr="009F2FBB">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2617" w14:textId="77777777" w:rsidR="00A5486B" w:rsidRDefault="00A5486B" w:rsidP="009F2FBB">
      <w:pPr>
        <w:spacing w:after="0" w:line="240" w:lineRule="auto"/>
      </w:pPr>
      <w:r>
        <w:separator/>
      </w:r>
    </w:p>
  </w:footnote>
  <w:footnote w:type="continuationSeparator" w:id="0">
    <w:p w14:paraId="637FA5F9" w14:textId="77777777" w:rsidR="00A5486B" w:rsidRDefault="00A5486B" w:rsidP="009F2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9761" w14:textId="0523D316" w:rsidR="009F2FBB" w:rsidRDefault="009F2FBB">
    <w:pPr>
      <w:pStyle w:val="Header"/>
    </w:pPr>
    <w:r>
      <w:rPr>
        <w:noProof/>
      </w:rPr>
      <mc:AlternateContent>
        <mc:Choice Requires="wps">
          <w:drawing>
            <wp:anchor distT="0" distB="0" distL="0" distR="0" simplePos="0" relativeHeight="251659264" behindDoc="0" locked="0" layoutInCell="1" allowOverlap="1" wp14:anchorId="4A65A69E" wp14:editId="4AFF2C11">
              <wp:simplePos x="635" y="635"/>
              <wp:positionH relativeFrom="page">
                <wp:align>center</wp:align>
              </wp:positionH>
              <wp:positionV relativeFrom="page">
                <wp:align>top</wp:align>
              </wp:positionV>
              <wp:extent cx="622300" cy="391160"/>
              <wp:effectExtent l="0" t="0" r="6350" b="8890"/>
              <wp:wrapNone/>
              <wp:docPr id="12258749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FB7DC5A" w14:textId="1B8D2D68" w:rsidR="009F2FBB" w:rsidRPr="009F2FBB" w:rsidRDefault="009F2FBB" w:rsidP="009F2FBB">
                          <w:pPr>
                            <w:spacing w:after="0"/>
                            <w:rPr>
                              <w:rFonts w:ascii="Aptos" w:eastAsia="Aptos" w:hAnsi="Aptos" w:cs="Aptos"/>
                              <w:noProof/>
                              <w:color w:val="FF0000"/>
                              <w:sz w:val="24"/>
                            </w:rPr>
                          </w:pPr>
                          <w:r w:rsidRPr="009F2FB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65A69E" id="_x0000_t202" coordsize="21600,21600" o:spt="202" path="m,l,21600r21600,l21600,xe">
              <v:stroke joinstyle="miter"/>
              <v:path gradientshapeok="t" o:connecttype="rect"/>
            </v:shapetype>
            <v:shape id="Text Box 3"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FB7DC5A" w14:textId="1B8D2D68" w:rsidR="009F2FBB" w:rsidRPr="009F2FBB" w:rsidRDefault="009F2FBB" w:rsidP="009F2FBB">
                    <w:pPr>
                      <w:spacing w:after="0"/>
                      <w:rPr>
                        <w:rFonts w:ascii="Aptos" w:eastAsia="Aptos" w:hAnsi="Aptos" w:cs="Aptos"/>
                        <w:noProof/>
                        <w:color w:val="FF0000"/>
                        <w:sz w:val="24"/>
                      </w:rPr>
                    </w:pPr>
                    <w:r w:rsidRPr="009F2FB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D30A" w14:textId="3C1E9F95" w:rsidR="009F2FBB" w:rsidRDefault="009F2FBB">
    <w:pPr>
      <w:pStyle w:val="Header"/>
    </w:pPr>
    <w:r>
      <w:rPr>
        <w:noProof/>
      </w:rPr>
      <mc:AlternateContent>
        <mc:Choice Requires="wps">
          <w:drawing>
            <wp:anchor distT="0" distB="0" distL="0" distR="0" simplePos="0" relativeHeight="251658240" behindDoc="0" locked="0" layoutInCell="1" allowOverlap="1" wp14:anchorId="7DDCF78F" wp14:editId="3AA0CC90">
              <wp:simplePos x="635" y="635"/>
              <wp:positionH relativeFrom="page">
                <wp:align>center</wp:align>
              </wp:positionH>
              <wp:positionV relativeFrom="page">
                <wp:align>top</wp:align>
              </wp:positionV>
              <wp:extent cx="622300" cy="391160"/>
              <wp:effectExtent l="0" t="0" r="6350" b="8890"/>
              <wp:wrapNone/>
              <wp:docPr id="10180750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6690207" w14:textId="457FAD6B" w:rsidR="009F2FBB" w:rsidRPr="009F2FBB" w:rsidRDefault="009F2FBB" w:rsidP="009F2FBB">
                          <w:pPr>
                            <w:spacing w:after="0"/>
                            <w:rPr>
                              <w:rFonts w:ascii="Aptos" w:eastAsia="Aptos" w:hAnsi="Aptos" w:cs="Aptos"/>
                              <w:noProof/>
                              <w:color w:val="FF0000"/>
                              <w:sz w:val="24"/>
                            </w:rPr>
                          </w:pPr>
                          <w:r w:rsidRPr="009F2FB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DCF78F" id="_x0000_t202" coordsize="21600,21600" o:spt="202" path="m,l,21600r21600,l21600,xe">
              <v:stroke joinstyle="miter"/>
              <v:path gradientshapeok="t" o:connecttype="rect"/>
            </v:shapetype>
            <v:shape id="Text Box 2"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46690207" w14:textId="457FAD6B" w:rsidR="009F2FBB" w:rsidRPr="009F2FBB" w:rsidRDefault="009F2FBB" w:rsidP="009F2FBB">
                    <w:pPr>
                      <w:spacing w:after="0"/>
                      <w:rPr>
                        <w:rFonts w:ascii="Aptos" w:eastAsia="Aptos" w:hAnsi="Aptos" w:cs="Aptos"/>
                        <w:noProof/>
                        <w:color w:val="FF0000"/>
                        <w:sz w:val="24"/>
                      </w:rPr>
                    </w:pPr>
                    <w:r w:rsidRPr="009F2FBB">
                      <w:rPr>
                        <w:rFonts w:ascii="Aptos" w:eastAsia="Aptos" w:hAnsi="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F33B9"/>
    <w:multiLevelType w:val="hybridMultilevel"/>
    <w:tmpl w:val="26B42484"/>
    <w:lvl w:ilvl="0" w:tplc="0C090001">
      <w:start w:val="1"/>
      <w:numFmt w:val="bullet"/>
      <w:lvlText w:val=""/>
      <w:lvlJc w:val="left"/>
      <w:pPr>
        <w:ind w:left="1855" w:hanging="360"/>
      </w:pPr>
      <w:rPr>
        <w:rFonts w:ascii="Symbol" w:hAnsi="Symbol" w:hint="default"/>
      </w:rPr>
    </w:lvl>
    <w:lvl w:ilvl="1" w:tplc="0C090003" w:tentative="1">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1" w15:restartNumberingAfterBreak="0">
    <w:nsid w:val="3F4919B3"/>
    <w:multiLevelType w:val="hybridMultilevel"/>
    <w:tmpl w:val="4DC6FAAA"/>
    <w:lvl w:ilvl="0" w:tplc="179E69C2">
      <w:numFmt w:val="bullet"/>
      <w:lvlText w:val=""/>
      <w:lvlJc w:val="left"/>
      <w:pPr>
        <w:ind w:left="1135" w:hanging="293"/>
      </w:pPr>
      <w:rPr>
        <w:rFonts w:ascii="Symbol" w:eastAsia="Symbol" w:hAnsi="Symbol" w:cs="Symbol" w:hint="default"/>
        <w:b w:val="0"/>
        <w:bCs w:val="0"/>
        <w:i w:val="0"/>
        <w:iCs w:val="0"/>
        <w:w w:val="100"/>
        <w:sz w:val="17"/>
        <w:szCs w:val="17"/>
        <w:lang w:val="en-AU" w:eastAsia="en-US" w:bidi="ar-SA"/>
      </w:rPr>
    </w:lvl>
    <w:lvl w:ilvl="1" w:tplc="BD088444">
      <w:numFmt w:val="bullet"/>
      <w:lvlText w:val=""/>
      <w:lvlJc w:val="left"/>
      <w:pPr>
        <w:ind w:left="1418" w:hanging="296"/>
      </w:pPr>
      <w:rPr>
        <w:rFonts w:ascii="Symbol" w:eastAsia="Symbol" w:hAnsi="Symbol" w:cs="Symbol" w:hint="default"/>
        <w:b w:val="0"/>
        <w:bCs w:val="0"/>
        <w:i w:val="0"/>
        <w:iCs w:val="0"/>
        <w:w w:val="100"/>
        <w:sz w:val="17"/>
        <w:szCs w:val="17"/>
        <w:lang w:val="en-AU" w:eastAsia="en-US" w:bidi="ar-SA"/>
      </w:rPr>
    </w:lvl>
    <w:lvl w:ilvl="2" w:tplc="97CE2E02">
      <w:numFmt w:val="bullet"/>
      <w:lvlText w:val="•"/>
      <w:lvlJc w:val="left"/>
      <w:pPr>
        <w:ind w:left="1685" w:hanging="296"/>
      </w:pPr>
      <w:rPr>
        <w:rFonts w:hint="default"/>
        <w:lang w:val="en-AU" w:eastAsia="en-US" w:bidi="ar-SA"/>
      </w:rPr>
    </w:lvl>
    <w:lvl w:ilvl="3" w:tplc="60BA2A08">
      <w:numFmt w:val="bullet"/>
      <w:lvlText w:val="•"/>
      <w:lvlJc w:val="left"/>
      <w:pPr>
        <w:ind w:left="1950" w:hanging="296"/>
      </w:pPr>
      <w:rPr>
        <w:rFonts w:hint="default"/>
        <w:lang w:val="en-AU" w:eastAsia="en-US" w:bidi="ar-SA"/>
      </w:rPr>
    </w:lvl>
    <w:lvl w:ilvl="4" w:tplc="C9D69D4A">
      <w:numFmt w:val="bullet"/>
      <w:lvlText w:val="•"/>
      <w:lvlJc w:val="left"/>
      <w:pPr>
        <w:ind w:left="2216" w:hanging="296"/>
      </w:pPr>
      <w:rPr>
        <w:rFonts w:hint="default"/>
        <w:lang w:val="en-AU" w:eastAsia="en-US" w:bidi="ar-SA"/>
      </w:rPr>
    </w:lvl>
    <w:lvl w:ilvl="5" w:tplc="C16E2524">
      <w:numFmt w:val="bullet"/>
      <w:lvlText w:val="•"/>
      <w:lvlJc w:val="left"/>
      <w:pPr>
        <w:ind w:left="2481" w:hanging="296"/>
      </w:pPr>
      <w:rPr>
        <w:rFonts w:hint="default"/>
        <w:lang w:val="en-AU" w:eastAsia="en-US" w:bidi="ar-SA"/>
      </w:rPr>
    </w:lvl>
    <w:lvl w:ilvl="6" w:tplc="1A989760">
      <w:numFmt w:val="bullet"/>
      <w:lvlText w:val="•"/>
      <w:lvlJc w:val="left"/>
      <w:pPr>
        <w:ind w:left="2747" w:hanging="296"/>
      </w:pPr>
      <w:rPr>
        <w:rFonts w:hint="default"/>
        <w:lang w:val="en-AU" w:eastAsia="en-US" w:bidi="ar-SA"/>
      </w:rPr>
    </w:lvl>
    <w:lvl w:ilvl="7" w:tplc="CA4EBAF4">
      <w:numFmt w:val="bullet"/>
      <w:lvlText w:val="•"/>
      <w:lvlJc w:val="left"/>
      <w:pPr>
        <w:ind w:left="3012" w:hanging="296"/>
      </w:pPr>
      <w:rPr>
        <w:rFonts w:hint="default"/>
        <w:lang w:val="en-AU" w:eastAsia="en-US" w:bidi="ar-SA"/>
      </w:rPr>
    </w:lvl>
    <w:lvl w:ilvl="8" w:tplc="C52CC19A">
      <w:numFmt w:val="bullet"/>
      <w:lvlText w:val="•"/>
      <w:lvlJc w:val="left"/>
      <w:pPr>
        <w:ind w:left="3278" w:hanging="296"/>
      </w:pPr>
      <w:rPr>
        <w:rFonts w:hint="default"/>
        <w:lang w:val="en-AU" w:eastAsia="en-US" w:bidi="ar-SA"/>
      </w:rPr>
    </w:lvl>
  </w:abstractNum>
  <w:num w:numId="1" w16cid:durableId="1050694259">
    <w:abstractNumId w:val="1"/>
  </w:num>
  <w:num w:numId="2" w16cid:durableId="1876655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FAF"/>
    <w:rsid w:val="00075A36"/>
    <w:rsid w:val="002564AE"/>
    <w:rsid w:val="00280050"/>
    <w:rsid w:val="003A7FAF"/>
    <w:rsid w:val="003C2CB9"/>
    <w:rsid w:val="005E589A"/>
    <w:rsid w:val="006A7465"/>
    <w:rsid w:val="007B722C"/>
    <w:rsid w:val="008A003B"/>
    <w:rsid w:val="009F2FBB"/>
    <w:rsid w:val="00A5486B"/>
    <w:rsid w:val="00B643E3"/>
    <w:rsid w:val="00ED00FB"/>
    <w:rsid w:val="00F14D6C"/>
    <w:rsid w:val="00F74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33AB"/>
  <w15:chartTrackingRefBased/>
  <w15:docId w15:val="{DA1F5518-CAB5-472C-A87D-2996919F2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F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7F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F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F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A7F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A7F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A7F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A7F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A7F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7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FA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F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A7F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A7F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7F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7F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7F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7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F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FA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A7FAF"/>
    <w:pPr>
      <w:spacing w:before="160"/>
      <w:jc w:val="center"/>
    </w:pPr>
    <w:rPr>
      <w:i/>
      <w:iCs/>
      <w:color w:val="404040" w:themeColor="text1" w:themeTint="BF"/>
    </w:rPr>
  </w:style>
  <w:style w:type="character" w:customStyle="1" w:styleId="QuoteChar">
    <w:name w:val="Quote Char"/>
    <w:basedOn w:val="DefaultParagraphFont"/>
    <w:link w:val="Quote"/>
    <w:uiPriority w:val="29"/>
    <w:rsid w:val="003A7FAF"/>
    <w:rPr>
      <w:i/>
      <w:iCs/>
      <w:color w:val="404040" w:themeColor="text1" w:themeTint="BF"/>
    </w:rPr>
  </w:style>
  <w:style w:type="paragraph" w:styleId="ListParagraph">
    <w:name w:val="List Paragraph"/>
    <w:basedOn w:val="Normal"/>
    <w:uiPriority w:val="1"/>
    <w:qFormat/>
    <w:rsid w:val="003A7FAF"/>
    <w:pPr>
      <w:ind w:left="720"/>
      <w:contextualSpacing/>
    </w:pPr>
  </w:style>
  <w:style w:type="character" w:styleId="IntenseEmphasis">
    <w:name w:val="Intense Emphasis"/>
    <w:basedOn w:val="DefaultParagraphFont"/>
    <w:uiPriority w:val="21"/>
    <w:qFormat/>
    <w:rsid w:val="003A7FAF"/>
    <w:rPr>
      <w:i/>
      <w:iCs/>
      <w:color w:val="0F4761" w:themeColor="accent1" w:themeShade="BF"/>
    </w:rPr>
  </w:style>
  <w:style w:type="paragraph" w:styleId="IntenseQuote">
    <w:name w:val="Intense Quote"/>
    <w:basedOn w:val="Normal"/>
    <w:next w:val="Normal"/>
    <w:link w:val="IntenseQuoteChar"/>
    <w:uiPriority w:val="30"/>
    <w:qFormat/>
    <w:rsid w:val="003A7F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FAF"/>
    <w:rPr>
      <w:i/>
      <w:iCs/>
      <w:color w:val="0F4761" w:themeColor="accent1" w:themeShade="BF"/>
    </w:rPr>
  </w:style>
  <w:style w:type="character" w:styleId="IntenseReference">
    <w:name w:val="Intense Reference"/>
    <w:basedOn w:val="DefaultParagraphFont"/>
    <w:uiPriority w:val="32"/>
    <w:qFormat/>
    <w:rsid w:val="003A7FAF"/>
    <w:rPr>
      <w:b/>
      <w:bCs/>
      <w:smallCaps/>
      <w:color w:val="0F4761" w:themeColor="accent1" w:themeShade="BF"/>
      <w:spacing w:val="5"/>
    </w:rPr>
  </w:style>
  <w:style w:type="paragraph" w:styleId="BodyText">
    <w:name w:val="Body Text"/>
    <w:basedOn w:val="Normal"/>
    <w:link w:val="BodyTextChar"/>
    <w:uiPriority w:val="1"/>
    <w:qFormat/>
    <w:rsid w:val="003A7FAF"/>
    <w:pPr>
      <w:widowControl w:val="0"/>
      <w:autoSpaceDE w:val="0"/>
      <w:autoSpaceDN w:val="0"/>
      <w:spacing w:after="0" w:line="240" w:lineRule="auto"/>
    </w:pPr>
    <w:rPr>
      <w:rFonts w:eastAsia="Arial" w:cs="Arial"/>
      <w:kern w:val="0"/>
      <w:sz w:val="17"/>
      <w:szCs w:val="17"/>
      <w14:ligatures w14:val="none"/>
    </w:rPr>
  </w:style>
  <w:style w:type="character" w:customStyle="1" w:styleId="BodyTextChar">
    <w:name w:val="Body Text Char"/>
    <w:basedOn w:val="DefaultParagraphFont"/>
    <w:link w:val="BodyText"/>
    <w:uiPriority w:val="1"/>
    <w:rsid w:val="003A7FAF"/>
    <w:rPr>
      <w:rFonts w:eastAsia="Arial" w:cs="Arial"/>
      <w:kern w:val="0"/>
      <w:sz w:val="17"/>
      <w:szCs w:val="17"/>
      <w14:ligatures w14:val="none"/>
    </w:rPr>
  </w:style>
  <w:style w:type="paragraph" w:styleId="NormalWeb">
    <w:name w:val="Normal (Web)"/>
    <w:basedOn w:val="Normal"/>
    <w:uiPriority w:val="99"/>
    <w:semiHidden/>
    <w:unhideWhenUsed/>
    <w:rsid w:val="003A7FAF"/>
    <w:pPr>
      <w:spacing w:before="100" w:beforeAutospacing="1" w:after="100" w:afterAutospacing="1" w:line="240" w:lineRule="auto"/>
    </w:pPr>
    <w:rPr>
      <w:rFonts w:ascii="Times New Roman" w:eastAsia="Times New Roman" w:hAnsi="Times New Roman"/>
      <w:kern w:val="0"/>
      <w:sz w:val="24"/>
      <w:lang w:eastAsia="en-AU"/>
      <w14:ligatures w14:val="none"/>
    </w:rPr>
  </w:style>
  <w:style w:type="character" w:styleId="Hyperlink">
    <w:name w:val="Hyperlink"/>
    <w:basedOn w:val="DefaultParagraphFont"/>
    <w:uiPriority w:val="99"/>
    <w:unhideWhenUsed/>
    <w:rsid w:val="003A7FAF"/>
    <w:rPr>
      <w:color w:val="467886" w:themeColor="hyperlink"/>
      <w:u w:val="single"/>
    </w:rPr>
  </w:style>
  <w:style w:type="paragraph" w:styleId="Header">
    <w:name w:val="header"/>
    <w:basedOn w:val="Normal"/>
    <w:link w:val="HeaderChar"/>
    <w:uiPriority w:val="99"/>
    <w:unhideWhenUsed/>
    <w:rsid w:val="009F2F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FBB"/>
  </w:style>
  <w:style w:type="paragraph" w:styleId="Footer">
    <w:name w:val="footer"/>
    <w:basedOn w:val="Normal"/>
    <w:link w:val="FooterChar"/>
    <w:uiPriority w:val="99"/>
    <w:unhideWhenUsed/>
    <w:rsid w:val="009F2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gtr.gov.au/resources/publications/dealings-classified-exempt-1-september-2011"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gtr.gov.au/resources/publications/guidance-notes-containment-exempt-dealing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1499</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 kits in Schools</dc:title>
  <dc:subject/>
  <dc:creator>OGTR.Voicemail@health.gov.au</dc:creator>
  <cp:keywords/>
  <dc:description/>
  <cp:lastModifiedBy>SMITH, Justine</cp:lastModifiedBy>
  <cp:revision>2</cp:revision>
  <dcterms:created xsi:type="dcterms:W3CDTF">2025-12-10T03:25:00Z</dcterms:created>
  <dcterms:modified xsi:type="dcterms:W3CDTF">2025-12-10T03:25:00Z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3cae97d5,49115e14,2891c0be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66ec9590,74717020,2a047124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2025-12-03T03:44:32Z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e3e52d4e-75fa-4e5f-9391-7cd1d8d255d3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