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68ED" w14:textId="5CBD4910" w:rsidR="00280050" w:rsidRDefault="00BC14A9">
      <w:r>
        <w:rPr>
          <w:noProof/>
        </w:rPr>
        <w:drawing>
          <wp:inline distT="0" distB="0" distL="0" distR="0" wp14:anchorId="64A8BFA1" wp14:editId="65DF614E">
            <wp:extent cx="3349759" cy="697993"/>
            <wp:effectExtent l="0" t="0" r="3175" b="6985"/>
            <wp:docPr id="1418876361" name="Picture 1" descr="Department of Health, Disability and Ageing , Office of the Gene Technolo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76361" name="Picture 1" descr="Department of Health, Disability and Ageing , Office of the Gene Technology Regulator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9759" cy="697993"/>
                    </a:xfrm>
                    <a:prstGeom prst="rect">
                      <a:avLst/>
                    </a:prstGeom>
                  </pic:spPr>
                </pic:pic>
              </a:graphicData>
            </a:graphic>
          </wp:inline>
        </w:drawing>
      </w:r>
    </w:p>
    <w:p w14:paraId="3C5BAED2" w14:textId="6B26EBAE" w:rsidR="00BC14A9" w:rsidRDefault="00BC14A9" w:rsidP="00100937">
      <w:pPr>
        <w:pStyle w:val="Title"/>
        <w:spacing w:before="120" w:after="240"/>
        <w:jc w:val="center"/>
        <w:rPr>
          <w:b/>
          <w:bCs/>
          <w:color w:val="153D63" w:themeColor="text2" w:themeTint="E6"/>
        </w:rPr>
      </w:pPr>
      <w:r w:rsidRPr="00BC14A9">
        <w:rPr>
          <w:b/>
          <w:bCs/>
          <w:color w:val="153D63" w:themeColor="text2" w:themeTint="E6"/>
        </w:rPr>
        <w:t>Biohacking and community science</w:t>
      </w:r>
    </w:p>
    <w:p w14:paraId="63F9990F" w14:textId="03A80938" w:rsidR="00BC14A9" w:rsidRPr="00100937" w:rsidRDefault="00BC14A9" w:rsidP="00100937">
      <w:pPr>
        <w:pStyle w:val="BodyText"/>
        <w:spacing w:before="120"/>
        <w:ind w:right="40"/>
        <w:rPr>
          <w:rFonts w:ascii="HelveticaNeue-Light" w:eastAsiaTheme="minorEastAsia" w:hAnsi="HelveticaNeue-Light" w:cs="HelveticaNeue-Light"/>
          <w:sz w:val="18"/>
          <w:szCs w:val="18"/>
          <w:lang w:eastAsia="en-AU"/>
        </w:rPr>
      </w:pPr>
      <w:r w:rsidRPr="00100937">
        <w:rPr>
          <w:noProof/>
          <w:sz w:val="18"/>
          <w:szCs w:val="18"/>
        </w:rPr>
        <w:drawing>
          <wp:anchor distT="0" distB="0" distL="114300" distR="114300" simplePos="0" relativeHeight="251658240" behindDoc="0" locked="0" layoutInCell="1" allowOverlap="1" wp14:anchorId="3D490639" wp14:editId="46626C46">
            <wp:simplePos x="0" y="0"/>
            <wp:positionH relativeFrom="column">
              <wp:posOffset>4657725</wp:posOffset>
            </wp:positionH>
            <wp:positionV relativeFrom="paragraph">
              <wp:posOffset>9525</wp:posOffset>
            </wp:positionV>
            <wp:extent cx="1848108" cy="1219370"/>
            <wp:effectExtent l="0" t="0" r="0" b="0"/>
            <wp:wrapThrough wrapText="bothSides">
              <wp:wrapPolygon edited="0">
                <wp:start x="0" y="0"/>
                <wp:lineTo x="0" y="21263"/>
                <wp:lineTo x="21377" y="21263"/>
                <wp:lineTo x="21377" y="0"/>
                <wp:lineTo x="0" y="0"/>
              </wp:wrapPolygon>
            </wp:wrapThrough>
            <wp:docPr id="1517652068" name="Picture 1" descr="A person looking through a microscop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52068" name="Picture 1" descr="A person looking through a microscope&#10;&#10;"/>
                    <pic:cNvPicPr/>
                  </pic:nvPicPr>
                  <pic:blipFill>
                    <a:blip r:embed="rId8">
                      <a:extLst>
                        <a:ext uri="{28A0092B-C50C-407E-A947-70E740481C1C}">
                          <a14:useLocalDpi xmlns:a14="http://schemas.microsoft.com/office/drawing/2010/main" val="0"/>
                        </a:ext>
                      </a:extLst>
                    </a:blip>
                    <a:stretch>
                      <a:fillRect/>
                    </a:stretch>
                  </pic:blipFill>
                  <pic:spPr>
                    <a:xfrm>
                      <a:off x="0" y="0"/>
                      <a:ext cx="1848108" cy="1219370"/>
                    </a:xfrm>
                    <a:prstGeom prst="rect">
                      <a:avLst/>
                    </a:prstGeom>
                  </pic:spPr>
                </pic:pic>
              </a:graphicData>
            </a:graphic>
            <wp14:sizeRelH relativeFrom="page">
              <wp14:pctWidth>0</wp14:pctWidth>
            </wp14:sizeRelH>
            <wp14:sizeRelV relativeFrom="page">
              <wp14:pctHeight>0</wp14:pctHeight>
            </wp14:sizeRelV>
          </wp:anchor>
        </w:drawing>
      </w:r>
      <w:r w:rsidRPr="00100937">
        <w:rPr>
          <w:rFonts w:ascii="HelveticaNeue-Light" w:eastAsiaTheme="minorEastAsia" w:hAnsi="HelveticaNeue-Light" w:cs="HelveticaNeue-Light"/>
          <w:sz w:val="18"/>
          <w:szCs w:val="18"/>
          <w:lang w:eastAsia="en-AU"/>
        </w:rPr>
        <w:t>There is a growing community of individuals in Australia who are conducting do-it-yourself biology which is also sometimes known as biohacking or community science.</w:t>
      </w:r>
    </w:p>
    <w:p w14:paraId="5CB8D7F2" w14:textId="453EC68A" w:rsidR="00BC14A9" w:rsidRPr="00100937" w:rsidRDefault="00BC14A9" w:rsidP="00100937">
      <w:pPr>
        <w:pStyle w:val="BodyText"/>
        <w:spacing w:before="120"/>
        <w:ind w:right="40"/>
        <w:rPr>
          <w:rFonts w:ascii="HelveticaNeue-Light" w:eastAsiaTheme="minorEastAsia" w:hAnsi="HelveticaNeue-Light" w:cs="HelveticaNeue-Light"/>
          <w:sz w:val="18"/>
          <w:szCs w:val="18"/>
          <w:lang w:eastAsia="en-AU"/>
        </w:rPr>
      </w:pPr>
      <w:r w:rsidRPr="00100937">
        <w:rPr>
          <w:rFonts w:ascii="HelveticaNeue-Light" w:eastAsiaTheme="minorEastAsia" w:hAnsi="HelveticaNeue-Light" w:cs="HelveticaNeue-Light"/>
          <w:sz w:val="18"/>
          <w:szCs w:val="18"/>
          <w:lang w:eastAsia="en-AU"/>
        </w:rPr>
        <w:t>Community science or biohacking covers a wide range of possible experiments and activities, some of which may involve genetically modified organisms</w:t>
      </w:r>
      <w:r w:rsidR="00100937">
        <w:rPr>
          <w:rFonts w:ascii="HelveticaNeue-Light" w:eastAsiaTheme="minorEastAsia" w:hAnsi="HelveticaNeue-Light" w:cs="HelveticaNeue-Light"/>
          <w:sz w:val="18"/>
          <w:szCs w:val="18"/>
          <w:lang w:eastAsia="en-AU"/>
        </w:rPr>
        <w:t xml:space="preserve"> (GMOs)</w:t>
      </w:r>
      <w:r w:rsidRPr="00100937">
        <w:rPr>
          <w:rFonts w:ascii="HelveticaNeue-Light" w:eastAsiaTheme="minorEastAsia" w:hAnsi="HelveticaNeue-Light" w:cs="HelveticaNeue-Light"/>
          <w:sz w:val="18"/>
          <w:szCs w:val="18"/>
          <w:lang w:eastAsia="en-AU"/>
        </w:rPr>
        <w:t>.</w:t>
      </w:r>
    </w:p>
    <w:p w14:paraId="251FDAA4" w14:textId="4E23E831" w:rsidR="00BC14A9" w:rsidRPr="00100937" w:rsidRDefault="00BC14A9" w:rsidP="00100937">
      <w:pPr>
        <w:pStyle w:val="BodyText"/>
        <w:spacing w:before="120"/>
        <w:rPr>
          <w:sz w:val="18"/>
          <w:szCs w:val="18"/>
        </w:rPr>
      </w:pPr>
      <w:r w:rsidRPr="00100937">
        <w:rPr>
          <w:rFonts w:ascii="HelveticaNeue-Light" w:eastAsiaTheme="minorEastAsia" w:hAnsi="HelveticaNeue-Light" w:cs="HelveticaNeue-Light"/>
          <w:sz w:val="18"/>
          <w:szCs w:val="18"/>
          <w:lang w:eastAsia="en-AU"/>
        </w:rPr>
        <w:t>In Australia</w:t>
      </w:r>
      <w:r w:rsidR="00100937">
        <w:rPr>
          <w:rFonts w:ascii="HelveticaNeue-Light" w:eastAsiaTheme="minorEastAsia" w:hAnsi="HelveticaNeue-Light" w:cs="HelveticaNeue-Light"/>
          <w:sz w:val="18"/>
          <w:szCs w:val="18"/>
          <w:lang w:eastAsia="en-AU"/>
        </w:rPr>
        <w:t>,</w:t>
      </w:r>
      <w:r w:rsidRPr="00100937">
        <w:rPr>
          <w:rFonts w:ascii="HelveticaNeue-Light" w:eastAsiaTheme="minorEastAsia" w:hAnsi="HelveticaNeue-Light" w:cs="HelveticaNeue-Light"/>
          <w:sz w:val="18"/>
          <w:szCs w:val="18"/>
          <w:lang w:eastAsia="en-AU"/>
        </w:rPr>
        <w:t xml:space="preserve"> there are strict laws to regulate activities involving GMOs. The laws are in place to make sure any risks to human health, safety and the environment are managed appropriately. Significant fines, and even jail time, can result from non-compliance</w:t>
      </w:r>
      <w:r w:rsidRPr="00100937">
        <w:rPr>
          <w:sz w:val="18"/>
          <w:szCs w:val="18"/>
        </w:rPr>
        <w:t>.</w:t>
      </w:r>
    </w:p>
    <w:p w14:paraId="0738B48E" w14:textId="77777777" w:rsidR="00BC14A9" w:rsidRPr="00BC14A9" w:rsidRDefault="00BC14A9" w:rsidP="00BC14A9">
      <w:pPr>
        <w:pStyle w:val="Heading2"/>
        <w:rPr>
          <w:b/>
          <w:bCs/>
        </w:rPr>
      </w:pPr>
      <w:r w:rsidRPr="00BC14A9">
        <w:rPr>
          <w:b/>
          <w:bCs/>
        </w:rPr>
        <w:t>Before</w:t>
      </w:r>
      <w:r w:rsidRPr="00BC14A9">
        <w:rPr>
          <w:b/>
          <w:bCs/>
          <w:spacing w:val="-3"/>
        </w:rPr>
        <w:t xml:space="preserve"> </w:t>
      </w:r>
      <w:r w:rsidRPr="00BC14A9">
        <w:rPr>
          <w:b/>
          <w:bCs/>
        </w:rPr>
        <w:t>you</w:t>
      </w:r>
      <w:r w:rsidRPr="00BC14A9">
        <w:rPr>
          <w:b/>
          <w:bCs/>
          <w:spacing w:val="-4"/>
        </w:rPr>
        <w:t xml:space="preserve"> </w:t>
      </w:r>
      <w:r w:rsidRPr="00BC14A9">
        <w:rPr>
          <w:b/>
          <w:bCs/>
        </w:rPr>
        <w:t>start</w:t>
      </w:r>
    </w:p>
    <w:p w14:paraId="27536CBE" w14:textId="27F030A5" w:rsidR="00BC14A9" w:rsidRPr="00100937" w:rsidRDefault="00BC14A9" w:rsidP="00BC14A9">
      <w:pPr>
        <w:pStyle w:val="BodyText"/>
        <w:spacing w:before="121"/>
        <w:ind w:right="45"/>
        <w:rPr>
          <w:rFonts w:ascii="HelveticaNeue-Light" w:eastAsiaTheme="minorEastAsia" w:hAnsi="HelveticaNeue-Light" w:cs="HelveticaNeue-Light"/>
          <w:sz w:val="18"/>
          <w:szCs w:val="18"/>
          <w:lang w:eastAsia="en-AU"/>
        </w:rPr>
      </w:pPr>
      <w:r w:rsidRPr="00100937">
        <w:rPr>
          <w:rFonts w:ascii="HelveticaNeue-Light" w:eastAsiaTheme="minorEastAsia" w:hAnsi="HelveticaNeue-Light" w:cs="HelveticaNeue-Light"/>
          <w:sz w:val="18"/>
          <w:szCs w:val="18"/>
          <w:lang w:eastAsia="en-AU"/>
        </w:rPr>
        <w:t xml:space="preserve">If you are planning to use GMOs in do-it-yourself biological research in Australia, your first port of call should be the </w:t>
      </w:r>
      <w:r w:rsidR="00100937">
        <w:rPr>
          <w:rFonts w:ascii="HelveticaNeue-Light" w:eastAsiaTheme="minorEastAsia" w:hAnsi="HelveticaNeue-Light" w:cs="HelveticaNeue-Light"/>
          <w:sz w:val="18"/>
          <w:szCs w:val="18"/>
          <w:lang w:eastAsia="en-AU"/>
        </w:rPr>
        <w:t>Office of the Gene Technology (</w:t>
      </w:r>
      <w:r w:rsidRPr="00100937">
        <w:rPr>
          <w:rFonts w:ascii="HelveticaNeue-Light" w:eastAsiaTheme="minorEastAsia" w:hAnsi="HelveticaNeue-Light" w:cs="HelveticaNeue-Light"/>
          <w:sz w:val="18"/>
          <w:szCs w:val="18"/>
          <w:lang w:eastAsia="en-AU"/>
        </w:rPr>
        <w:t>OGTR</w:t>
      </w:r>
      <w:r w:rsidR="00100937">
        <w:rPr>
          <w:rFonts w:ascii="HelveticaNeue-Light" w:eastAsiaTheme="minorEastAsia" w:hAnsi="HelveticaNeue-Light" w:cs="HelveticaNeue-Light"/>
          <w:sz w:val="18"/>
          <w:szCs w:val="18"/>
          <w:lang w:eastAsia="en-AU"/>
        </w:rPr>
        <w:t>)</w:t>
      </w:r>
      <w:r w:rsidRPr="00100937">
        <w:rPr>
          <w:rFonts w:ascii="HelveticaNeue-Light" w:eastAsiaTheme="minorEastAsia" w:hAnsi="HelveticaNeue-Light" w:cs="HelveticaNeue-Light"/>
          <w:sz w:val="18"/>
          <w:szCs w:val="18"/>
          <w:lang w:eastAsia="en-AU"/>
        </w:rPr>
        <w:t xml:space="preserve"> website to find out</w:t>
      </w:r>
      <w:r w:rsidRPr="00100937">
        <w:rPr>
          <w:rFonts w:ascii="HelveticaNeue-Light" w:eastAsiaTheme="minorEastAsia" w:hAnsi="HelveticaNeue-Light" w:cs="HelveticaNeue-Light"/>
          <w:sz w:val="18"/>
          <w:szCs w:val="18"/>
          <w:u w:val="single"/>
          <w:lang w:eastAsia="en-AU"/>
        </w:rPr>
        <w:t xml:space="preserve"> </w:t>
      </w:r>
      <w:hyperlink r:id="rId9" w:history="1">
        <w:r w:rsidRPr="00100937">
          <w:rPr>
            <w:rFonts w:ascii="HelveticaNeue-Light" w:eastAsiaTheme="minorEastAsia" w:hAnsi="HelveticaNeue-Light" w:cs="HelveticaNeue-Light"/>
            <w:sz w:val="18"/>
            <w:szCs w:val="18"/>
            <w:u w:val="single"/>
            <w:lang w:eastAsia="en-AU"/>
          </w:rPr>
          <w:t>your obligations.</w:t>
        </w:r>
      </w:hyperlink>
    </w:p>
    <w:p w14:paraId="53CB34BD" w14:textId="77777777" w:rsidR="00BC14A9" w:rsidRPr="00100937" w:rsidRDefault="00BC14A9" w:rsidP="00100937">
      <w:pPr>
        <w:pStyle w:val="BodyText"/>
        <w:spacing w:before="120"/>
        <w:ind w:right="-6"/>
        <w:rPr>
          <w:rFonts w:ascii="HelveticaNeue-Light" w:eastAsiaTheme="minorEastAsia" w:hAnsi="HelveticaNeue-Light" w:cs="HelveticaNeue-Light"/>
          <w:sz w:val="18"/>
          <w:szCs w:val="18"/>
          <w:lang w:eastAsia="en-AU"/>
        </w:rPr>
      </w:pPr>
      <w:r w:rsidRPr="00100937">
        <w:rPr>
          <w:rFonts w:ascii="HelveticaNeue-Light" w:eastAsiaTheme="minorEastAsia" w:hAnsi="HelveticaNeue-Light" w:cs="HelveticaNeue-Light"/>
          <w:sz w:val="18"/>
          <w:szCs w:val="18"/>
          <w:lang w:eastAsia="en-AU"/>
        </w:rPr>
        <w:t>There are also community science groups around Australia who can assist you.</w:t>
      </w:r>
    </w:p>
    <w:p w14:paraId="15D084C5" w14:textId="77777777" w:rsidR="00BC14A9" w:rsidRPr="00BC14A9" w:rsidRDefault="00BC14A9" w:rsidP="00BC14A9">
      <w:pPr>
        <w:pStyle w:val="Heading2"/>
        <w:rPr>
          <w:b/>
          <w:bCs/>
        </w:rPr>
      </w:pPr>
      <w:r w:rsidRPr="00BC14A9">
        <w:rPr>
          <w:b/>
          <w:bCs/>
        </w:rPr>
        <w:t>What</w:t>
      </w:r>
      <w:r w:rsidRPr="00BC14A9">
        <w:rPr>
          <w:b/>
          <w:bCs/>
          <w:spacing w:val="-3"/>
        </w:rPr>
        <w:t xml:space="preserve"> </w:t>
      </w:r>
      <w:r w:rsidRPr="00BC14A9">
        <w:rPr>
          <w:b/>
          <w:bCs/>
        </w:rPr>
        <w:t>are</w:t>
      </w:r>
      <w:r w:rsidRPr="00BC14A9">
        <w:rPr>
          <w:b/>
          <w:bCs/>
          <w:spacing w:val="-1"/>
        </w:rPr>
        <w:t xml:space="preserve"> </w:t>
      </w:r>
      <w:r w:rsidRPr="00BC14A9">
        <w:rPr>
          <w:b/>
          <w:bCs/>
        </w:rPr>
        <w:t>the</w:t>
      </w:r>
      <w:r w:rsidRPr="00BC14A9">
        <w:rPr>
          <w:b/>
          <w:bCs/>
          <w:spacing w:val="-1"/>
        </w:rPr>
        <w:t xml:space="preserve"> </w:t>
      </w:r>
      <w:r w:rsidRPr="00BC14A9">
        <w:rPr>
          <w:b/>
          <w:bCs/>
        </w:rPr>
        <w:t>rules?</w:t>
      </w:r>
    </w:p>
    <w:p w14:paraId="1C0C45BC" w14:textId="6306AA6D" w:rsidR="00BC14A9" w:rsidRPr="00100937" w:rsidRDefault="00BC14A9" w:rsidP="00BC14A9">
      <w:pPr>
        <w:pStyle w:val="BodyText"/>
        <w:spacing w:before="122"/>
        <w:ind w:right="58"/>
        <w:rPr>
          <w:rFonts w:ascii="HelveticaNeue-Light" w:eastAsiaTheme="minorEastAsia" w:hAnsi="HelveticaNeue-Light" w:cs="HelveticaNeue-Light"/>
          <w:sz w:val="18"/>
          <w:szCs w:val="18"/>
          <w:lang w:eastAsia="en-AU"/>
        </w:rPr>
      </w:pPr>
      <w:r w:rsidRPr="00100937">
        <w:rPr>
          <w:noProof/>
          <w:sz w:val="18"/>
          <w:szCs w:val="18"/>
        </w:rPr>
        <w:drawing>
          <wp:anchor distT="0" distB="0" distL="114300" distR="114300" simplePos="0" relativeHeight="251659264" behindDoc="0" locked="0" layoutInCell="1" allowOverlap="1" wp14:anchorId="6E8E1DF5" wp14:editId="66CBECFA">
            <wp:simplePos x="0" y="0"/>
            <wp:positionH relativeFrom="column">
              <wp:posOffset>0</wp:posOffset>
            </wp:positionH>
            <wp:positionV relativeFrom="paragraph">
              <wp:posOffset>26035</wp:posOffset>
            </wp:positionV>
            <wp:extent cx="1467055" cy="1171739"/>
            <wp:effectExtent l="0" t="0" r="0" b="9525"/>
            <wp:wrapThrough wrapText="bothSides">
              <wp:wrapPolygon edited="0">
                <wp:start x="0" y="0"/>
                <wp:lineTo x="0" y="21424"/>
                <wp:lineTo x="21319" y="21424"/>
                <wp:lineTo x="21319" y="0"/>
                <wp:lineTo x="0" y="0"/>
              </wp:wrapPolygon>
            </wp:wrapThrough>
            <wp:docPr id="754896525" name="Picture 1" descr="A green and white folder with a white labe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96525" name="Picture 1" descr="A green and white folder with a white label&#10;&#10;"/>
                    <pic:cNvPicPr/>
                  </pic:nvPicPr>
                  <pic:blipFill>
                    <a:blip r:embed="rId10">
                      <a:extLst>
                        <a:ext uri="{28A0092B-C50C-407E-A947-70E740481C1C}">
                          <a14:useLocalDpi xmlns:a14="http://schemas.microsoft.com/office/drawing/2010/main" val="0"/>
                        </a:ext>
                      </a:extLst>
                    </a:blip>
                    <a:stretch>
                      <a:fillRect/>
                    </a:stretch>
                  </pic:blipFill>
                  <pic:spPr>
                    <a:xfrm>
                      <a:off x="0" y="0"/>
                      <a:ext cx="1467055" cy="1171739"/>
                    </a:xfrm>
                    <a:prstGeom prst="rect">
                      <a:avLst/>
                    </a:prstGeom>
                  </pic:spPr>
                </pic:pic>
              </a:graphicData>
            </a:graphic>
            <wp14:sizeRelH relativeFrom="page">
              <wp14:pctWidth>0</wp14:pctWidth>
            </wp14:sizeRelH>
            <wp14:sizeRelV relativeFrom="page">
              <wp14:pctHeight>0</wp14:pctHeight>
            </wp14:sizeRelV>
          </wp:anchor>
        </w:drawing>
      </w:r>
      <w:r w:rsidRPr="00100937">
        <w:rPr>
          <w:sz w:val="18"/>
          <w:szCs w:val="18"/>
        </w:rPr>
        <w:t>If</w:t>
      </w:r>
      <w:r w:rsidRPr="00100937">
        <w:rPr>
          <w:spacing w:val="-2"/>
          <w:sz w:val="18"/>
          <w:szCs w:val="18"/>
        </w:rPr>
        <w:t xml:space="preserve"> </w:t>
      </w:r>
      <w:r w:rsidRPr="00100937">
        <w:rPr>
          <w:rFonts w:ascii="HelveticaNeue-Light" w:eastAsiaTheme="minorEastAsia" w:hAnsi="HelveticaNeue-Light" w:cs="HelveticaNeue-Light"/>
          <w:sz w:val="18"/>
          <w:szCs w:val="18"/>
          <w:lang w:eastAsia="en-AU"/>
        </w:rPr>
        <w:t>you are considering working with or creating GMOs in Australia, you need to understand your obligations under the legislation.</w:t>
      </w:r>
    </w:p>
    <w:p w14:paraId="500BE25E" w14:textId="0AAF5895" w:rsidR="00BC14A9" w:rsidRPr="00100937" w:rsidRDefault="00100937" w:rsidP="00100937">
      <w:pPr>
        <w:pStyle w:val="BodyText"/>
        <w:spacing w:before="120"/>
        <w:ind w:right="6"/>
        <w:rPr>
          <w:rFonts w:ascii="HelveticaNeue-Light" w:eastAsiaTheme="minorEastAsia" w:hAnsi="HelveticaNeue-Light" w:cs="HelveticaNeue-Light"/>
          <w:sz w:val="18"/>
          <w:szCs w:val="18"/>
          <w:lang w:eastAsia="en-AU"/>
        </w:rPr>
      </w:pPr>
      <w:r w:rsidRPr="00100937">
        <w:rPr>
          <w:noProof/>
          <w:sz w:val="18"/>
          <w:szCs w:val="18"/>
        </w:rPr>
        <w:drawing>
          <wp:anchor distT="0" distB="0" distL="114300" distR="114300" simplePos="0" relativeHeight="251660288" behindDoc="0" locked="0" layoutInCell="1" allowOverlap="1" wp14:anchorId="5EEF15A8" wp14:editId="03E5F5CB">
            <wp:simplePos x="0" y="0"/>
            <wp:positionH relativeFrom="margin">
              <wp:align>right</wp:align>
            </wp:positionH>
            <wp:positionV relativeFrom="paragraph">
              <wp:posOffset>684530</wp:posOffset>
            </wp:positionV>
            <wp:extent cx="2044700" cy="2790825"/>
            <wp:effectExtent l="0" t="0" r="0" b="9525"/>
            <wp:wrapThrough wrapText="bothSides">
              <wp:wrapPolygon edited="0">
                <wp:start x="0" y="0"/>
                <wp:lineTo x="0" y="21526"/>
                <wp:lineTo x="21332" y="21526"/>
                <wp:lineTo x="21332" y="0"/>
                <wp:lineTo x="0" y="0"/>
              </wp:wrapPolygon>
            </wp:wrapThrough>
            <wp:docPr id="663561821" name="Picture 1" descr="A blue box with the words: &#10;It is illegal to import, create or work with GMOs, unless:&#10;• what you are doing is classed as exempt, or&#10;• what you are doing is classed as a notifiable low risk dealing, or&#10;• you are licensed by the Gene Technology Regulator, or&#10;• the materials are already included on the GMO Register, or&#10;• the relevant government Minister has issued a temporary approval for a GMO (such as a vaccine) to respond to a public health or environmental emergenc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61821" name="Picture 1" descr="A blue box with the words: &#10;It is illegal to import, create or work with GMOs, unless:&#10;• what you are doing is classed as exempt, or&#10;• what you are doing is classed as a notifiable low risk dealing, or&#10;• you are licensed by the Gene Technology Regulator, or&#10;• the materials are already included on the GMO Register, or&#10;• the relevant government Minister has issued a temporary approval for a GMO (such as a vaccine) to respond to a public health or environmental emergency&#10;&#10;"/>
                    <pic:cNvPicPr/>
                  </pic:nvPicPr>
                  <pic:blipFill>
                    <a:blip r:embed="rId11">
                      <a:extLst>
                        <a:ext uri="{28A0092B-C50C-407E-A947-70E740481C1C}">
                          <a14:useLocalDpi xmlns:a14="http://schemas.microsoft.com/office/drawing/2010/main" val="0"/>
                        </a:ext>
                      </a:extLst>
                    </a:blip>
                    <a:stretch>
                      <a:fillRect/>
                    </a:stretch>
                  </pic:blipFill>
                  <pic:spPr>
                    <a:xfrm>
                      <a:off x="0" y="0"/>
                      <a:ext cx="2044700" cy="2790825"/>
                    </a:xfrm>
                    <a:prstGeom prst="rect">
                      <a:avLst/>
                    </a:prstGeom>
                  </pic:spPr>
                </pic:pic>
              </a:graphicData>
            </a:graphic>
            <wp14:sizeRelH relativeFrom="page">
              <wp14:pctWidth>0</wp14:pctWidth>
            </wp14:sizeRelH>
            <wp14:sizeRelV relativeFrom="page">
              <wp14:pctHeight>0</wp14:pctHeight>
            </wp14:sizeRelV>
          </wp:anchor>
        </w:drawing>
      </w:r>
      <w:r w:rsidR="00BC14A9" w:rsidRPr="00100937">
        <w:rPr>
          <w:rFonts w:ascii="HelveticaNeue-Light" w:eastAsiaTheme="minorEastAsia" w:hAnsi="HelveticaNeue-Light" w:cs="HelveticaNeue-Light"/>
          <w:sz w:val="18"/>
          <w:szCs w:val="18"/>
          <w:lang w:eastAsia="en-AU"/>
        </w:rPr>
        <w:t xml:space="preserve">Some work involving GMOs in Australia is classified as </w:t>
      </w:r>
      <w:r w:rsidR="00BC14A9" w:rsidRPr="00100937">
        <w:rPr>
          <w:rFonts w:ascii="HelveticaNeue-Light" w:eastAsiaTheme="minorEastAsia" w:hAnsi="HelveticaNeue-Light" w:cs="HelveticaNeue-Light"/>
          <w:b/>
          <w:bCs/>
          <w:sz w:val="18"/>
          <w:szCs w:val="18"/>
          <w:lang w:eastAsia="en-AU"/>
        </w:rPr>
        <w:t>exempt dealings</w:t>
      </w:r>
      <w:r w:rsidR="00BC14A9" w:rsidRPr="00100937">
        <w:rPr>
          <w:rFonts w:ascii="HelveticaNeue-Light" w:eastAsiaTheme="minorEastAsia" w:hAnsi="HelveticaNeue-Light" w:cs="HelveticaNeue-Light"/>
          <w:sz w:val="18"/>
          <w:szCs w:val="18"/>
          <w:lang w:eastAsia="en-AU"/>
        </w:rPr>
        <w:t>. The legislation includes scientific descriptions of GMO work which is exempt. If you’re using a kit such as those used in Australian schools which enable you to insert a fluorescent colour into a harmless laboratory strain of bacterium, then there’s a good chance that your work is exempt provided you follow good laboratory practice and don’t release your GMO into the environment.</w:t>
      </w:r>
    </w:p>
    <w:p w14:paraId="1E9B1E77" w14:textId="48FBBE64" w:rsidR="00BC14A9" w:rsidRPr="00100937" w:rsidRDefault="00BC14A9" w:rsidP="00BC14A9">
      <w:pPr>
        <w:pStyle w:val="BodyText"/>
        <w:spacing w:before="59"/>
        <w:ind w:right="7"/>
        <w:rPr>
          <w:rFonts w:ascii="HelveticaNeue-Light" w:eastAsiaTheme="minorEastAsia" w:hAnsi="HelveticaNeue-Light" w:cs="HelveticaNeue-Light"/>
          <w:sz w:val="18"/>
          <w:szCs w:val="18"/>
          <w:lang w:eastAsia="en-AU"/>
        </w:rPr>
      </w:pPr>
    </w:p>
    <w:p w14:paraId="579DB565" w14:textId="436EBF58" w:rsidR="00BC14A9" w:rsidRPr="00100937" w:rsidRDefault="00BC14A9" w:rsidP="00100937">
      <w:pPr>
        <w:pStyle w:val="BodyText"/>
        <w:spacing w:before="120"/>
        <w:rPr>
          <w:sz w:val="18"/>
          <w:szCs w:val="18"/>
        </w:rPr>
      </w:pPr>
      <w:r w:rsidRPr="00100937">
        <w:rPr>
          <w:rFonts w:ascii="HelveticaNeue-Light" w:eastAsiaTheme="minorEastAsia" w:hAnsi="HelveticaNeue-Light" w:cs="HelveticaNeue-Light"/>
          <w:sz w:val="18"/>
          <w:szCs w:val="18"/>
          <w:lang w:eastAsia="en-AU"/>
        </w:rPr>
        <w:t xml:space="preserve">The next level is </w:t>
      </w:r>
      <w:r w:rsidRPr="00100937">
        <w:rPr>
          <w:rFonts w:ascii="HelveticaNeue-Light" w:eastAsiaTheme="minorEastAsia" w:hAnsi="HelveticaNeue-Light" w:cs="HelveticaNeue-Light"/>
          <w:b/>
          <w:bCs/>
          <w:sz w:val="18"/>
          <w:szCs w:val="18"/>
          <w:lang w:eastAsia="en-AU"/>
        </w:rPr>
        <w:t>Notifiable low risk dealings</w:t>
      </w:r>
      <w:r w:rsidRPr="00100937">
        <w:rPr>
          <w:rFonts w:ascii="HelveticaNeue-Light" w:eastAsiaTheme="minorEastAsia" w:hAnsi="HelveticaNeue-Light" w:cs="HelveticaNeue-Light"/>
          <w:sz w:val="18"/>
          <w:szCs w:val="18"/>
          <w:lang w:eastAsia="en-AU"/>
        </w:rPr>
        <w:t xml:space="preserve"> (NLRD). This mostly covers research in universities and other research organisations that poses minimal risk to health and safety of people and the environment provided they meet specified conditions. The work must be conducted in certified containment facilities and assessed by an Institutional Biosafety Committee (IBC) before work commences. NLRDs must be reported to the OGTR annually</w:t>
      </w:r>
      <w:r w:rsidRPr="00100937">
        <w:rPr>
          <w:sz w:val="18"/>
          <w:szCs w:val="18"/>
        </w:rPr>
        <w:t>.</w:t>
      </w:r>
    </w:p>
    <w:p w14:paraId="54077F62" w14:textId="5611D1D3" w:rsidR="00BC14A9" w:rsidRPr="00100937" w:rsidRDefault="00BC14A9" w:rsidP="00100937">
      <w:pPr>
        <w:pStyle w:val="BodyText"/>
        <w:spacing w:before="120"/>
        <w:rPr>
          <w:rFonts w:ascii="HelveticaNeue-Light" w:eastAsiaTheme="minorEastAsia" w:hAnsi="HelveticaNeue-Light" w:cs="HelveticaNeue-Light"/>
          <w:sz w:val="18"/>
          <w:szCs w:val="18"/>
          <w:lang w:eastAsia="en-AU"/>
        </w:rPr>
      </w:pPr>
      <w:r w:rsidRPr="00100937">
        <w:rPr>
          <w:rFonts w:ascii="HelveticaNeue-Light" w:eastAsiaTheme="minorEastAsia" w:hAnsi="HelveticaNeue-Light" w:cs="HelveticaNeue-Light"/>
          <w:sz w:val="18"/>
          <w:szCs w:val="18"/>
          <w:lang w:eastAsia="en-AU"/>
        </w:rPr>
        <w:t>Some universities are providing support to community groups to enable them to conduct work at this level.</w:t>
      </w:r>
    </w:p>
    <w:p w14:paraId="3DDBE63A" w14:textId="77777777" w:rsidR="00BC14A9" w:rsidRPr="00100937" w:rsidRDefault="00BC14A9" w:rsidP="00100937">
      <w:pPr>
        <w:spacing w:before="120"/>
        <w:rPr>
          <w:rFonts w:ascii="HelveticaNeue-Light" w:eastAsiaTheme="minorEastAsia" w:hAnsi="HelveticaNeue-Light" w:cs="HelveticaNeue-Light"/>
          <w:kern w:val="0"/>
          <w:sz w:val="18"/>
          <w:szCs w:val="18"/>
          <w:u w:val="single"/>
          <w:lang w:eastAsia="en-AU"/>
          <w14:ligatures w14:val="none"/>
        </w:rPr>
      </w:pPr>
      <w:r w:rsidRPr="00100937">
        <w:rPr>
          <w:rFonts w:ascii="HelveticaNeue-Light" w:eastAsiaTheme="minorEastAsia" w:hAnsi="HelveticaNeue-Light" w:cs="HelveticaNeue-Light"/>
          <w:kern w:val="0"/>
          <w:sz w:val="18"/>
          <w:szCs w:val="18"/>
          <w:lang w:eastAsia="en-AU"/>
          <w14:ligatures w14:val="none"/>
        </w:rPr>
        <w:t xml:space="preserve">If you want to import, use, or create GMOs in other ways then you must apply to the OGTR for a licence. You can read more about all the classifications of GMO dealings at </w:t>
      </w:r>
      <w:hyperlink r:id="rId12" w:history="1">
        <w:r w:rsidRPr="00100937">
          <w:rPr>
            <w:rFonts w:ascii="HelveticaNeue-Light" w:eastAsiaTheme="minorEastAsia" w:hAnsi="HelveticaNeue-Light" w:cs="HelveticaNeue-Light"/>
            <w:kern w:val="0"/>
            <w:sz w:val="18"/>
            <w:szCs w:val="18"/>
            <w:u w:val="single"/>
            <w:lang w:eastAsia="en-AU"/>
            <w14:ligatures w14:val="none"/>
          </w:rPr>
          <w:t>Who needs to apply to import or use (deal with) a GMO?</w:t>
        </w:r>
      </w:hyperlink>
    </w:p>
    <w:p w14:paraId="0A95FC9B" w14:textId="422A3F9B" w:rsidR="00BC14A9" w:rsidRPr="00BC14A9" w:rsidRDefault="00BC14A9" w:rsidP="00BC14A9">
      <w:pPr>
        <w:pStyle w:val="Heading2"/>
        <w:rPr>
          <w:b/>
          <w:bCs/>
        </w:rPr>
      </w:pPr>
      <w:bookmarkStart w:id="0" w:name="Keeping_GMOs_in_the_lab"/>
      <w:bookmarkEnd w:id="0"/>
      <w:r w:rsidRPr="00BC14A9">
        <w:rPr>
          <w:b/>
          <w:bCs/>
        </w:rPr>
        <w:t>Keeping</w:t>
      </w:r>
      <w:r w:rsidRPr="00BC14A9">
        <w:rPr>
          <w:b/>
          <w:bCs/>
          <w:spacing w:val="-1"/>
        </w:rPr>
        <w:t xml:space="preserve"> </w:t>
      </w:r>
      <w:r w:rsidRPr="00BC14A9">
        <w:rPr>
          <w:b/>
          <w:bCs/>
        </w:rPr>
        <w:t>GMOs</w:t>
      </w:r>
      <w:r w:rsidRPr="00BC14A9">
        <w:rPr>
          <w:b/>
          <w:bCs/>
          <w:spacing w:val="-3"/>
        </w:rPr>
        <w:t xml:space="preserve"> </w:t>
      </w:r>
      <w:r w:rsidRPr="00BC14A9">
        <w:rPr>
          <w:b/>
          <w:bCs/>
        </w:rPr>
        <w:t>in</w:t>
      </w:r>
      <w:r w:rsidRPr="00BC14A9">
        <w:rPr>
          <w:b/>
          <w:bCs/>
          <w:spacing w:val="-1"/>
        </w:rPr>
        <w:t xml:space="preserve"> </w:t>
      </w:r>
      <w:r w:rsidRPr="00BC14A9">
        <w:rPr>
          <w:b/>
          <w:bCs/>
        </w:rPr>
        <w:t>the lab</w:t>
      </w:r>
    </w:p>
    <w:p w14:paraId="5A38BEBB" w14:textId="7D81DF9B" w:rsidR="00BC14A9" w:rsidRPr="00100937" w:rsidRDefault="00BC14A9" w:rsidP="00BC14A9">
      <w:pPr>
        <w:pStyle w:val="BodyText"/>
        <w:spacing w:before="121"/>
        <w:ind w:right="918"/>
        <w:rPr>
          <w:rFonts w:ascii="HelveticaNeue-Light" w:eastAsiaTheme="minorEastAsia" w:hAnsi="HelveticaNeue-Light" w:cs="HelveticaNeue-Light"/>
          <w:sz w:val="18"/>
          <w:szCs w:val="18"/>
          <w:u w:val="single"/>
          <w:lang w:eastAsia="en-AU"/>
        </w:rPr>
      </w:pPr>
      <w:r w:rsidRPr="00100937">
        <w:rPr>
          <w:rFonts w:ascii="HelveticaNeue-Light" w:eastAsiaTheme="minorEastAsia" w:hAnsi="HelveticaNeue-Light" w:cs="HelveticaNeue-Light"/>
          <w:sz w:val="18"/>
          <w:szCs w:val="18"/>
          <w:lang w:eastAsia="en-AU"/>
        </w:rPr>
        <w:t xml:space="preserve">The OGTR has developed notes on how to avoid releasing a GMO into the environment: </w:t>
      </w:r>
      <w:hyperlink r:id="rId13" w:history="1">
        <w:r w:rsidRPr="00100937">
          <w:rPr>
            <w:rFonts w:ascii="HelveticaNeue-Light" w:eastAsiaTheme="minorEastAsia" w:hAnsi="HelveticaNeue-Light" w:cs="HelveticaNeue-Light"/>
            <w:sz w:val="18"/>
            <w:szCs w:val="18"/>
            <w:u w:val="single"/>
            <w:lang w:eastAsia="en-AU"/>
          </w:rPr>
          <w:t>containment of exempt dealings.</w:t>
        </w:r>
      </w:hyperlink>
    </w:p>
    <w:p w14:paraId="0AED20B2" w14:textId="4569AB91" w:rsidR="00BC14A9" w:rsidRPr="00100937" w:rsidRDefault="00BC14A9" w:rsidP="00100937">
      <w:pPr>
        <w:pStyle w:val="BodyText"/>
        <w:spacing w:before="120"/>
        <w:ind w:right="890"/>
        <w:rPr>
          <w:rFonts w:ascii="HelveticaNeue-Light" w:eastAsiaTheme="minorEastAsia" w:hAnsi="HelveticaNeue-Light" w:cs="HelveticaNeue-Light"/>
          <w:sz w:val="18"/>
          <w:szCs w:val="18"/>
          <w:lang w:eastAsia="en-AU"/>
        </w:rPr>
      </w:pPr>
      <w:r w:rsidRPr="00100937">
        <w:rPr>
          <w:rFonts w:ascii="HelveticaNeue-Light" w:eastAsiaTheme="minorEastAsia" w:hAnsi="HelveticaNeue-Light" w:cs="HelveticaNeue-Light"/>
          <w:sz w:val="18"/>
          <w:szCs w:val="18"/>
          <w:lang w:eastAsia="en-AU"/>
        </w:rPr>
        <w:t>These cover exempt dealings – the lowest risk category. Working at higher levels requires certified facilities and/or a licence from the OGTR.</w:t>
      </w:r>
    </w:p>
    <w:p w14:paraId="73C64ECC" w14:textId="1B5418F8" w:rsidR="00BC14A9" w:rsidRPr="00100937" w:rsidRDefault="00BC14A9" w:rsidP="00100937">
      <w:pPr>
        <w:spacing w:before="120"/>
        <w:rPr>
          <w:rFonts w:ascii="HelveticaNeue-Light" w:eastAsiaTheme="minorEastAsia" w:hAnsi="HelveticaNeue-Light" w:cs="HelveticaNeue-Light"/>
          <w:kern w:val="0"/>
          <w:sz w:val="18"/>
          <w:szCs w:val="18"/>
          <w:lang w:eastAsia="en-AU"/>
          <w14:ligatures w14:val="none"/>
        </w:rPr>
      </w:pPr>
      <w:r w:rsidRPr="00100937">
        <w:rPr>
          <w:rFonts w:ascii="HelveticaNeue-Light" w:eastAsiaTheme="minorEastAsia" w:hAnsi="HelveticaNeue-Light" w:cs="HelveticaNeue-Light"/>
          <w:noProof/>
          <w:kern w:val="0"/>
          <w:sz w:val="18"/>
          <w:szCs w:val="18"/>
          <w:lang w:eastAsia="en-AU"/>
          <w14:ligatures w14:val="none"/>
        </w:rPr>
        <w:drawing>
          <wp:anchor distT="0" distB="0" distL="114300" distR="114300" simplePos="0" relativeHeight="251661312" behindDoc="0" locked="0" layoutInCell="1" allowOverlap="1" wp14:anchorId="1DE75A30" wp14:editId="0B375C5F">
            <wp:simplePos x="0" y="0"/>
            <wp:positionH relativeFrom="column">
              <wp:posOffset>2381250</wp:posOffset>
            </wp:positionH>
            <wp:positionV relativeFrom="paragraph">
              <wp:posOffset>455295</wp:posOffset>
            </wp:positionV>
            <wp:extent cx="1612900" cy="1071706"/>
            <wp:effectExtent l="0" t="0" r="6350" b="0"/>
            <wp:wrapThrough wrapText="bothSides">
              <wp:wrapPolygon edited="0">
                <wp:start x="0" y="0"/>
                <wp:lineTo x="0" y="21126"/>
                <wp:lineTo x="21430" y="21126"/>
                <wp:lineTo x="21430" y="0"/>
                <wp:lineTo x="0" y="0"/>
              </wp:wrapPolygon>
            </wp:wrapThrough>
            <wp:docPr id="1127328184" name="Picture 1" descr="A hand holding a petri dish&#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28184" name="Picture 1" descr="A hand holding a petri dish&#10;&#10;"/>
                    <pic:cNvPicPr/>
                  </pic:nvPicPr>
                  <pic:blipFill>
                    <a:blip r:embed="rId14">
                      <a:extLst>
                        <a:ext uri="{28A0092B-C50C-407E-A947-70E740481C1C}">
                          <a14:useLocalDpi xmlns:a14="http://schemas.microsoft.com/office/drawing/2010/main" val="0"/>
                        </a:ext>
                      </a:extLst>
                    </a:blip>
                    <a:stretch>
                      <a:fillRect/>
                    </a:stretch>
                  </pic:blipFill>
                  <pic:spPr>
                    <a:xfrm>
                      <a:off x="0" y="0"/>
                      <a:ext cx="1612900" cy="1071706"/>
                    </a:xfrm>
                    <a:prstGeom prst="rect">
                      <a:avLst/>
                    </a:prstGeom>
                  </pic:spPr>
                </pic:pic>
              </a:graphicData>
            </a:graphic>
            <wp14:sizeRelH relativeFrom="page">
              <wp14:pctWidth>0</wp14:pctWidth>
            </wp14:sizeRelH>
            <wp14:sizeRelV relativeFrom="page">
              <wp14:pctHeight>0</wp14:pctHeight>
            </wp14:sizeRelV>
          </wp:anchor>
        </w:drawing>
      </w:r>
      <w:r w:rsidRPr="00100937">
        <w:rPr>
          <w:rFonts w:ascii="HelveticaNeue-Light" w:eastAsiaTheme="minorEastAsia" w:hAnsi="HelveticaNeue-Light" w:cs="HelveticaNeue-Light"/>
          <w:kern w:val="0"/>
          <w:sz w:val="18"/>
          <w:szCs w:val="18"/>
          <w:lang w:eastAsia="en-AU"/>
          <w14:ligatures w14:val="none"/>
        </w:rPr>
        <w:t xml:space="preserve">The guidance notes do not provide comprehensive guidance for laboratory safety, good laboratory practice or broader occupational health and safety issues. You should seek additional guidance on these matters </w:t>
      </w:r>
    </w:p>
    <w:sectPr w:rsidR="00BC14A9" w:rsidRPr="00100937" w:rsidSect="00BC14A9">
      <w:headerReference w:type="even"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3316" w14:textId="77777777" w:rsidR="00060DEB" w:rsidRDefault="00060DEB" w:rsidP="00BC14A9">
      <w:pPr>
        <w:spacing w:after="0" w:line="240" w:lineRule="auto"/>
      </w:pPr>
      <w:r>
        <w:separator/>
      </w:r>
    </w:p>
  </w:endnote>
  <w:endnote w:type="continuationSeparator" w:id="0">
    <w:p w14:paraId="34257B61" w14:textId="77777777" w:rsidR="00060DEB" w:rsidRDefault="00060DEB" w:rsidP="00BC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E871" w14:textId="72EF0ACF" w:rsidR="00BC14A9" w:rsidRDefault="00BC14A9">
    <w:pPr>
      <w:pStyle w:val="Footer"/>
    </w:pPr>
    <w:r>
      <w:rPr>
        <w:noProof/>
      </w:rPr>
      <mc:AlternateContent>
        <mc:Choice Requires="wps">
          <w:drawing>
            <wp:anchor distT="0" distB="0" distL="0" distR="0" simplePos="0" relativeHeight="251662336" behindDoc="0" locked="0" layoutInCell="1" allowOverlap="1" wp14:anchorId="577E909F" wp14:editId="109B93D9">
              <wp:simplePos x="635" y="635"/>
              <wp:positionH relativeFrom="page">
                <wp:align>center</wp:align>
              </wp:positionH>
              <wp:positionV relativeFrom="page">
                <wp:align>bottom</wp:align>
              </wp:positionV>
              <wp:extent cx="622300" cy="391160"/>
              <wp:effectExtent l="0" t="0" r="6350" b="0"/>
              <wp:wrapNone/>
              <wp:docPr id="180642759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FFB24DC" w14:textId="70C1FAE3" w:rsidR="00BC14A9" w:rsidRPr="00BC14A9" w:rsidRDefault="00BC14A9" w:rsidP="00BC14A9">
                          <w:pPr>
                            <w:spacing w:after="0"/>
                            <w:rPr>
                              <w:rFonts w:ascii="Aptos" w:eastAsia="Aptos" w:hAnsi="Aptos" w:cs="Aptos"/>
                              <w:noProof/>
                              <w:color w:val="FF0000"/>
                              <w:sz w:val="24"/>
                            </w:rPr>
                          </w:pPr>
                          <w:r w:rsidRPr="00BC14A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E909F" id="_x0000_t202" coordsize="21600,21600" o:spt="202" path="m,l,21600r21600,l21600,xe">
              <v:stroke joinstyle="miter"/>
              <v:path gradientshapeok="t" o:connecttype="rect"/>
            </v:shapetype>
            <v:shape id="Text Box 7"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4FFB24DC" w14:textId="70C1FAE3" w:rsidR="00BC14A9" w:rsidRPr="00BC14A9" w:rsidRDefault="00BC14A9" w:rsidP="00BC14A9">
                    <w:pPr>
                      <w:spacing w:after="0"/>
                      <w:rPr>
                        <w:rFonts w:ascii="Aptos" w:eastAsia="Aptos" w:hAnsi="Aptos" w:cs="Aptos"/>
                        <w:noProof/>
                        <w:color w:val="FF0000"/>
                        <w:sz w:val="24"/>
                      </w:rPr>
                    </w:pPr>
                    <w:r w:rsidRPr="00BC14A9">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D9E4" w14:textId="70A3D9BC" w:rsidR="00BC14A9" w:rsidRDefault="00303C52" w:rsidP="00303C52">
    <w:pPr>
      <w:pStyle w:val="Footer"/>
      <w:jc w:val="center"/>
    </w:pPr>
    <w:r>
      <w:t>Updated December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A502" w14:textId="5E17B908" w:rsidR="00BC14A9" w:rsidRDefault="00BC14A9">
    <w:pPr>
      <w:pStyle w:val="Footer"/>
    </w:pPr>
    <w:r>
      <w:rPr>
        <w:noProof/>
      </w:rPr>
      <mc:AlternateContent>
        <mc:Choice Requires="wps">
          <w:drawing>
            <wp:anchor distT="0" distB="0" distL="0" distR="0" simplePos="0" relativeHeight="251661312" behindDoc="0" locked="0" layoutInCell="1" allowOverlap="1" wp14:anchorId="4F224A10" wp14:editId="560D709E">
              <wp:simplePos x="635" y="635"/>
              <wp:positionH relativeFrom="page">
                <wp:align>center</wp:align>
              </wp:positionH>
              <wp:positionV relativeFrom="page">
                <wp:align>bottom</wp:align>
              </wp:positionV>
              <wp:extent cx="622300" cy="391160"/>
              <wp:effectExtent l="0" t="0" r="6350" b="0"/>
              <wp:wrapNone/>
              <wp:docPr id="15823503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7B982D7" w14:textId="62DD3697" w:rsidR="00BC14A9" w:rsidRPr="00BC14A9" w:rsidRDefault="00BC14A9" w:rsidP="00BC14A9">
                          <w:pPr>
                            <w:spacing w:after="0"/>
                            <w:rPr>
                              <w:rFonts w:ascii="Aptos" w:eastAsia="Aptos" w:hAnsi="Aptos" w:cs="Aptos"/>
                              <w:noProof/>
                              <w:color w:val="FF0000"/>
                              <w:sz w:val="24"/>
                            </w:rPr>
                          </w:pPr>
                          <w:r w:rsidRPr="00BC14A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24A10"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37B982D7" w14:textId="62DD3697" w:rsidR="00BC14A9" w:rsidRPr="00BC14A9" w:rsidRDefault="00BC14A9" w:rsidP="00BC14A9">
                    <w:pPr>
                      <w:spacing w:after="0"/>
                      <w:rPr>
                        <w:rFonts w:ascii="Aptos" w:eastAsia="Aptos" w:hAnsi="Aptos" w:cs="Aptos"/>
                        <w:noProof/>
                        <w:color w:val="FF0000"/>
                        <w:sz w:val="24"/>
                      </w:rPr>
                    </w:pPr>
                    <w:r w:rsidRPr="00BC14A9">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9EEF" w14:textId="77777777" w:rsidR="00060DEB" w:rsidRDefault="00060DEB" w:rsidP="00BC14A9">
      <w:pPr>
        <w:spacing w:after="0" w:line="240" w:lineRule="auto"/>
      </w:pPr>
      <w:r>
        <w:separator/>
      </w:r>
    </w:p>
  </w:footnote>
  <w:footnote w:type="continuationSeparator" w:id="0">
    <w:p w14:paraId="23000BCD" w14:textId="77777777" w:rsidR="00060DEB" w:rsidRDefault="00060DEB" w:rsidP="00BC1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C7D8" w14:textId="41374DEE" w:rsidR="00BC14A9" w:rsidRDefault="00BC14A9">
    <w:pPr>
      <w:pStyle w:val="Header"/>
    </w:pPr>
    <w:r>
      <w:rPr>
        <w:noProof/>
      </w:rPr>
      <mc:AlternateContent>
        <mc:Choice Requires="wps">
          <w:drawing>
            <wp:anchor distT="0" distB="0" distL="0" distR="0" simplePos="0" relativeHeight="251659264" behindDoc="0" locked="0" layoutInCell="1" allowOverlap="1" wp14:anchorId="01B58AF1" wp14:editId="29096CEE">
              <wp:simplePos x="635" y="635"/>
              <wp:positionH relativeFrom="page">
                <wp:align>center</wp:align>
              </wp:positionH>
              <wp:positionV relativeFrom="page">
                <wp:align>top</wp:align>
              </wp:positionV>
              <wp:extent cx="622300" cy="391160"/>
              <wp:effectExtent l="0" t="0" r="6350" b="8890"/>
              <wp:wrapNone/>
              <wp:docPr id="179456713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354F202" w14:textId="4CD52B04" w:rsidR="00BC14A9" w:rsidRPr="00BC14A9" w:rsidRDefault="00BC14A9" w:rsidP="00BC14A9">
                          <w:pPr>
                            <w:spacing w:after="0"/>
                            <w:rPr>
                              <w:rFonts w:ascii="Aptos" w:eastAsia="Aptos" w:hAnsi="Aptos" w:cs="Aptos"/>
                              <w:noProof/>
                              <w:color w:val="FF0000"/>
                              <w:sz w:val="24"/>
                            </w:rPr>
                          </w:pPr>
                          <w:r w:rsidRPr="00BC14A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58AF1" id="_x0000_t202" coordsize="21600,21600" o:spt="202" path="m,l,21600r21600,l21600,xe">
              <v:stroke joinstyle="miter"/>
              <v:path gradientshapeok="t" o:connecttype="rect"/>
            </v:shapetype>
            <v:shape id="Text Box 4"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354F202" w14:textId="4CD52B04" w:rsidR="00BC14A9" w:rsidRPr="00BC14A9" w:rsidRDefault="00BC14A9" w:rsidP="00BC14A9">
                    <w:pPr>
                      <w:spacing w:after="0"/>
                      <w:rPr>
                        <w:rFonts w:ascii="Aptos" w:eastAsia="Aptos" w:hAnsi="Aptos" w:cs="Aptos"/>
                        <w:noProof/>
                        <w:color w:val="FF0000"/>
                        <w:sz w:val="24"/>
                      </w:rPr>
                    </w:pPr>
                    <w:r w:rsidRPr="00BC14A9">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5E75" w14:textId="6488CE8B" w:rsidR="00BC14A9" w:rsidRDefault="00BC14A9">
    <w:pPr>
      <w:pStyle w:val="Header"/>
    </w:pPr>
    <w:r>
      <w:rPr>
        <w:noProof/>
      </w:rPr>
      <mc:AlternateContent>
        <mc:Choice Requires="wps">
          <w:drawing>
            <wp:anchor distT="0" distB="0" distL="0" distR="0" simplePos="0" relativeHeight="251658240" behindDoc="0" locked="0" layoutInCell="1" allowOverlap="1" wp14:anchorId="6F689C9C" wp14:editId="4BBBD2CD">
              <wp:simplePos x="635" y="635"/>
              <wp:positionH relativeFrom="page">
                <wp:align>center</wp:align>
              </wp:positionH>
              <wp:positionV relativeFrom="page">
                <wp:align>top</wp:align>
              </wp:positionV>
              <wp:extent cx="622300" cy="391160"/>
              <wp:effectExtent l="0" t="0" r="6350" b="8890"/>
              <wp:wrapNone/>
              <wp:docPr id="6347107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21842B7" w14:textId="27C45A65" w:rsidR="00BC14A9" w:rsidRPr="00BC14A9" w:rsidRDefault="00BC14A9" w:rsidP="00BC14A9">
                          <w:pPr>
                            <w:spacing w:after="0"/>
                            <w:rPr>
                              <w:rFonts w:ascii="Aptos" w:eastAsia="Aptos" w:hAnsi="Aptos" w:cs="Aptos"/>
                              <w:noProof/>
                              <w:color w:val="FF0000"/>
                              <w:sz w:val="24"/>
                            </w:rPr>
                          </w:pPr>
                          <w:r w:rsidRPr="00BC14A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89C9C" id="_x0000_t202" coordsize="21600,21600" o:spt="202" path="m,l,21600r21600,l21600,xe">
              <v:stroke joinstyle="miter"/>
              <v:path gradientshapeok="t" o:connecttype="rect"/>
            </v:shapetype>
            <v:shape id="Text Box 3"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721842B7" w14:textId="27C45A65" w:rsidR="00BC14A9" w:rsidRPr="00BC14A9" w:rsidRDefault="00BC14A9" w:rsidP="00BC14A9">
                    <w:pPr>
                      <w:spacing w:after="0"/>
                      <w:rPr>
                        <w:rFonts w:ascii="Aptos" w:eastAsia="Aptos" w:hAnsi="Aptos" w:cs="Aptos"/>
                        <w:noProof/>
                        <w:color w:val="FF0000"/>
                        <w:sz w:val="24"/>
                      </w:rPr>
                    </w:pPr>
                    <w:r w:rsidRPr="00BC14A9">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57279"/>
    <w:multiLevelType w:val="hybridMultilevel"/>
    <w:tmpl w:val="BE0430E2"/>
    <w:lvl w:ilvl="0" w:tplc="C2BAF502">
      <w:numFmt w:val="bullet"/>
      <w:lvlText w:val=""/>
      <w:lvlJc w:val="left"/>
      <w:pPr>
        <w:ind w:left="509" w:hanging="296"/>
      </w:pPr>
      <w:rPr>
        <w:rFonts w:ascii="Symbol" w:eastAsia="Symbol" w:hAnsi="Symbol" w:cs="Symbol" w:hint="default"/>
        <w:b w:val="0"/>
        <w:bCs w:val="0"/>
        <w:i w:val="0"/>
        <w:iCs w:val="0"/>
        <w:color w:val="24408F"/>
        <w:w w:val="100"/>
        <w:sz w:val="17"/>
        <w:szCs w:val="17"/>
        <w:lang w:val="en-AU" w:eastAsia="en-US" w:bidi="ar-SA"/>
      </w:rPr>
    </w:lvl>
    <w:lvl w:ilvl="1" w:tplc="0F4640AA">
      <w:numFmt w:val="bullet"/>
      <w:lvlText w:val="•"/>
      <w:lvlJc w:val="left"/>
      <w:pPr>
        <w:ind w:left="772" w:hanging="296"/>
      </w:pPr>
      <w:rPr>
        <w:rFonts w:hint="default"/>
        <w:lang w:val="en-AU" w:eastAsia="en-US" w:bidi="ar-SA"/>
      </w:rPr>
    </w:lvl>
    <w:lvl w:ilvl="2" w:tplc="44FA99FA">
      <w:numFmt w:val="bullet"/>
      <w:lvlText w:val="•"/>
      <w:lvlJc w:val="left"/>
      <w:pPr>
        <w:ind w:left="1045" w:hanging="296"/>
      </w:pPr>
      <w:rPr>
        <w:rFonts w:hint="default"/>
        <w:lang w:val="en-AU" w:eastAsia="en-US" w:bidi="ar-SA"/>
      </w:rPr>
    </w:lvl>
    <w:lvl w:ilvl="3" w:tplc="7A569D34">
      <w:numFmt w:val="bullet"/>
      <w:lvlText w:val="•"/>
      <w:lvlJc w:val="left"/>
      <w:pPr>
        <w:ind w:left="1318" w:hanging="296"/>
      </w:pPr>
      <w:rPr>
        <w:rFonts w:hint="default"/>
        <w:lang w:val="en-AU" w:eastAsia="en-US" w:bidi="ar-SA"/>
      </w:rPr>
    </w:lvl>
    <w:lvl w:ilvl="4" w:tplc="532E74C6">
      <w:numFmt w:val="bullet"/>
      <w:lvlText w:val="•"/>
      <w:lvlJc w:val="left"/>
      <w:pPr>
        <w:ind w:left="1591" w:hanging="296"/>
      </w:pPr>
      <w:rPr>
        <w:rFonts w:hint="default"/>
        <w:lang w:val="en-AU" w:eastAsia="en-US" w:bidi="ar-SA"/>
      </w:rPr>
    </w:lvl>
    <w:lvl w:ilvl="5" w:tplc="503C929E">
      <w:numFmt w:val="bullet"/>
      <w:lvlText w:val="•"/>
      <w:lvlJc w:val="left"/>
      <w:pPr>
        <w:ind w:left="1864" w:hanging="296"/>
      </w:pPr>
      <w:rPr>
        <w:rFonts w:hint="default"/>
        <w:lang w:val="en-AU" w:eastAsia="en-US" w:bidi="ar-SA"/>
      </w:rPr>
    </w:lvl>
    <w:lvl w:ilvl="6" w:tplc="243C81A4">
      <w:numFmt w:val="bullet"/>
      <w:lvlText w:val="•"/>
      <w:lvlJc w:val="left"/>
      <w:pPr>
        <w:ind w:left="2136" w:hanging="296"/>
      </w:pPr>
      <w:rPr>
        <w:rFonts w:hint="default"/>
        <w:lang w:val="en-AU" w:eastAsia="en-US" w:bidi="ar-SA"/>
      </w:rPr>
    </w:lvl>
    <w:lvl w:ilvl="7" w:tplc="FC4447AA">
      <w:numFmt w:val="bullet"/>
      <w:lvlText w:val="•"/>
      <w:lvlJc w:val="left"/>
      <w:pPr>
        <w:ind w:left="2409" w:hanging="296"/>
      </w:pPr>
      <w:rPr>
        <w:rFonts w:hint="default"/>
        <w:lang w:val="en-AU" w:eastAsia="en-US" w:bidi="ar-SA"/>
      </w:rPr>
    </w:lvl>
    <w:lvl w:ilvl="8" w:tplc="91E2278C">
      <w:numFmt w:val="bullet"/>
      <w:lvlText w:val="•"/>
      <w:lvlJc w:val="left"/>
      <w:pPr>
        <w:ind w:left="2682" w:hanging="296"/>
      </w:pPr>
      <w:rPr>
        <w:rFonts w:hint="default"/>
        <w:lang w:val="en-AU" w:eastAsia="en-US" w:bidi="ar-SA"/>
      </w:rPr>
    </w:lvl>
  </w:abstractNum>
  <w:num w:numId="1" w16cid:durableId="182461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A9"/>
    <w:rsid w:val="00060DEB"/>
    <w:rsid w:val="00075A36"/>
    <w:rsid w:val="00100937"/>
    <w:rsid w:val="001D6565"/>
    <w:rsid w:val="00280050"/>
    <w:rsid w:val="00303C52"/>
    <w:rsid w:val="00393D7A"/>
    <w:rsid w:val="006A7465"/>
    <w:rsid w:val="007B722C"/>
    <w:rsid w:val="00BC14A9"/>
    <w:rsid w:val="00C308FC"/>
    <w:rsid w:val="00F14D6C"/>
    <w:rsid w:val="00F74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6E91B"/>
  <w15:chartTrackingRefBased/>
  <w15:docId w15:val="{FC7FF8AB-D970-4617-B066-5B8C8634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1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4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4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14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14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14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14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14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1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4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4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14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14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14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14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14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1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4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4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14A9"/>
    <w:pPr>
      <w:spacing w:before="160"/>
      <w:jc w:val="center"/>
    </w:pPr>
    <w:rPr>
      <w:i/>
      <w:iCs/>
      <w:color w:val="404040" w:themeColor="text1" w:themeTint="BF"/>
    </w:rPr>
  </w:style>
  <w:style w:type="character" w:customStyle="1" w:styleId="QuoteChar">
    <w:name w:val="Quote Char"/>
    <w:basedOn w:val="DefaultParagraphFont"/>
    <w:link w:val="Quote"/>
    <w:uiPriority w:val="29"/>
    <w:rsid w:val="00BC14A9"/>
    <w:rPr>
      <w:i/>
      <w:iCs/>
      <w:color w:val="404040" w:themeColor="text1" w:themeTint="BF"/>
    </w:rPr>
  </w:style>
  <w:style w:type="paragraph" w:styleId="ListParagraph">
    <w:name w:val="List Paragraph"/>
    <w:basedOn w:val="Normal"/>
    <w:uiPriority w:val="34"/>
    <w:qFormat/>
    <w:rsid w:val="00BC14A9"/>
    <w:pPr>
      <w:ind w:left="720"/>
      <w:contextualSpacing/>
    </w:pPr>
  </w:style>
  <w:style w:type="character" w:styleId="IntenseEmphasis">
    <w:name w:val="Intense Emphasis"/>
    <w:basedOn w:val="DefaultParagraphFont"/>
    <w:uiPriority w:val="21"/>
    <w:qFormat/>
    <w:rsid w:val="00BC14A9"/>
    <w:rPr>
      <w:i/>
      <w:iCs/>
      <w:color w:val="0F4761" w:themeColor="accent1" w:themeShade="BF"/>
    </w:rPr>
  </w:style>
  <w:style w:type="paragraph" w:styleId="IntenseQuote">
    <w:name w:val="Intense Quote"/>
    <w:basedOn w:val="Normal"/>
    <w:next w:val="Normal"/>
    <w:link w:val="IntenseQuoteChar"/>
    <w:uiPriority w:val="30"/>
    <w:qFormat/>
    <w:rsid w:val="00BC1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4A9"/>
    <w:rPr>
      <w:i/>
      <w:iCs/>
      <w:color w:val="0F4761" w:themeColor="accent1" w:themeShade="BF"/>
    </w:rPr>
  </w:style>
  <w:style w:type="character" w:styleId="IntenseReference">
    <w:name w:val="Intense Reference"/>
    <w:basedOn w:val="DefaultParagraphFont"/>
    <w:uiPriority w:val="32"/>
    <w:qFormat/>
    <w:rsid w:val="00BC14A9"/>
    <w:rPr>
      <w:b/>
      <w:bCs/>
      <w:smallCaps/>
      <w:color w:val="0F4761" w:themeColor="accent1" w:themeShade="BF"/>
      <w:spacing w:val="5"/>
    </w:rPr>
  </w:style>
  <w:style w:type="paragraph" w:styleId="BodyText">
    <w:name w:val="Body Text"/>
    <w:basedOn w:val="Normal"/>
    <w:link w:val="BodyTextChar"/>
    <w:uiPriority w:val="1"/>
    <w:qFormat/>
    <w:rsid w:val="00BC14A9"/>
    <w:pPr>
      <w:widowControl w:val="0"/>
      <w:autoSpaceDE w:val="0"/>
      <w:autoSpaceDN w:val="0"/>
      <w:spacing w:after="0" w:line="240" w:lineRule="auto"/>
    </w:pPr>
    <w:rPr>
      <w:rFonts w:eastAsia="Arial" w:cs="Arial"/>
      <w:kern w:val="0"/>
      <w:sz w:val="17"/>
      <w:szCs w:val="17"/>
      <w14:ligatures w14:val="none"/>
    </w:rPr>
  </w:style>
  <w:style w:type="character" w:customStyle="1" w:styleId="BodyTextChar">
    <w:name w:val="Body Text Char"/>
    <w:basedOn w:val="DefaultParagraphFont"/>
    <w:link w:val="BodyText"/>
    <w:uiPriority w:val="1"/>
    <w:rsid w:val="00BC14A9"/>
    <w:rPr>
      <w:rFonts w:eastAsia="Arial" w:cs="Arial"/>
      <w:kern w:val="0"/>
      <w:sz w:val="17"/>
      <w:szCs w:val="17"/>
      <w14:ligatures w14:val="none"/>
    </w:rPr>
  </w:style>
  <w:style w:type="character" w:styleId="Hyperlink">
    <w:name w:val="Hyperlink"/>
    <w:basedOn w:val="DefaultParagraphFont"/>
    <w:uiPriority w:val="99"/>
    <w:unhideWhenUsed/>
    <w:rsid w:val="00BC14A9"/>
    <w:rPr>
      <w:color w:val="467886" w:themeColor="hyperlink"/>
      <w:u w:val="single"/>
    </w:rPr>
  </w:style>
  <w:style w:type="paragraph" w:styleId="Header">
    <w:name w:val="header"/>
    <w:basedOn w:val="Normal"/>
    <w:link w:val="HeaderChar"/>
    <w:uiPriority w:val="99"/>
    <w:unhideWhenUsed/>
    <w:rsid w:val="00BC1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4A9"/>
  </w:style>
  <w:style w:type="paragraph" w:styleId="Footer">
    <w:name w:val="footer"/>
    <w:basedOn w:val="Normal"/>
    <w:link w:val="FooterChar"/>
    <w:uiPriority w:val="99"/>
    <w:unhideWhenUsed/>
    <w:rsid w:val="00BC1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gtr.gov.au/resources/publications/guidance-notes-containment-exempt-dealing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ogtr.gov.au/resources/publications/who-needs-apply-import-or-use-deal-gm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ogtr.gov.au/apply-gmo-approval/overview-approval-proces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2586</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Biohacking and community service</dc:title>
  <dc:subject/>
  <dc:creator>OGTR.Voicemail@health.gov.au</dc:creator>
  <cp:keywords/>
  <dc:description/>
  <cp:lastModifiedBy>SMITH, Justine</cp:lastModifiedBy>
  <cp:revision>2</cp:revision>
  <dcterms:created xsi:type="dcterms:W3CDTF">2025-12-10T03:34:00Z</dcterms:created>
  <dcterms:modified xsi:type="dcterms:W3CDTF">2025-12-10T03:34:00Z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25d4eb0a,6af6ebde,5decf621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5e50c027,6babe5c6,1f4b1856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2025-12-03T04:01:17Z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230a8f43-4309-4ae0-872a-21a5f1fc38a1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