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70681" w14:textId="74D9B548" w:rsidR="00683FCD" w:rsidRPr="008D4975" w:rsidRDefault="00683FCD" w:rsidP="000B6B52">
      <w:pPr>
        <w:spacing w:before="240"/>
        <w:sectPr w:rsidR="00683FCD" w:rsidRPr="008D4975" w:rsidSect="00197FEA">
          <w:headerReference w:type="even" r:id="rId8"/>
          <w:headerReference w:type="default" r:id="rId9"/>
          <w:footerReference w:type="even" r:id="rId10"/>
          <w:footerReference w:type="default" r:id="rId11"/>
          <w:headerReference w:type="first" r:id="rId12"/>
          <w:footerReference w:type="first" r:id="rId13"/>
          <w:type w:val="continuous"/>
          <w:pgSz w:w="11906" w:h="16838"/>
          <w:pgMar w:top="720" w:right="720" w:bottom="720" w:left="720" w:header="680" w:footer="709" w:gutter="0"/>
          <w:cols w:space="708"/>
          <w:docGrid w:linePitch="360"/>
        </w:sectPr>
      </w:pPr>
    </w:p>
    <w:p w14:paraId="5D0FC8C3" w14:textId="777ABA14" w:rsidR="00197FEA" w:rsidRPr="00197FEA" w:rsidRDefault="00197FEA" w:rsidP="00197FEA">
      <w:pPr>
        <w:jc w:val="center"/>
        <w:rPr>
          <w:b/>
          <w:bCs/>
          <w:color w:val="4472C3"/>
          <w:sz w:val="60"/>
          <w:szCs w:val="60"/>
        </w:rPr>
      </w:pPr>
      <w:r w:rsidRPr="00197FEA">
        <w:rPr>
          <w:b/>
          <w:bCs/>
          <w:color w:val="4472C3"/>
          <w:sz w:val="60"/>
          <w:szCs w:val="60"/>
        </w:rPr>
        <w:t>OGTR News and Updates Issue 12</w:t>
      </w:r>
    </w:p>
    <w:p w14:paraId="2CEFFFCB" w14:textId="3A419823" w:rsidR="00197FEA" w:rsidRDefault="00B43CEB" w:rsidP="000B23E5">
      <w:pPr>
        <w:rPr>
          <w:b/>
          <w:bCs/>
          <w:color w:val="4472C3"/>
          <w:sz w:val="32"/>
          <w:szCs w:val="32"/>
        </w:rPr>
      </w:pPr>
      <w:r>
        <w:rPr>
          <w:noProof/>
          <w14:ligatures w14:val="standardContextual"/>
        </w:rPr>
        <w:drawing>
          <wp:anchor distT="0" distB="0" distL="114300" distR="114300" simplePos="0" relativeHeight="251685888" behindDoc="1" locked="0" layoutInCell="1" allowOverlap="1" wp14:anchorId="0E5F7E63" wp14:editId="215F8511">
            <wp:simplePos x="0" y="0"/>
            <wp:positionH relativeFrom="column">
              <wp:posOffset>4829175</wp:posOffset>
            </wp:positionH>
            <wp:positionV relativeFrom="paragraph">
              <wp:posOffset>111125</wp:posOffset>
            </wp:positionV>
            <wp:extent cx="1565910" cy="2390775"/>
            <wp:effectExtent l="0" t="0" r="0" b="9525"/>
            <wp:wrapTight wrapText="bothSides">
              <wp:wrapPolygon edited="0">
                <wp:start x="0" y="0"/>
                <wp:lineTo x="0" y="21514"/>
                <wp:lineTo x="21285" y="21514"/>
                <wp:lineTo x="21285" y="0"/>
                <wp:lineTo x="0" y="0"/>
              </wp:wrapPolygon>
            </wp:wrapTight>
            <wp:docPr id="110744932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449323" name="Picture 1">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1565910" cy="2390775"/>
                    </a:xfrm>
                    <a:prstGeom prst="rect">
                      <a:avLst/>
                    </a:prstGeom>
                  </pic:spPr>
                </pic:pic>
              </a:graphicData>
            </a:graphic>
            <wp14:sizeRelH relativeFrom="page">
              <wp14:pctWidth>0</wp14:pctWidth>
            </wp14:sizeRelH>
            <wp14:sizeRelV relativeFrom="page">
              <wp14:pctHeight>0</wp14:pctHeight>
            </wp14:sizeRelV>
          </wp:anchor>
        </w:drawing>
      </w:r>
    </w:p>
    <w:p w14:paraId="173376D4" w14:textId="7C8EF932" w:rsidR="000B23E5" w:rsidRPr="008D4975" w:rsidRDefault="000B23E5" w:rsidP="009A49BE">
      <w:pPr>
        <w:spacing w:after="240"/>
        <w:rPr>
          <w:b/>
          <w:bCs/>
          <w:color w:val="4472C3"/>
          <w:sz w:val="32"/>
          <w:szCs w:val="32"/>
        </w:rPr>
      </w:pPr>
      <w:r w:rsidRPr="008D4975">
        <w:rPr>
          <w:b/>
          <w:bCs/>
          <w:color w:val="4472C3"/>
          <w:sz w:val="32"/>
          <w:szCs w:val="32"/>
        </w:rPr>
        <w:t>OGTR News and Announcements</w:t>
      </w:r>
    </w:p>
    <w:p w14:paraId="1F9F0A78" w14:textId="2DDB5FFD" w:rsidR="007F5CF9" w:rsidRPr="008D4975" w:rsidRDefault="00443B75" w:rsidP="005A15CE">
      <w:pPr>
        <w:pStyle w:val="ListParagraph"/>
        <w:numPr>
          <w:ilvl w:val="0"/>
          <w:numId w:val="10"/>
        </w:numPr>
        <w:spacing w:after="60"/>
        <w:ind w:left="714" w:hanging="357"/>
        <w:contextualSpacing w:val="0"/>
        <w:rPr>
          <w:rFonts w:ascii="Tahoma" w:eastAsia="Tahoma" w:hAnsi="Tahoma" w:cs="Tahoma"/>
          <w:sz w:val="22"/>
          <w:szCs w:val="22"/>
        </w:rPr>
      </w:pPr>
      <w:r w:rsidRPr="008D4975">
        <w:rPr>
          <w:rFonts w:ascii="Tahoma" w:eastAsia="Tahoma" w:hAnsi="Tahoma" w:cs="Tahoma"/>
          <w:sz w:val="22"/>
          <w:szCs w:val="22"/>
        </w:rPr>
        <w:t xml:space="preserve">Most DNIR and DIR application forms have been updated to include a new question about Commercial Confidential Information (CCI). </w:t>
      </w:r>
      <w:r w:rsidR="007F5CF9" w:rsidRPr="008D4975">
        <w:rPr>
          <w:rFonts w:ascii="Tahoma" w:eastAsia="Tahoma" w:hAnsi="Tahoma" w:cs="Tahoma"/>
          <w:sz w:val="22"/>
          <w:szCs w:val="22"/>
        </w:rPr>
        <w:t xml:space="preserve">These forms can be found on </w:t>
      </w:r>
      <w:hyperlink r:id="rId15" w:history="1">
        <w:r w:rsidR="007F5CF9" w:rsidRPr="008D4975">
          <w:rPr>
            <w:rStyle w:val="Hyperlink"/>
            <w:rFonts w:ascii="Tahoma" w:eastAsia="Tahoma" w:hAnsi="Tahoma" w:cs="Tahoma"/>
            <w:sz w:val="22"/>
            <w:szCs w:val="22"/>
          </w:rPr>
          <w:t>our website.</w:t>
        </w:r>
      </w:hyperlink>
      <w:r w:rsidRPr="008D4975">
        <w:rPr>
          <w:rFonts w:ascii="Tahoma" w:eastAsia="Tahoma" w:hAnsi="Tahoma" w:cs="Tahoma"/>
          <w:sz w:val="22"/>
          <w:szCs w:val="22"/>
        </w:rPr>
        <w:t xml:space="preserve"> Please ensure these new forms are used when applying for a new licence, old forms will not be accepted after 31 December 2025.</w:t>
      </w:r>
    </w:p>
    <w:p w14:paraId="359F7996" w14:textId="0101FE8D" w:rsidR="008D4975" w:rsidRPr="00A52946" w:rsidRDefault="008D4975" w:rsidP="00AD733B">
      <w:pPr>
        <w:pStyle w:val="ListParagraph"/>
        <w:numPr>
          <w:ilvl w:val="0"/>
          <w:numId w:val="10"/>
        </w:numPr>
        <w:rPr>
          <w:rFonts w:ascii="Tahoma" w:eastAsia="Tahoma" w:hAnsi="Tahoma" w:cs="Tahoma"/>
          <w:sz w:val="22"/>
          <w:szCs w:val="22"/>
        </w:rPr>
      </w:pPr>
      <w:r w:rsidRPr="00A52946">
        <w:rPr>
          <w:rFonts w:ascii="Tahoma" w:eastAsia="Tahoma" w:hAnsi="Tahoma" w:cs="Tahoma"/>
          <w:sz w:val="22"/>
          <w:szCs w:val="22"/>
        </w:rPr>
        <w:t xml:space="preserve">A note to all stakeholders that organisation names will no longer be included in </w:t>
      </w:r>
      <w:r w:rsidR="007048FE">
        <w:rPr>
          <w:rFonts w:ascii="Tahoma" w:eastAsia="Tahoma" w:hAnsi="Tahoma" w:cs="Tahoma"/>
          <w:sz w:val="22"/>
          <w:szCs w:val="22"/>
        </w:rPr>
        <w:t xml:space="preserve">PC1 or PC2 </w:t>
      </w:r>
      <w:r w:rsidR="00014C87">
        <w:rPr>
          <w:rFonts w:ascii="Tahoma" w:eastAsia="Tahoma" w:hAnsi="Tahoma" w:cs="Tahoma"/>
          <w:sz w:val="22"/>
          <w:szCs w:val="22"/>
        </w:rPr>
        <w:t xml:space="preserve">certified </w:t>
      </w:r>
      <w:r w:rsidRPr="00A52946">
        <w:rPr>
          <w:rFonts w:ascii="Tahoma" w:eastAsia="Tahoma" w:hAnsi="Tahoma" w:cs="Tahoma"/>
          <w:sz w:val="22"/>
          <w:szCs w:val="22"/>
        </w:rPr>
        <w:t>facility title</w:t>
      </w:r>
      <w:r w:rsidR="007048FE">
        <w:rPr>
          <w:rFonts w:ascii="Tahoma" w:eastAsia="Tahoma" w:hAnsi="Tahoma" w:cs="Tahoma"/>
          <w:sz w:val="22"/>
          <w:szCs w:val="22"/>
        </w:rPr>
        <w:t>s</w:t>
      </w:r>
      <w:r w:rsidRPr="00A52946">
        <w:rPr>
          <w:rFonts w:ascii="Tahoma" w:eastAsia="Tahoma" w:hAnsi="Tahoma" w:cs="Tahoma"/>
          <w:sz w:val="22"/>
          <w:szCs w:val="22"/>
        </w:rPr>
        <w:t>. Exceptions are made for specific circumstances and can be requested by your organisation. This will be a gradual change, assessed as variations for certifications are evaluated. No action is required at this time.</w:t>
      </w:r>
    </w:p>
    <w:p w14:paraId="097E797B" w14:textId="77777777" w:rsidR="00B43CEB" w:rsidRDefault="00B43CEB" w:rsidP="007A05DA"/>
    <w:p w14:paraId="4E4BB8AD" w14:textId="72AB71BB" w:rsidR="00B43CEB" w:rsidRPr="00B43CEB" w:rsidRDefault="00B43CEB" w:rsidP="00B43CEB">
      <w:pPr>
        <w:pStyle w:val="ListParagraph"/>
        <w:spacing w:after="160"/>
        <w:ind w:left="0"/>
        <w:rPr>
          <w:rFonts w:ascii="Tahoma" w:hAnsi="Tahoma" w:cs="Tahoma"/>
          <w:b/>
          <w:bCs/>
          <w:color w:val="4472C3"/>
          <w:sz w:val="22"/>
          <w:szCs w:val="22"/>
        </w:rPr>
      </w:pPr>
      <w:r w:rsidRPr="00B43CEB">
        <w:rPr>
          <w:rFonts w:ascii="Tahoma" w:hAnsi="Tahoma" w:cs="Tahoma"/>
          <w:b/>
          <w:bCs/>
          <w:color w:val="4472C3"/>
          <w:sz w:val="22"/>
          <w:szCs w:val="22"/>
        </w:rPr>
        <w:t>Use of AI by OGTR</w:t>
      </w:r>
    </w:p>
    <w:p w14:paraId="5F04C772" w14:textId="66779417" w:rsidR="000F1C72" w:rsidRDefault="0062150D" w:rsidP="00B43CEB">
      <w:pPr>
        <w:spacing w:after="60"/>
      </w:pPr>
      <w:r>
        <w:t xml:space="preserve">The OGTR is committed to transparency and the responsible use of AI across government and with our regulated stakeholders. </w:t>
      </w:r>
      <w:r w:rsidR="00B43CEB">
        <w:t>With the increased usage of AI</w:t>
      </w:r>
      <w:r w:rsidR="00B43CEB" w:rsidRPr="00B43CEB">
        <w:t xml:space="preserve"> to record or transcribe meetings</w:t>
      </w:r>
      <w:r>
        <w:t>,</w:t>
      </w:r>
      <w:r w:rsidR="007D648C">
        <w:t xml:space="preserve"> the OGTR </w:t>
      </w:r>
      <w:r w:rsidR="00B43CEB">
        <w:t xml:space="preserve">will not electronically record or </w:t>
      </w:r>
      <w:r w:rsidR="00B43CEB" w:rsidRPr="00B43CEB">
        <w:t>transcribe</w:t>
      </w:r>
      <w:r w:rsidR="00B43CEB">
        <w:t xml:space="preserve"> any meeting using M</w:t>
      </w:r>
      <w:r w:rsidR="007D648C">
        <w:t>icrosoft</w:t>
      </w:r>
      <w:r w:rsidR="00B43CEB">
        <w:t xml:space="preserve"> Co</w:t>
      </w:r>
      <w:r w:rsidR="007A70F1">
        <w:t>p</w:t>
      </w:r>
      <w:r w:rsidR="00B43CEB">
        <w:t>ilot or any other AI software.</w:t>
      </w:r>
    </w:p>
    <w:p w14:paraId="4D798FA9" w14:textId="17F65758" w:rsidR="00B43CEB" w:rsidRPr="00B43CEB" w:rsidRDefault="000F1C72" w:rsidP="00B43CEB">
      <w:pPr>
        <w:spacing w:after="60"/>
      </w:pPr>
      <w:r>
        <w:t>U</w:t>
      </w:r>
      <w:r w:rsidR="00B43CEB" w:rsidRPr="00B43CEB">
        <w:t xml:space="preserve">nless expressly agreed to by all </w:t>
      </w:r>
      <w:r>
        <w:t>meeting parties, OGTR staff do not consent to the electronic recording or transcribing of any meeting</w:t>
      </w:r>
      <w:r w:rsidR="00B43CEB" w:rsidRPr="00B43CEB">
        <w:t xml:space="preserve"> </w:t>
      </w:r>
      <w:r>
        <w:t>by such AI software.</w:t>
      </w:r>
    </w:p>
    <w:p w14:paraId="0570A513" w14:textId="7401615C" w:rsidR="00B43CEB" w:rsidRDefault="000F1C72" w:rsidP="007A05DA">
      <w:r>
        <w:rPr>
          <w:noProof/>
        </w:rPr>
        <w:drawing>
          <wp:anchor distT="0" distB="0" distL="114300" distR="114300" simplePos="0" relativeHeight="251680768" behindDoc="1" locked="0" layoutInCell="1" allowOverlap="1" wp14:anchorId="24C89887" wp14:editId="4CFBC2EB">
            <wp:simplePos x="0" y="0"/>
            <wp:positionH relativeFrom="column">
              <wp:posOffset>2165985</wp:posOffset>
            </wp:positionH>
            <wp:positionV relativeFrom="paragraph">
              <wp:posOffset>153670</wp:posOffset>
            </wp:positionV>
            <wp:extent cx="1894205" cy="1264285"/>
            <wp:effectExtent l="0" t="0" r="0" b="0"/>
            <wp:wrapTight wrapText="bothSides">
              <wp:wrapPolygon edited="0">
                <wp:start x="0" y="0"/>
                <wp:lineTo x="0" y="21155"/>
                <wp:lineTo x="21289" y="21155"/>
                <wp:lineTo x="21289" y="0"/>
                <wp:lineTo x="0" y="0"/>
              </wp:wrapPolygon>
            </wp:wrapTight>
            <wp:docPr id="25466125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661256" name="Picture 1">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94205" cy="12642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14:ligatures w14:val="standardContextual"/>
        </w:rPr>
        <w:drawing>
          <wp:anchor distT="0" distB="0" distL="114300" distR="114300" simplePos="0" relativeHeight="251683840" behindDoc="1" locked="0" layoutInCell="1" allowOverlap="1" wp14:anchorId="7516A12B" wp14:editId="13D6A03E">
            <wp:simplePos x="0" y="0"/>
            <wp:positionH relativeFrom="column">
              <wp:posOffset>-38100</wp:posOffset>
            </wp:positionH>
            <wp:positionV relativeFrom="paragraph">
              <wp:posOffset>154305</wp:posOffset>
            </wp:positionV>
            <wp:extent cx="1912620" cy="1264285"/>
            <wp:effectExtent l="0" t="0" r="0" b="0"/>
            <wp:wrapTight wrapText="bothSides">
              <wp:wrapPolygon edited="0">
                <wp:start x="0" y="0"/>
                <wp:lineTo x="0" y="21155"/>
                <wp:lineTo x="21299" y="21155"/>
                <wp:lineTo x="21299" y="0"/>
                <wp:lineTo x="0" y="0"/>
              </wp:wrapPolygon>
            </wp:wrapTight>
            <wp:docPr id="192694171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41719" name="Picture 1">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Lst>
                    </a:blip>
                    <a:stretch>
                      <a:fillRect/>
                    </a:stretch>
                  </pic:blipFill>
                  <pic:spPr>
                    <a:xfrm>
                      <a:off x="0" y="0"/>
                      <a:ext cx="1912620" cy="1264285"/>
                    </a:xfrm>
                    <a:prstGeom prst="rect">
                      <a:avLst/>
                    </a:prstGeom>
                  </pic:spPr>
                </pic:pic>
              </a:graphicData>
            </a:graphic>
            <wp14:sizeRelH relativeFrom="page">
              <wp14:pctWidth>0</wp14:pctWidth>
            </wp14:sizeRelH>
            <wp14:sizeRelV relativeFrom="page">
              <wp14:pctHeight>0</wp14:pctHeight>
            </wp14:sizeRelV>
          </wp:anchor>
        </w:drawing>
      </w:r>
    </w:p>
    <w:p w14:paraId="2E35DB66" w14:textId="7FE7AD45" w:rsidR="00B43CEB" w:rsidRDefault="000F1C72" w:rsidP="007A05DA">
      <w:r w:rsidRPr="007A05DA">
        <w:rPr>
          <w:noProof/>
        </w:rPr>
        <w:drawing>
          <wp:anchor distT="0" distB="0" distL="114300" distR="114300" simplePos="0" relativeHeight="251684864" behindDoc="1" locked="0" layoutInCell="1" allowOverlap="1" wp14:anchorId="172880AD" wp14:editId="3F44E239">
            <wp:simplePos x="0" y="0"/>
            <wp:positionH relativeFrom="column">
              <wp:posOffset>4419600</wp:posOffset>
            </wp:positionH>
            <wp:positionV relativeFrom="paragraph">
              <wp:posOffset>10160</wp:posOffset>
            </wp:positionV>
            <wp:extent cx="1794510" cy="1294765"/>
            <wp:effectExtent l="0" t="0" r="0" b="635"/>
            <wp:wrapTight wrapText="bothSides">
              <wp:wrapPolygon edited="0">
                <wp:start x="0" y="0"/>
                <wp:lineTo x="0" y="21293"/>
                <wp:lineTo x="21325" y="21293"/>
                <wp:lineTo x="21325" y="0"/>
                <wp:lineTo x="0" y="0"/>
              </wp:wrapPolygon>
            </wp:wrapTight>
            <wp:docPr id="166316079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160797" name="Picture 1">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1794510" cy="1294765"/>
                    </a:xfrm>
                    <a:prstGeom prst="rect">
                      <a:avLst/>
                    </a:prstGeom>
                  </pic:spPr>
                </pic:pic>
              </a:graphicData>
            </a:graphic>
            <wp14:sizeRelH relativeFrom="page">
              <wp14:pctWidth>0</wp14:pctWidth>
            </wp14:sizeRelH>
            <wp14:sizeRelV relativeFrom="page">
              <wp14:pctHeight>0</wp14:pctHeight>
            </wp14:sizeRelV>
          </wp:anchor>
        </w:drawing>
      </w:r>
    </w:p>
    <w:p w14:paraId="0C8BE7FE" w14:textId="3E567AC8" w:rsidR="00B43CEB" w:rsidRDefault="00B43CEB" w:rsidP="007A05DA"/>
    <w:p w14:paraId="3B408E82" w14:textId="5CCB5779" w:rsidR="000D1DF5" w:rsidRDefault="000D1DF5" w:rsidP="007A05DA"/>
    <w:p w14:paraId="61F7A819" w14:textId="7290DE45" w:rsidR="000D1DF5" w:rsidRDefault="000D1DF5" w:rsidP="007A05DA"/>
    <w:p w14:paraId="032DD94C" w14:textId="10F94696" w:rsidR="000D1DF5" w:rsidRPr="00350E2D" w:rsidRDefault="000D1DF5" w:rsidP="007A05DA"/>
    <w:p w14:paraId="6379CEB2" w14:textId="6EC9FB95" w:rsidR="000D1DF5" w:rsidRDefault="000D1DF5" w:rsidP="008855CB">
      <w:pPr>
        <w:pStyle w:val="ListParagraph"/>
        <w:rPr>
          <w:rFonts w:ascii="Tahoma" w:hAnsi="Tahoma" w:cs="Tahoma"/>
          <w:b/>
          <w:bCs/>
          <w:color w:val="4472C3"/>
          <w:sz w:val="22"/>
          <w:szCs w:val="22"/>
        </w:rPr>
      </w:pPr>
    </w:p>
    <w:p w14:paraId="12F5918F" w14:textId="00997C67" w:rsidR="000D1DF5" w:rsidRDefault="000D1DF5" w:rsidP="008855CB">
      <w:pPr>
        <w:pStyle w:val="ListParagraph"/>
        <w:rPr>
          <w:rFonts w:ascii="Tahoma" w:hAnsi="Tahoma" w:cs="Tahoma"/>
          <w:b/>
          <w:bCs/>
          <w:color w:val="4472C3"/>
          <w:sz w:val="22"/>
          <w:szCs w:val="22"/>
        </w:rPr>
      </w:pPr>
    </w:p>
    <w:p w14:paraId="068CD973" w14:textId="6ACB255D" w:rsidR="000D1DF5" w:rsidRPr="000D1DF5" w:rsidRDefault="000D1DF5" w:rsidP="000D1DF5">
      <w:pPr>
        <w:rPr>
          <w:b/>
          <w:bCs/>
          <w:color w:val="4472C3"/>
        </w:rPr>
      </w:pPr>
    </w:p>
    <w:p w14:paraId="41F201A6" w14:textId="77777777" w:rsidR="00197FEA" w:rsidRDefault="00197FEA" w:rsidP="000D1DF5">
      <w:pPr>
        <w:pStyle w:val="ListParagraph"/>
        <w:ind w:left="0"/>
        <w:rPr>
          <w:rFonts w:ascii="Tahoma" w:hAnsi="Tahoma" w:cs="Tahoma"/>
          <w:b/>
          <w:bCs/>
          <w:color w:val="4472C3"/>
          <w:sz w:val="22"/>
          <w:szCs w:val="22"/>
        </w:rPr>
      </w:pPr>
    </w:p>
    <w:p w14:paraId="671CAD6A" w14:textId="4F31BB79" w:rsidR="000D1DF5" w:rsidRDefault="000D1DF5" w:rsidP="00197FEA">
      <w:pPr>
        <w:pStyle w:val="ListParagraph"/>
        <w:spacing w:after="240"/>
        <w:ind w:left="0"/>
        <w:rPr>
          <w:rFonts w:ascii="Tahoma" w:hAnsi="Tahoma" w:cs="Tahoma"/>
          <w:b/>
          <w:bCs/>
          <w:color w:val="4472C3"/>
          <w:sz w:val="22"/>
          <w:szCs w:val="22"/>
        </w:rPr>
      </w:pPr>
      <w:r w:rsidRPr="00C711CF">
        <w:rPr>
          <w:rFonts w:ascii="Tahoma" w:hAnsi="Tahoma" w:cs="Tahoma"/>
          <w:b/>
          <w:bCs/>
          <w:color w:val="4472C3"/>
          <w:sz w:val="22"/>
          <w:szCs w:val="22"/>
        </w:rPr>
        <w:t>Handling an Unintentional or Low-Level Presence of GM crops</w:t>
      </w:r>
    </w:p>
    <w:p w14:paraId="5C2C0DB6" w14:textId="77777777" w:rsidR="00197FEA" w:rsidRPr="00D135FB" w:rsidRDefault="00197FEA" w:rsidP="00197FEA">
      <w:pPr>
        <w:pStyle w:val="ListParagraph"/>
        <w:spacing w:after="240"/>
        <w:ind w:left="0"/>
        <w:rPr>
          <w:rFonts w:ascii="Tahoma" w:hAnsi="Tahoma" w:cs="Tahoma"/>
          <w:b/>
          <w:bCs/>
          <w:color w:val="4472C3"/>
          <w:sz w:val="16"/>
          <w:szCs w:val="16"/>
        </w:rPr>
      </w:pPr>
    </w:p>
    <w:p w14:paraId="5235B5B7" w14:textId="60A9A68A" w:rsidR="000D1DF5" w:rsidRDefault="000D1DF5" w:rsidP="000D1DF5">
      <w:pPr>
        <w:pStyle w:val="ListParagraph"/>
        <w:ind w:left="0"/>
        <w:rPr>
          <w:rFonts w:ascii="Tahoma" w:hAnsi="Tahoma" w:cs="Tahoma"/>
          <w:sz w:val="22"/>
          <w:szCs w:val="22"/>
        </w:rPr>
      </w:pPr>
      <w:r w:rsidRPr="00C711CF">
        <w:rPr>
          <w:rFonts w:ascii="Tahoma" w:hAnsi="Tahoma" w:cs="Tahoma"/>
          <w:sz w:val="22"/>
          <w:szCs w:val="22"/>
        </w:rPr>
        <w:t xml:space="preserve">The probability of unapproved GMOs gaining entry to Australia is low. </w:t>
      </w:r>
      <w:r w:rsidR="007E5C24">
        <w:rPr>
          <w:rFonts w:ascii="Tahoma" w:hAnsi="Tahoma" w:cs="Tahoma"/>
          <w:sz w:val="22"/>
          <w:szCs w:val="22"/>
        </w:rPr>
        <w:t>However,</w:t>
      </w:r>
      <w:r w:rsidRPr="00C711CF">
        <w:rPr>
          <w:rFonts w:ascii="Tahoma" w:hAnsi="Tahoma" w:cs="Tahoma"/>
          <w:sz w:val="22"/>
          <w:szCs w:val="22"/>
        </w:rPr>
        <w:t xml:space="preserve"> due to the international trade of grains, trace amounts </w:t>
      </w:r>
      <w:r w:rsidR="00C007CD">
        <w:rPr>
          <w:rFonts w:ascii="Tahoma" w:hAnsi="Tahoma" w:cs="Tahoma"/>
          <w:sz w:val="22"/>
          <w:szCs w:val="22"/>
        </w:rPr>
        <w:t xml:space="preserve">of GM grains </w:t>
      </w:r>
      <w:r w:rsidRPr="00C711CF">
        <w:rPr>
          <w:rFonts w:ascii="Tahoma" w:hAnsi="Tahoma" w:cs="Tahoma"/>
          <w:sz w:val="22"/>
          <w:szCs w:val="22"/>
        </w:rPr>
        <w:t>could be present</w:t>
      </w:r>
      <w:r w:rsidR="00C007CD">
        <w:rPr>
          <w:rFonts w:ascii="Tahoma" w:hAnsi="Tahoma" w:cs="Tahoma"/>
          <w:sz w:val="22"/>
          <w:szCs w:val="22"/>
        </w:rPr>
        <w:t xml:space="preserve"> in shipments</w:t>
      </w:r>
      <w:r w:rsidRPr="00C711CF">
        <w:rPr>
          <w:rFonts w:ascii="Tahoma" w:hAnsi="Tahoma" w:cs="Tahoma"/>
          <w:sz w:val="22"/>
          <w:szCs w:val="22"/>
        </w:rPr>
        <w:t xml:space="preserve">, leading to the unintended presence of unapproved GMOs in Australia. A 6-step strategy is in place to minimise the chance of GM crops being imported into Australia, which involves oversight and diligence by both Government and industry. </w:t>
      </w:r>
    </w:p>
    <w:p w14:paraId="71891122" w14:textId="77777777" w:rsidR="000D1DF5" w:rsidRPr="00C711CF" w:rsidRDefault="000D1DF5" w:rsidP="000D1DF5">
      <w:pPr>
        <w:pStyle w:val="ListParagraph"/>
        <w:rPr>
          <w:rFonts w:ascii="Tahoma" w:hAnsi="Tahoma" w:cs="Tahoma"/>
          <w:sz w:val="22"/>
          <w:szCs w:val="22"/>
        </w:rPr>
      </w:pPr>
    </w:p>
    <w:p w14:paraId="46B2DF15" w14:textId="57251127" w:rsidR="009A49BE" w:rsidRDefault="000D1DF5" w:rsidP="009A49BE">
      <w:pPr>
        <w:pStyle w:val="ListParagraph"/>
        <w:spacing w:after="1200"/>
        <w:ind w:left="0"/>
        <w:rPr>
          <w:rFonts w:ascii="Tahoma" w:hAnsi="Tahoma" w:cs="Tahoma"/>
          <w:sz w:val="22"/>
          <w:szCs w:val="22"/>
        </w:rPr>
      </w:pPr>
      <w:r w:rsidRPr="00C711CF">
        <w:rPr>
          <w:rFonts w:ascii="Tahoma" w:hAnsi="Tahoma" w:cs="Tahoma"/>
          <w:sz w:val="22"/>
          <w:szCs w:val="22"/>
        </w:rPr>
        <w:t xml:space="preserve">For more information on the strategy, what you can do to minimise the risk of importing GMO seed stock, and what to do in the event of detecting an unintended presence, </w:t>
      </w:r>
      <w:hyperlink r:id="rId19" w:history="1">
        <w:r>
          <w:rPr>
            <w:rStyle w:val="Hyperlink"/>
            <w:rFonts w:ascii="Tahoma" w:hAnsi="Tahoma" w:cs="Tahoma"/>
            <w:sz w:val="22"/>
            <w:szCs w:val="22"/>
          </w:rPr>
          <w:t>see our factsheet</w:t>
        </w:r>
      </w:hyperlink>
      <w:r w:rsidRPr="00C711CF">
        <w:rPr>
          <w:rFonts w:ascii="Tahoma" w:hAnsi="Tahoma" w:cs="Tahoma"/>
          <w:sz w:val="22"/>
          <w:szCs w:val="22"/>
        </w:rPr>
        <w:t xml:space="preserve">. </w:t>
      </w:r>
    </w:p>
    <w:p w14:paraId="4D93D9E9" w14:textId="77777777" w:rsidR="00E34D14" w:rsidRDefault="00E34D14" w:rsidP="009A49BE">
      <w:pPr>
        <w:pStyle w:val="ListParagraph"/>
        <w:spacing w:after="1200"/>
        <w:ind w:left="0"/>
        <w:rPr>
          <w:rFonts w:ascii="Tahoma" w:hAnsi="Tahoma" w:cs="Tahoma"/>
          <w:sz w:val="22"/>
          <w:szCs w:val="22"/>
        </w:rPr>
      </w:pPr>
    </w:p>
    <w:p w14:paraId="4D35EDA7" w14:textId="0742A279" w:rsidR="00E34D14" w:rsidRDefault="00E34D14" w:rsidP="00715CC7">
      <w:pPr>
        <w:pStyle w:val="ListParagraph"/>
        <w:spacing w:after="480"/>
        <w:ind w:left="0"/>
        <w:rPr>
          <w:rFonts w:ascii="Tahoma" w:hAnsi="Tahoma" w:cs="Tahoma"/>
          <w:sz w:val="22"/>
          <w:szCs w:val="22"/>
        </w:rPr>
      </w:pPr>
      <w:r>
        <w:rPr>
          <w:rFonts w:ascii="Tahoma" w:hAnsi="Tahoma" w:cs="Tahoma"/>
          <w:sz w:val="22"/>
          <w:szCs w:val="22"/>
        </w:rPr>
        <w:t xml:space="preserve">A reference for all GM plants authorised for release into the environment is available </w:t>
      </w:r>
      <w:hyperlink r:id="rId20" w:history="1">
        <w:r w:rsidRPr="00E34D14">
          <w:rPr>
            <w:rStyle w:val="Hyperlink"/>
            <w:rFonts w:ascii="Tahoma" w:hAnsi="Tahoma" w:cs="Tahoma"/>
            <w:sz w:val="22"/>
            <w:szCs w:val="22"/>
          </w:rPr>
          <w:t>on our website</w:t>
        </w:r>
      </w:hyperlink>
      <w:r>
        <w:rPr>
          <w:rFonts w:ascii="Tahoma" w:hAnsi="Tahoma" w:cs="Tahoma"/>
          <w:sz w:val="22"/>
          <w:szCs w:val="22"/>
        </w:rPr>
        <w:t>.</w:t>
      </w:r>
    </w:p>
    <w:p w14:paraId="1D360EBF" w14:textId="77777777" w:rsidR="009A49BE" w:rsidRPr="00197FEA" w:rsidRDefault="009A49BE" w:rsidP="00197FEA">
      <w:pPr>
        <w:rPr>
          <w:b/>
          <w:bCs/>
          <w:color w:val="4472C3"/>
        </w:rPr>
      </w:pPr>
    </w:p>
    <w:p w14:paraId="287D2676" w14:textId="67BE5A72" w:rsidR="00197FEA" w:rsidRDefault="009A49BE" w:rsidP="00197FEA">
      <w:pPr>
        <w:pStyle w:val="ListParagraph"/>
        <w:ind w:hanging="720"/>
        <w:rPr>
          <w:rFonts w:ascii="Tahoma" w:hAnsi="Tahoma" w:cs="Tahoma"/>
          <w:b/>
          <w:bCs/>
          <w:color w:val="4472C3"/>
          <w:sz w:val="22"/>
          <w:szCs w:val="22"/>
        </w:rPr>
      </w:pPr>
      <w:r w:rsidRPr="00197FEA">
        <w:rPr>
          <w:noProof/>
        </w:rPr>
        <w:lastRenderedPageBreak/>
        <w:drawing>
          <wp:anchor distT="0" distB="0" distL="114300" distR="114300" simplePos="0" relativeHeight="251687936" behindDoc="0" locked="0" layoutInCell="1" allowOverlap="1" wp14:anchorId="3759893F" wp14:editId="3559F599">
            <wp:simplePos x="0" y="0"/>
            <wp:positionH relativeFrom="margin">
              <wp:posOffset>152400</wp:posOffset>
            </wp:positionH>
            <wp:positionV relativeFrom="paragraph">
              <wp:posOffset>79375</wp:posOffset>
            </wp:positionV>
            <wp:extent cx="1310005" cy="1524000"/>
            <wp:effectExtent l="0" t="0" r="4445" b="0"/>
            <wp:wrapThrough wrapText="bothSides">
              <wp:wrapPolygon edited="0">
                <wp:start x="0" y="0"/>
                <wp:lineTo x="0" y="21330"/>
                <wp:lineTo x="21359" y="21330"/>
                <wp:lineTo x="21359" y="0"/>
                <wp:lineTo x="0" y="0"/>
              </wp:wrapPolygon>
            </wp:wrapThrough>
            <wp:docPr id="189302640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026401" name="Picture 1">
                      <a:extLst>
                        <a:ext uri="{C183D7F6-B498-43B3-948B-1728B52AA6E4}">
                          <adec:decorative xmlns:adec="http://schemas.microsoft.com/office/drawing/2017/decorative" val="1"/>
                        </a:ext>
                      </a:extLst>
                    </pic:cNvPr>
                    <pic:cNvPicPr/>
                  </pic:nvPicPr>
                  <pic:blipFill>
                    <a:blip r:embed="rId21">
                      <a:extLst>
                        <a:ext uri="{28A0092B-C50C-407E-A947-70E740481C1C}">
                          <a14:useLocalDpi xmlns:a14="http://schemas.microsoft.com/office/drawing/2010/main" val="0"/>
                        </a:ext>
                      </a:extLst>
                    </a:blip>
                    <a:stretch>
                      <a:fillRect/>
                    </a:stretch>
                  </pic:blipFill>
                  <pic:spPr>
                    <a:xfrm>
                      <a:off x="0" y="0"/>
                      <a:ext cx="1310005" cy="1524000"/>
                    </a:xfrm>
                    <a:prstGeom prst="rect">
                      <a:avLst/>
                    </a:prstGeom>
                  </pic:spPr>
                </pic:pic>
              </a:graphicData>
            </a:graphic>
            <wp14:sizeRelH relativeFrom="page">
              <wp14:pctWidth>0</wp14:pctWidth>
            </wp14:sizeRelH>
            <wp14:sizeRelV relativeFrom="page">
              <wp14:pctHeight>0</wp14:pctHeight>
            </wp14:sizeRelV>
          </wp:anchor>
        </w:drawing>
      </w:r>
      <w:r w:rsidR="007A05DA" w:rsidRPr="007A05DA">
        <w:rPr>
          <w:rFonts w:ascii="Tahoma" w:hAnsi="Tahoma" w:cs="Tahoma"/>
          <w:b/>
          <w:bCs/>
          <w:color w:val="4472C3"/>
          <w:sz w:val="22"/>
          <w:szCs w:val="22"/>
        </w:rPr>
        <w:t xml:space="preserve">Annual Reports for Accreditations </w:t>
      </w:r>
    </w:p>
    <w:p w14:paraId="08F1EE1D" w14:textId="36F93176" w:rsidR="00197FEA" w:rsidRPr="00D135FB" w:rsidRDefault="00197FEA" w:rsidP="00197FEA">
      <w:pPr>
        <w:pStyle w:val="ListParagraph"/>
        <w:ind w:hanging="720"/>
        <w:rPr>
          <w:rFonts w:ascii="Tahoma" w:hAnsi="Tahoma" w:cs="Tahoma"/>
          <w:b/>
          <w:bCs/>
          <w:color w:val="4472C3"/>
          <w:sz w:val="16"/>
          <w:szCs w:val="16"/>
        </w:rPr>
      </w:pPr>
    </w:p>
    <w:p w14:paraId="0F3BEE63" w14:textId="490BE0DD" w:rsidR="007A05DA" w:rsidRDefault="007A05DA" w:rsidP="00197FEA">
      <w:pPr>
        <w:pStyle w:val="ListParagraph"/>
        <w:ind w:left="0"/>
      </w:pPr>
      <w:r w:rsidRPr="00197FEA">
        <w:rPr>
          <w:rFonts w:ascii="Tahoma" w:hAnsi="Tahoma" w:cs="Tahoma"/>
          <w:sz w:val="22"/>
          <w:szCs w:val="22"/>
        </w:rPr>
        <w:t>The OGTR is following up outstanding annual reports from accredited entities, where these have not been</w:t>
      </w:r>
      <w:r w:rsidR="00197FEA">
        <w:rPr>
          <w:rFonts w:ascii="Tahoma" w:hAnsi="Tahoma" w:cs="Tahoma"/>
          <w:sz w:val="22"/>
          <w:szCs w:val="22"/>
        </w:rPr>
        <w:t xml:space="preserve"> </w:t>
      </w:r>
      <w:r w:rsidRPr="00197FEA">
        <w:rPr>
          <w:rFonts w:ascii="Tahoma" w:hAnsi="Tahoma" w:cs="Tahoma"/>
          <w:sz w:val="22"/>
          <w:szCs w:val="22"/>
        </w:rPr>
        <w:t xml:space="preserve">received by the 30 September 2025 due date. If you are required to submit an annual report to the OGTR for your accreditation, and have not yet done so, please send it as soon as possible. If your annual report is not received, the Regulator may suspend or cancel your accreditation. The template for providing your annual report can be found </w:t>
      </w:r>
      <w:hyperlink r:id="rId22" w:history="1">
        <w:r w:rsidR="00A56457" w:rsidRPr="00197FEA">
          <w:rPr>
            <w:rFonts w:ascii="Tahoma" w:hAnsi="Tahoma" w:cs="Tahoma"/>
            <w:sz w:val="22"/>
            <w:szCs w:val="22"/>
          </w:rPr>
          <w:t>on our website</w:t>
        </w:r>
      </w:hyperlink>
      <w:r w:rsidRPr="007A05DA">
        <w:t xml:space="preserve">. </w:t>
      </w:r>
    </w:p>
    <w:p w14:paraId="0DA98AB4" w14:textId="77777777" w:rsidR="00197FEA" w:rsidRPr="00197FEA" w:rsidRDefault="00197FEA" w:rsidP="00197FEA">
      <w:pPr>
        <w:pStyle w:val="ListParagraph"/>
        <w:ind w:hanging="720"/>
        <w:rPr>
          <w:rFonts w:ascii="Tahoma" w:hAnsi="Tahoma" w:cs="Tahoma"/>
          <w:b/>
          <w:bCs/>
          <w:color w:val="4472C3"/>
          <w:sz w:val="22"/>
          <w:szCs w:val="22"/>
        </w:rPr>
      </w:pPr>
    </w:p>
    <w:p w14:paraId="093515C6" w14:textId="7F8518A9" w:rsidR="007A05DA" w:rsidRDefault="007A05DA" w:rsidP="007A05DA">
      <w:pPr>
        <w:rPr>
          <w:b/>
          <w:bCs/>
        </w:rPr>
      </w:pPr>
      <w:r w:rsidRPr="007A05DA">
        <w:t>If you have any questions regarding the submission of your annual report, please contact the Applications team on 1800 181 030 or email</w:t>
      </w:r>
      <w:r w:rsidRPr="007A05DA">
        <w:rPr>
          <w:b/>
          <w:bCs/>
        </w:rPr>
        <w:t> </w:t>
      </w:r>
      <w:hyperlink r:id="rId23" w:history="1"/>
      <w:hyperlink r:id="rId24" w:history="1">
        <w:r w:rsidRPr="00C711CF">
          <w:rPr>
            <w:rStyle w:val="Hyperlink"/>
          </w:rPr>
          <w:t>OGTR.applications@health.gov.au</w:t>
        </w:r>
      </w:hyperlink>
      <w:r w:rsidRPr="00C711CF">
        <w:t>.</w:t>
      </w:r>
      <w:r w:rsidRPr="007A05DA">
        <w:rPr>
          <w:b/>
          <w:bCs/>
        </w:rPr>
        <w:t xml:space="preserve"> </w:t>
      </w:r>
    </w:p>
    <w:p w14:paraId="66E4BCC7" w14:textId="70275A8C" w:rsidR="007A05DA" w:rsidRPr="007A05DA" w:rsidRDefault="007A05DA" w:rsidP="007A05DA">
      <w:pPr>
        <w:rPr>
          <w:b/>
          <w:bCs/>
        </w:rPr>
      </w:pPr>
    </w:p>
    <w:p w14:paraId="5F9CA2A6" w14:textId="469DE742" w:rsidR="007A05DA" w:rsidRPr="000B6B52" w:rsidRDefault="007A05DA" w:rsidP="003C435B">
      <w:r w:rsidRPr="007A05DA">
        <w:t xml:space="preserve">If you intend to surrender your accreditation, you can request to surrender through the same contact points above. Note that an accreditation that was active </w:t>
      </w:r>
      <w:r w:rsidR="00E34D14">
        <w:t xml:space="preserve">at any time </w:t>
      </w:r>
      <w:r w:rsidRPr="007A05DA">
        <w:t xml:space="preserve">during the 2024/25 year will require an annual report to be submitted. </w:t>
      </w:r>
    </w:p>
    <w:p w14:paraId="3E4AD9CD" w14:textId="77777777" w:rsidR="000B6B52" w:rsidRDefault="000B6B52" w:rsidP="003C435B">
      <w:pPr>
        <w:rPr>
          <w:b/>
          <w:bCs/>
          <w:color w:val="4472C3"/>
          <w:sz w:val="24"/>
          <w:szCs w:val="24"/>
        </w:rPr>
      </w:pPr>
    </w:p>
    <w:p w14:paraId="24BEC81C" w14:textId="524864AB" w:rsidR="000B23E5" w:rsidRPr="008D4975" w:rsidRDefault="00443B75" w:rsidP="009A49BE">
      <w:pPr>
        <w:spacing w:after="120"/>
        <w:rPr>
          <w:b/>
          <w:bCs/>
          <w:color w:val="4472C3"/>
          <w:sz w:val="24"/>
          <w:szCs w:val="24"/>
        </w:rPr>
      </w:pPr>
      <w:r w:rsidRPr="008D4975">
        <w:rPr>
          <w:noProof/>
          <w14:ligatures w14:val="standardContextual"/>
        </w:rPr>
        <w:drawing>
          <wp:anchor distT="0" distB="0" distL="114300" distR="114300" simplePos="0" relativeHeight="251679744" behindDoc="0" locked="0" layoutInCell="1" allowOverlap="1" wp14:anchorId="663A7781" wp14:editId="496B1353">
            <wp:simplePos x="0" y="0"/>
            <wp:positionH relativeFrom="column">
              <wp:posOffset>4067175</wp:posOffset>
            </wp:positionH>
            <wp:positionV relativeFrom="paragraph">
              <wp:posOffset>57785</wp:posOffset>
            </wp:positionV>
            <wp:extent cx="2295525" cy="1530350"/>
            <wp:effectExtent l="0" t="0" r="9525" b="0"/>
            <wp:wrapThrough wrapText="bothSides">
              <wp:wrapPolygon edited="0">
                <wp:start x="0" y="0"/>
                <wp:lineTo x="0" y="21241"/>
                <wp:lineTo x="21510" y="21241"/>
                <wp:lineTo x="21510" y="0"/>
                <wp:lineTo x="0" y="0"/>
              </wp:wrapPolygon>
            </wp:wrapThrough>
            <wp:docPr id="2106928923" name="Picture 3" descr="A cotton plant with white flower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928923" name="Picture 3" descr="A cotton plant with white flowers&#10;&#10;"/>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295525" cy="1530350"/>
                    </a:xfrm>
                    <a:prstGeom prst="rect">
                      <a:avLst/>
                    </a:prstGeom>
                  </pic:spPr>
                </pic:pic>
              </a:graphicData>
            </a:graphic>
            <wp14:sizeRelH relativeFrom="page">
              <wp14:pctWidth>0</wp14:pctWidth>
            </wp14:sizeRelH>
            <wp14:sizeRelV relativeFrom="page">
              <wp14:pctHeight>0</wp14:pctHeight>
            </wp14:sizeRelV>
          </wp:anchor>
        </w:drawing>
      </w:r>
      <w:r w:rsidR="000B23E5" w:rsidRPr="008D4975">
        <w:rPr>
          <w:b/>
          <w:bCs/>
          <w:color w:val="4472C3"/>
          <w:sz w:val="24"/>
          <w:szCs w:val="24"/>
        </w:rPr>
        <w:t>DIR Updates:</w:t>
      </w:r>
    </w:p>
    <w:p w14:paraId="1B2A215D" w14:textId="05669708" w:rsidR="00F3179D" w:rsidRPr="008D4975" w:rsidRDefault="001A750A" w:rsidP="005A15CE">
      <w:pPr>
        <w:pStyle w:val="ListParagraph"/>
        <w:numPr>
          <w:ilvl w:val="0"/>
          <w:numId w:val="9"/>
        </w:numPr>
        <w:spacing w:after="60"/>
        <w:ind w:left="714" w:hanging="357"/>
        <w:contextualSpacing w:val="0"/>
        <w:rPr>
          <w:rFonts w:ascii="Tahoma" w:eastAsia="Tahoma" w:hAnsi="Tahoma" w:cs="Tahoma"/>
          <w:sz w:val="22"/>
          <w:szCs w:val="22"/>
        </w:rPr>
      </w:pPr>
      <w:r w:rsidRPr="008D4975">
        <w:rPr>
          <w:rFonts w:ascii="Tahoma" w:eastAsia="Tahoma" w:hAnsi="Tahoma" w:cs="Tahoma"/>
          <w:sz w:val="22"/>
          <w:szCs w:val="22"/>
        </w:rPr>
        <w:t>Licence issued</w:t>
      </w:r>
      <w:r w:rsidR="007F5CF9" w:rsidRPr="008D4975">
        <w:rPr>
          <w:rFonts w:ascii="Tahoma" w:eastAsia="Tahoma" w:hAnsi="Tahoma" w:cs="Tahoma"/>
          <w:sz w:val="22"/>
          <w:szCs w:val="22"/>
        </w:rPr>
        <w:t xml:space="preserve"> for the commercial </w:t>
      </w:r>
      <w:r w:rsidR="00A52946">
        <w:rPr>
          <w:rFonts w:ascii="Tahoma" w:eastAsia="Tahoma" w:hAnsi="Tahoma" w:cs="Tahoma"/>
          <w:sz w:val="22"/>
          <w:szCs w:val="22"/>
        </w:rPr>
        <w:t>release</w:t>
      </w:r>
      <w:r w:rsidR="007F5CF9" w:rsidRPr="008D4975">
        <w:rPr>
          <w:rFonts w:ascii="Tahoma" w:eastAsia="Tahoma" w:hAnsi="Tahoma" w:cs="Tahoma"/>
          <w:sz w:val="22"/>
          <w:szCs w:val="22"/>
        </w:rPr>
        <w:t xml:space="preserve"> of cotton genetically modified for insect and herbicide tolerance</w:t>
      </w:r>
      <w:r w:rsidRPr="008D4975">
        <w:rPr>
          <w:rFonts w:ascii="Tahoma" w:eastAsia="Tahoma" w:hAnsi="Tahoma" w:cs="Tahoma"/>
          <w:sz w:val="22"/>
          <w:szCs w:val="22"/>
        </w:rPr>
        <w:t xml:space="preserve"> (</w:t>
      </w:r>
      <w:hyperlink r:id="rId26" w:history="1">
        <w:r w:rsidRPr="008D4975">
          <w:rPr>
            <w:rStyle w:val="Hyperlink"/>
            <w:rFonts w:ascii="Tahoma" w:eastAsia="Tahoma" w:hAnsi="Tahoma" w:cs="Tahoma"/>
            <w:sz w:val="22"/>
            <w:szCs w:val="22"/>
          </w:rPr>
          <w:t xml:space="preserve">DIR 216). </w:t>
        </w:r>
      </w:hyperlink>
    </w:p>
    <w:p w14:paraId="241131CF" w14:textId="474B9CDC" w:rsidR="007F5CF9" w:rsidRPr="00FE2EC7" w:rsidRDefault="001A750A" w:rsidP="004E6B2A">
      <w:pPr>
        <w:pStyle w:val="ListParagraph"/>
        <w:numPr>
          <w:ilvl w:val="0"/>
          <w:numId w:val="9"/>
        </w:numPr>
        <w:spacing w:after="240"/>
        <w:ind w:left="714" w:hanging="357"/>
        <w:rPr>
          <w:rFonts w:ascii="Tahoma" w:eastAsia="Tahoma" w:hAnsi="Tahoma" w:cs="Tahoma"/>
          <w:sz w:val="22"/>
          <w:szCs w:val="22"/>
        </w:rPr>
      </w:pPr>
      <w:r w:rsidRPr="00FE2EC7">
        <w:rPr>
          <w:rFonts w:ascii="Tahoma" w:eastAsia="Tahoma" w:hAnsi="Tahoma" w:cs="Tahoma"/>
          <w:sz w:val="22"/>
          <w:szCs w:val="22"/>
        </w:rPr>
        <w:t>Licence</w:t>
      </w:r>
      <w:r w:rsidR="007F5CF9" w:rsidRPr="00FE2EC7">
        <w:rPr>
          <w:rFonts w:ascii="Tahoma" w:eastAsia="Tahoma" w:hAnsi="Tahoma" w:cs="Tahoma"/>
          <w:sz w:val="22"/>
          <w:szCs w:val="22"/>
        </w:rPr>
        <w:t xml:space="preserve"> issued for the commercial supply of a genetically modified therapeutic for bladder cancer treatment</w:t>
      </w:r>
      <w:r w:rsidRPr="00FE2EC7">
        <w:rPr>
          <w:rFonts w:ascii="Tahoma" w:eastAsia="Tahoma" w:hAnsi="Tahoma" w:cs="Tahoma"/>
          <w:sz w:val="22"/>
          <w:szCs w:val="22"/>
        </w:rPr>
        <w:t xml:space="preserve"> (</w:t>
      </w:r>
      <w:hyperlink r:id="rId27" w:history="1">
        <w:r w:rsidRPr="00FE2EC7">
          <w:rPr>
            <w:rStyle w:val="Hyperlink"/>
            <w:rFonts w:ascii="Tahoma" w:eastAsia="Tahoma" w:hAnsi="Tahoma" w:cs="Tahoma"/>
            <w:sz w:val="22"/>
            <w:szCs w:val="22"/>
          </w:rPr>
          <w:t>DIR 217</w:t>
        </w:r>
      </w:hyperlink>
      <w:r w:rsidRPr="00FE2EC7">
        <w:rPr>
          <w:rFonts w:ascii="Tahoma" w:eastAsia="Tahoma" w:hAnsi="Tahoma" w:cs="Tahoma"/>
          <w:sz w:val="22"/>
          <w:szCs w:val="22"/>
        </w:rPr>
        <w:t>)</w:t>
      </w:r>
      <w:r w:rsidR="00FC59BB" w:rsidRPr="00FE2EC7">
        <w:rPr>
          <w:rFonts w:ascii="Tahoma" w:eastAsia="Tahoma" w:hAnsi="Tahoma" w:cs="Tahoma"/>
          <w:sz w:val="22"/>
          <w:szCs w:val="22"/>
        </w:rPr>
        <w:t>.</w:t>
      </w:r>
    </w:p>
    <w:p w14:paraId="7A6DE7EE" w14:textId="77777777" w:rsidR="004E6B2A" w:rsidRDefault="004E6B2A" w:rsidP="003C435B">
      <w:pPr>
        <w:rPr>
          <w:b/>
          <w:bCs/>
          <w:color w:val="4472C3"/>
        </w:rPr>
      </w:pPr>
    </w:p>
    <w:p w14:paraId="2C5D2CF9" w14:textId="236C3471" w:rsidR="00D2405E" w:rsidRDefault="00D2405E" w:rsidP="009A49BE">
      <w:pPr>
        <w:spacing w:after="120"/>
        <w:rPr>
          <w:b/>
          <w:bCs/>
          <w:color w:val="4472C3"/>
          <w:sz w:val="32"/>
          <w:szCs w:val="32"/>
        </w:rPr>
      </w:pPr>
      <w:r w:rsidRPr="008D4975">
        <w:rPr>
          <w:b/>
          <w:bCs/>
          <w:color w:val="4472C3"/>
          <w:sz w:val="32"/>
          <w:szCs w:val="32"/>
        </w:rPr>
        <w:t>Staff movements</w:t>
      </w:r>
    </w:p>
    <w:p w14:paraId="01305377" w14:textId="71FABBEA" w:rsidR="00D2405E" w:rsidRPr="008D4975" w:rsidRDefault="00D2405E" w:rsidP="00D2405E">
      <w:r w:rsidRPr="008D4975">
        <w:t>Since our last newsletter there have been a few long-term staff that have departed the office.</w:t>
      </w:r>
    </w:p>
    <w:p w14:paraId="7ED57AED" w14:textId="3306B738" w:rsidR="00D2405E" w:rsidRPr="00537F76" w:rsidRDefault="00D2405E" w:rsidP="00D2405E">
      <w:pPr>
        <w:rPr>
          <w:b/>
          <w:bCs/>
          <w:color w:val="4472C3"/>
          <w:sz w:val="24"/>
          <w:szCs w:val="24"/>
        </w:rPr>
      </w:pPr>
    </w:p>
    <w:p w14:paraId="3AB308C3" w14:textId="637BBB76" w:rsidR="008739C8" w:rsidRPr="00537F76" w:rsidRDefault="00287373" w:rsidP="003C435B">
      <w:pPr>
        <w:rPr>
          <w:rFonts w:eastAsiaTheme="minorHAnsi"/>
        </w:rPr>
      </w:pPr>
      <w:r>
        <w:rPr>
          <w:b/>
          <w:bCs/>
          <w:color w:val="4472C3"/>
        </w:rPr>
        <w:t>Dr Louisa Matthew</w:t>
      </w:r>
      <w:r w:rsidR="000B21E3">
        <w:rPr>
          <w:b/>
          <w:bCs/>
          <w:color w:val="4472C3"/>
        </w:rPr>
        <w:t xml:space="preserve"> </w:t>
      </w:r>
      <w:r w:rsidR="000B21E3" w:rsidRPr="000B21E3">
        <w:rPr>
          <w:rFonts w:eastAsiaTheme="minorHAnsi"/>
        </w:rPr>
        <w:t>(Director, Regulatory Practice), joined OGTR in Evaluation in 2008</w:t>
      </w:r>
      <w:r w:rsidR="00537F76">
        <w:rPr>
          <w:rFonts w:eastAsiaTheme="minorHAnsi"/>
        </w:rPr>
        <w:t>.</w:t>
      </w:r>
    </w:p>
    <w:p w14:paraId="72B1A119" w14:textId="1CD37F34" w:rsidR="008739C8" w:rsidRDefault="00287373" w:rsidP="003C435B">
      <w:pPr>
        <w:rPr>
          <w:b/>
          <w:bCs/>
          <w:color w:val="4472C3"/>
        </w:rPr>
      </w:pPr>
      <w:r>
        <w:rPr>
          <w:b/>
          <w:bCs/>
          <w:color w:val="4472C3"/>
        </w:rPr>
        <w:t>Dr Andrea Robold</w:t>
      </w:r>
      <w:r w:rsidR="000B21E3">
        <w:rPr>
          <w:b/>
          <w:bCs/>
          <w:color w:val="4472C3"/>
        </w:rPr>
        <w:t xml:space="preserve"> </w:t>
      </w:r>
      <w:r w:rsidR="000B21E3" w:rsidRPr="000B21E3">
        <w:rPr>
          <w:rFonts w:eastAsiaTheme="minorHAnsi"/>
        </w:rPr>
        <w:t>(Assistant Director, Plant Evaluation), joined OGTR in Evaluation in 2006, with time spent in Regulatory Practice and FSANZ.</w:t>
      </w:r>
    </w:p>
    <w:p w14:paraId="207B4832" w14:textId="7E672B25" w:rsidR="000B21E3" w:rsidRPr="000B21E3" w:rsidRDefault="00287373" w:rsidP="000B21E3">
      <w:pPr>
        <w:rPr>
          <w:rFonts w:eastAsiaTheme="minorHAnsi"/>
        </w:rPr>
      </w:pPr>
      <w:r>
        <w:rPr>
          <w:b/>
          <w:bCs/>
          <w:color w:val="4472C3"/>
        </w:rPr>
        <w:t>Dr Heidi Mitchell</w:t>
      </w:r>
      <w:r w:rsidR="000B21E3">
        <w:rPr>
          <w:b/>
          <w:bCs/>
          <w:color w:val="4472C3"/>
        </w:rPr>
        <w:t xml:space="preserve"> </w:t>
      </w:r>
      <w:r w:rsidR="000B21E3" w:rsidRPr="000B21E3">
        <w:rPr>
          <w:rFonts w:eastAsiaTheme="minorHAnsi"/>
        </w:rPr>
        <w:t>(Director, Contained Dealings), joined OGTR in Evaluation in 2006, with time spent in Regulatory Practice</w:t>
      </w:r>
      <w:r w:rsidR="00537F76">
        <w:rPr>
          <w:rFonts w:eastAsiaTheme="minorHAnsi"/>
        </w:rPr>
        <w:t>.</w:t>
      </w:r>
    </w:p>
    <w:p w14:paraId="0943D2F9" w14:textId="5E4957AB" w:rsidR="00287373" w:rsidRDefault="00287373" w:rsidP="003C435B">
      <w:pPr>
        <w:rPr>
          <w:b/>
          <w:bCs/>
          <w:color w:val="4472C3"/>
        </w:rPr>
      </w:pPr>
    </w:p>
    <w:p w14:paraId="6FB20C2B" w14:textId="7028F262" w:rsidR="000B21E3" w:rsidRPr="000B21E3" w:rsidRDefault="000B21E3" w:rsidP="000B21E3">
      <w:pPr>
        <w:pStyle w:val="ListParagraph"/>
        <w:ind w:left="0"/>
        <w:rPr>
          <w:rFonts w:ascii="Tahoma" w:hAnsi="Tahoma" w:cs="Tahoma"/>
          <w:sz w:val="22"/>
          <w:szCs w:val="22"/>
        </w:rPr>
      </w:pPr>
      <w:r w:rsidRPr="000B21E3">
        <w:rPr>
          <w:rFonts w:ascii="Tahoma" w:hAnsi="Tahoma" w:cs="Tahoma"/>
          <w:sz w:val="22"/>
          <w:szCs w:val="22"/>
        </w:rPr>
        <w:t>As well as the following retirements:</w:t>
      </w:r>
    </w:p>
    <w:p w14:paraId="1C89C163" w14:textId="2B06DA8B" w:rsidR="000B21E3" w:rsidRPr="000B21E3" w:rsidRDefault="000B21E3" w:rsidP="000B21E3">
      <w:pPr>
        <w:pStyle w:val="ListParagraph"/>
        <w:numPr>
          <w:ilvl w:val="0"/>
          <w:numId w:val="9"/>
        </w:numPr>
        <w:spacing w:after="240"/>
        <w:ind w:left="714" w:hanging="357"/>
        <w:rPr>
          <w:rFonts w:ascii="Tahoma" w:eastAsia="Tahoma" w:hAnsi="Tahoma" w:cs="Tahoma"/>
          <w:sz w:val="22"/>
          <w:szCs w:val="22"/>
        </w:rPr>
      </w:pPr>
      <w:r w:rsidRPr="00537F76">
        <w:rPr>
          <w:rFonts w:ascii="Tahoma" w:eastAsia="Tahoma" w:hAnsi="Tahoma" w:cs="Tahoma"/>
          <w:b/>
          <w:bCs/>
          <w:color w:val="4472C3"/>
          <w:sz w:val="22"/>
          <w:szCs w:val="22"/>
        </w:rPr>
        <w:t>Andrew Short</w:t>
      </w:r>
      <w:r w:rsidRPr="000B21E3">
        <w:rPr>
          <w:rFonts w:ascii="Tahoma" w:eastAsia="Tahoma" w:hAnsi="Tahoma" w:cs="Tahoma"/>
          <w:sz w:val="22"/>
          <w:szCs w:val="22"/>
        </w:rPr>
        <w:t xml:space="preserve"> (Monitoring &amp; Compliance, </w:t>
      </w:r>
      <w:r w:rsidR="007E5C24">
        <w:rPr>
          <w:rFonts w:ascii="Tahoma" w:eastAsia="Tahoma" w:hAnsi="Tahoma" w:cs="Tahoma"/>
          <w:sz w:val="22"/>
          <w:szCs w:val="22"/>
        </w:rPr>
        <w:t xml:space="preserve">commenced </w:t>
      </w:r>
      <w:r w:rsidRPr="000B21E3">
        <w:rPr>
          <w:rFonts w:ascii="Tahoma" w:eastAsia="Tahoma" w:hAnsi="Tahoma" w:cs="Tahoma"/>
          <w:sz w:val="22"/>
          <w:szCs w:val="22"/>
        </w:rPr>
        <w:t>20</w:t>
      </w:r>
      <w:r w:rsidR="00DA275B">
        <w:rPr>
          <w:rFonts w:ascii="Tahoma" w:eastAsia="Tahoma" w:hAnsi="Tahoma" w:cs="Tahoma"/>
          <w:sz w:val="22"/>
          <w:szCs w:val="22"/>
        </w:rPr>
        <w:t>16</w:t>
      </w:r>
      <w:r w:rsidRPr="000B21E3">
        <w:rPr>
          <w:rFonts w:ascii="Tahoma" w:eastAsia="Tahoma" w:hAnsi="Tahoma" w:cs="Tahoma"/>
          <w:sz w:val="22"/>
          <w:szCs w:val="22"/>
        </w:rPr>
        <w:t>),</w:t>
      </w:r>
    </w:p>
    <w:p w14:paraId="454CE93D" w14:textId="03FB4DB3" w:rsidR="00702CB7" w:rsidRPr="000B21E3" w:rsidRDefault="009A49BE" w:rsidP="003C435B">
      <w:pPr>
        <w:pStyle w:val="ListParagraph"/>
        <w:numPr>
          <w:ilvl w:val="0"/>
          <w:numId w:val="9"/>
        </w:numPr>
        <w:spacing w:after="240"/>
        <w:ind w:left="714" w:hanging="357"/>
        <w:rPr>
          <w:rFonts w:ascii="Tahoma" w:eastAsia="Tahoma" w:hAnsi="Tahoma" w:cs="Tahoma"/>
          <w:sz w:val="22"/>
          <w:szCs w:val="22"/>
        </w:rPr>
      </w:pPr>
      <w:r>
        <w:rPr>
          <w:b/>
          <w:bCs/>
          <w:noProof/>
          <w:color w:val="4472C3"/>
          <w:sz w:val="32"/>
          <w:szCs w:val="32"/>
          <w14:ligatures w14:val="standardContextual"/>
        </w:rPr>
        <w:drawing>
          <wp:anchor distT="0" distB="0" distL="114300" distR="114300" simplePos="0" relativeHeight="251691008" behindDoc="1" locked="0" layoutInCell="1" allowOverlap="1" wp14:anchorId="3CD970FF" wp14:editId="72CAA7F0">
            <wp:simplePos x="0" y="0"/>
            <wp:positionH relativeFrom="column">
              <wp:posOffset>923926</wp:posOffset>
            </wp:positionH>
            <wp:positionV relativeFrom="paragraph">
              <wp:posOffset>323850</wp:posOffset>
            </wp:positionV>
            <wp:extent cx="3911968" cy="1906658"/>
            <wp:effectExtent l="0" t="0" r="0" b="0"/>
            <wp:wrapNone/>
            <wp:docPr id="128545535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55351" name="Picture 3">
                      <a:extLst>
                        <a:ext uri="{C183D7F6-B498-43B3-948B-1728B52AA6E4}">
                          <adec:decorative xmlns:adec="http://schemas.microsoft.com/office/drawing/2017/decorative" val="1"/>
                        </a:ext>
                      </a:extLst>
                    </pic:cNvPr>
                    <pic:cNvPicPr/>
                  </pic:nvPicPr>
                  <pic:blipFill rotWithShape="1">
                    <a:blip r:embed="rId28" cstate="print">
                      <a:extLst>
                        <a:ext uri="{28A0092B-C50C-407E-A947-70E740481C1C}">
                          <a14:useLocalDpi xmlns:a14="http://schemas.microsoft.com/office/drawing/2010/main" val="0"/>
                        </a:ext>
                      </a:extLst>
                    </a:blip>
                    <a:srcRect t="7181"/>
                    <a:stretch>
                      <a:fillRect/>
                    </a:stretch>
                  </pic:blipFill>
                  <pic:spPr bwMode="auto">
                    <a:xfrm>
                      <a:off x="0" y="0"/>
                      <a:ext cx="3922087" cy="1911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B21E3" w:rsidRPr="00537F76">
        <w:rPr>
          <w:rFonts w:ascii="Tahoma" w:eastAsia="Tahoma" w:hAnsi="Tahoma" w:cs="Tahoma"/>
          <w:b/>
          <w:bCs/>
          <w:color w:val="4472C3"/>
          <w:sz w:val="22"/>
          <w:szCs w:val="22"/>
        </w:rPr>
        <w:t>Diana Hall</w:t>
      </w:r>
      <w:r w:rsidR="000B21E3" w:rsidRPr="000B21E3">
        <w:rPr>
          <w:rFonts w:ascii="Tahoma" w:eastAsia="Tahoma" w:hAnsi="Tahoma" w:cs="Tahoma"/>
          <w:sz w:val="22"/>
          <w:szCs w:val="22"/>
        </w:rPr>
        <w:t xml:space="preserve"> (Regulatory Practice, </w:t>
      </w:r>
      <w:r w:rsidR="007E5C24">
        <w:rPr>
          <w:rFonts w:ascii="Tahoma" w:eastAsia="Tahoma" w:hAnsi="Tahoma" w:cs="Tahoma"/>
          <w:sz w:val="22"/>
          <w:szCs w:val="22"/>
        </w:rPr>
        <w:t xml:space="preserve">commenced </w:t>
      </w:r>
      <w:r w:rsidR="000B21E3" w:rsidRPr="000B21E3">
        <w:rPr>
          <w:rFonts w:ascii="Tahoma" w:eastAsia="Tahoma" w:hAnsi="Tahoma" w:cs="Tahoma"/>
          <w:sz w:val="22"/>
          <w:szCs w:val="22"/>
        </w:rPr>
        <w:t>20</w:t>
      </w:r>
      <w:r w:rsidR="00DA275B">
        <w:rPr>
          <w:rFonts w:ascii="Tahoma" w:eastAsia="Tahoma" w:hAnsi="Tahoma" w:cs="Tahoma"/>
          <w:sz w:val="22"/>
          <w:szCs w:val="22"/>
        </w:rPr>
        <w:t>18</w:t>
      </w:r>
      <w:r w:rsidR="000B21E3" w:rsidRPr="000B21E3">
        <w:rPr>
          <w:rFonts w:ascii="Tahoma" w:eastAsia="Tahoma" w:hAnsi="Tahoma" w:cs="Tahoma"/>
          <w:sz w:val="22"/>
          <w:szCs w:val="22"/>
        </w:rPr>
        <w:t>)</w:t>
      </w:r>
    </w:p>
    <w:p w14:paraId="601EC7A2" w14:textId="27445846" w:rsidR="009A49BE" w:rsidRDefault="009A49BE" w:rsidP="009A49BE">
      <w:pPr>
        <w:spacing w:after="1920"/>
        <w:jc w:val="center"/>
        <w:rPr>
          <w:b/>
          <w:bCs/>
          <w:color w:val="4472C3"/>
          <w:sz w:val="32"/>
          <w:szCs w:val="32"/>
        </w:rPr>
      </w:pPr>
    </w:p>
    <w:p w14:paraId="710BCC03" w14:textId="77777777" w:rsidR="009A49BE" w:rsidRDefault="009A49BE" w:rsidP="009A49BE">
      <w:pPr>
        <w:spacing w:after="1920"/>
        <w:jc w:val="center"/>
        <w:rPr>
          <w:b/>
          <w:bCs/>
          <w:color w:val="4472C3"/>
          <w:sz w:val="32"/>
          <w:szCs w:val="32"/>
        </w:rPr>
      </w:pPr>
    </w:p>
    <w:p w14:paraId="327BA696" w14:textId="3376DAF0" w:rsidR="00980329" w:rsidRPr="008D4975" w:rsidRDefault="000B23E5" w:rsidP="003C435B">
      <w:pPr>
        <w:rPr>
          <w:b/>
          <w:bCs/>
          <w:color w:val="4472C3"/>
          <w:sz w:val="32"/>
          <w:szCs w:val="32"/>
        </w:rPr>
      </w:pPr>
      <w:r w:rsidRPr="008D4975">
        <w:rPr>
          <w:b/>
          <w:bCs/>
          <w:color w:val="4472C3"/>
          <w:sz w:val="32"/>
          <w:szCs w:val="32"/>
        </w:rPr>
        <w:lastRenderedPageBreak/>
        <w:t xml:space="preserve">Feature: </w:t>
      </w:r>
      <w:r w:rsidR="008B38AD" w:rsidRPr="008D4975">
        <w:rPr>
          <w:b/>
          <w:bCs/>
          <w:color w:val="4472C3"/>
          <w:sz w:val="32"/>
          <w:szCs w:val="32"/>
        </w:rPr>
        <w:t xml:space="preserve">The Asilomar </w:t>
      </w:r>
      <w:r w:rsidR="000207CD" w:rsidRPr="008D4975">
        <w:rPr>
          <w:b/>
          <w:bCs/>
          <w:color w:val="4472C3"/>
          <w:sz w:val="32"/>
          <w:szCs w:val="32"/>
        </w:rPr>
        <w:t>Conference</w:t>
      </w:r>
      <w:r w:rsidR="008B38AD" w:rsidRPr="008D4975">
        <w:rPr>
          <w:b/>
          <w:bCs/>
          <w:color w:val="4472C3"/>
          <w:sz w:val="32"/>
          <w:szCs w:val="32"/>
        </w:rPr>
        <w:t xml:space="preserve"> 50 y</w:t>
      </w:r>
      <w:r w:rsidR="000207CD" w:rsidRPr="008D4975">
        <w:rPr>
          <w:b/>
          <w:bCs/>
          <w:color w:val="4472C3"/>
          <w:sz w:val="32"/>
          <w:szCs w:val="32"/>
        </w:rPr>
        <w:t>ear</w:t>
      </w:r>
      <w:r w:rsidR="00BC7A2B" w:rsidRPr="008D4975">
        <w:rPr>
          <w:b/>
          <w:bCs/>
          <w:color w:val="4472C3"/>
          <w:sz w:val="32"/>
          <w:szCs w:val="32"/>
        </w:rPr>
        <w:t>s</w:t>
      </w:r>
      <w:r w:rsidR="000207CD" w:rsidRPr="008D4975">
        <w:rPr>
          <w:b/>
          <w:bCs/>
          <w:color w:val="4472C3"/>
          <w:sz w:val="32"/>
          <w:szCs w:val="32"/>
        </w:rPr>
        <w:t xml:space="preserve"> on</w:t>
      </w:r>
    </w:p>
    <w:p w14:paraId="3D3CBEF7" w14:textId="0AE149C9" w:rsidR="003C435B" w:rsidRPr="008D4975" w:rsidRDefault="00DA275B" w:rsidP="003C435B">
      <w:pPr>
        <w:rPr>
          <w:b/>
          <w:bCs/>
          <w:color w:val="4472C3"/>
          <w:sz w:val="16"/>
          <w:szCs w:val="16"/>
        </w:rPr>
      </w:pPr>
      <w:r w:rsidRPr="008D4975">
        <w:rPr>
          <w:noProof/>
        </w:rPr>
        <w:drawing>
          <wp:anchor distT="0" distB="0" distL="114300" distR="114300" simplePos="0" relativeHeight="251660288" behindDoc="1" locked="0" layoutInCell="1" allowOverlap="1" wp14:anchorId="017F27AF" wp14:editId="0EDDE60B">
            <wp:simplePos x="0" y="0"/>
            <wp:positionH relativeFrom="column">
              <wp:posOffset>-47625</wp:posOffset>
            </wp:positionH>
            <wp:positionV relativeFrom="paragraph">
              <wp:posOffset>95885</wp:posOffset>
            </wp:positionV>
            <wp:extent cx="3238500" cy="2159000"/>
            <wp:effectExtent l="0" t="0" r="0" b="0"/>
            <wp:wrapTight wrapText="bothSides">
              <wp:wrapPolygon edited="0">
                <wp:start x="0" y="0"/>
                <wp:lineTo x="0" y="21346"/>
                <wp:lineTo x="21473" y="21346"/>
                <wp:lineTo x="21473" y="0"/>
                <wp:lineTo x="0" y="0"/>
              </wp:wrapPolygon>
            </wp:wrapTight>
            <wp:docPr id="1331101474" name="Picture 4" descr="Image of the Aislomar State park and Conference Centre ent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101474" name="Picture 4" descr="Image of the Aislomar State park and Conference Centre entranc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238500" cy="2159000"/>
                    </a:xfrm>
                    <a:prstGeom prst="rect">
                      <a:avLst/>
                    </a:prstGeom>
                  </pic:spPr>
                </pic:pic>
              </a:graphicData>
            </a:graphic>
            <wp14:sizeRelH relativeFrom="margin">
              <wp14:pctWidth>0</wp14:pctWidth>
            </wp14:sizeRelH>
            <wp14:sizeRelV relativeFrom="margin">
              <wp14:pctHeight>0</wp14:pctHeight>
            </wp14:sizeRelV>
          </wp:anchor>
        </w:drawing>
      </w:r>
    </w:p>
    <w:p w14:paraId="4FBCD596" w14:textId="6D7592A3" w:rsidR="00460A83" w:rsidRPr="008D4975" w:rsidRDefault="00460A83" w:rsidP="00460A83">
      <w:r w:rsidRPr="008D4975">
        <w:t>In the early 1970s a laboratory in the United States, run by Paul Berg, proposed to clone DNA of a virus tha</w:t>
      </w:r>
      <w:r w:rsidR="007E5C24">
        <w:t>t</w:t>
      </w:r>
      <w:r w:rsidRPr="008D4975">
        <w:t xml:space="preserve"> can cause cancer (SV40) into infectious (</w:t>
      </w:r>
      <w:r w:rsidRPr="008D4975">
        <w:rPr>
          <w:i/>
          <w:iCs/>
        </w:rPr>
        <w:t>Escherichia coli</w:t>
      </w:r>
      <w:r w:rsidRPr="008D4975">
        <w:t>)</w:t>
      </w:r>
      <w:r w:rsidRPr="008D4975">
        <w:rPr>
          <w:i/>
          <w:iCs/>
        </w:rPr>
        <w:t xml:space="preserve"> </w:t>
      </w:r>
      <w:r w:rsidRPr="008D4975">
        <w:t>bacteria. The implications concerned him, and others, enough to ask the US National Academy of Science to consider the safety of this new recombinant DNA (rDNA) technology amid the risk of infection spreading to laboratory workers and others.</w:t>
      </w:r>
    </w:p>
    <w:p w14:paraId="331A166A" w14:textId="7F3EA32D" w:rsidR="003943AA" w:rsidRPr="00347EEC" w:rsidRDefault="003943AA" w:rsidP="00460A83">
      <w:pPr>
        <w:rPr>
          <w:sz w:val="16"/>
          <w:szCs w:val="16"/>
        </w:rPr>
      </w:pPr>
    </w:p>
    <w:p w14:paraId="19C1A4F8" w14:textId="2E6548A2" w:rsidR="00702CB7" w:rsidRDefault="00DA275B" w:rsidP="00460A83">
      <w:r w:rsidRPr="008D4975">
        <w:rPr>
          <w:noProof/>
        </w:rPr>
        <mc:AlternateContent>
          <mc:Choice Requires="wps">
            <w:drawing>
              <wp:anchor distT="0" distB="0" distL="114300" distR="114300" simplePos="0" relativeHeight="251689984" behindDoc="1" locked="0" layoutInCell="1" allowOverlap="1" wp14:anchorId="32C84A4D" wp14:editId="10EC43D1">
                <wp:simplePos x="0" y="0"/>
                <wp:positionH relativeFrom="margin">
                  <wp:posOffset>276225</wp:posOffset>
                </wp:positionH>
                <wp:positionV relativeFrom="paragraph">
                  <wp:posOffset>676275</wp:posOffset>
                </wp:positionV>
                <wp:extent cx="2895600" cy="314325"/>
                <wp:effectExtent l="0" t="0" r="0" b="9525"/>
                <wp:wrapTight wrapText="bothSides">
                  <wp:wrapPolygon edited="0">
                    <wp:start x="0" y="0"/>
                    <wp:lineTo x="0" y="20945"/>
                    <wp:lineTo x="21458" y="20945"/>
                    <wp:lineTo x="21458" y="0"/>
                    <wp:lineTo x="0" y="0"/>
                  </wp:wrapPolygon>
                </wp:wrapTight>
                <wp:docPr id="890811361" name="Text Box 1"/>
                <wp:cNvGraphicFramePr/>
                <a:graphic xmlns:a="http://schemas.openxmlformats.org/drawingml/2006/main">
                  <a:graphicData uri="http://schemas.microsoft.com/office/word/2010/wordprocessingShape">
                    <wps:wsp>
                      <wps:cNvSpPr txBox="1"/>
                      <wps:spPr>
                        <a:xfrm>
                          <a:off x="0" y="0"/>
                          <a:ext cx="2895600" cy="314325"/>
                        </a:xfrm>
                        <a:prstGeom prst="rect">
                          <a:avLst/>
                        </a:prstGeom>
                        <a:solidFill>
                          <a:prstClr val="white"/>
                        </a:solidFill>
                        <a:ln>
                          <a:noFill/>
                        </a:ln>
                      </wps:spPr>
                      <wps:txbx>
                        <w:txbxContent>
                          <w:p w14:paraId="66936807" w14:textId="77777777" w:rsidR="00DA275B" w:rsidRPr="008D4975" w:rsidRDefault="00DA275B" w:rsidP="00DA275B">
                            <w:pPr>
                              <w:pStyle w:val="Caption"/>
                            </w:pPr>
                            <w:r w:rsidRPr="008D4975">
                              <w:t>Entrance to the Asilomar State Park and Conference Centre where the conference was held in 1975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C84A4D" id="_x0000_t202" coordsize="21600,21600" o:spt="202" path="m,l,21600r21600,l21600,xe">
                <v:stroke joinstyle="miter"/>
                <v:path gradientshapeok="t" o:connecttype="rect"/>
              </v:shapetype>
              <v:shape id="Text Box 1" o:spid="_x0000_s1026" type="#_x0000_t202" style="position:absolute;margin-left:21.75pt;margin-top:53.25pt;width:228pt;height:24.75pt;z-index:-2516264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" stroked="f">
                <v:textbox inset="0,0,0,0">
                  <w:txbxContent>
                    <w:p w14:paraId="66936807" w14:textId="77777777" w:rsidR="00DA275B" w:rsidRPr="008D4975" w:rsidRDefault="00DA275B" w:rsidP="00DA275B">
                      <w:pPr>
                        <w:pStyle w:val="Caption"/>
                      </w:pPr>
                      <w:r w:rsidRPr="008D4975">
                        <w:t>Entrance to the Asilomar State Park and Conference Centre where the conference was held in 1975</w:t>
                      </w:r>
                    </w:p>
                  </w:txbxContent>
                </v:textbox>
                <w10:wrap type="tight" anchorx="margin"/>
              </v:shape>
            </w:pict>
          </mc:Fallback>
        </mc:AlternateContent>
      </w:r>
      <w:r w:rsidR="00537F76" w:rsidRPr="008D4975">
        <w:t xml:space="preserve">These concerns gave rise to the voluntary moratorium on rDNA experiments proposed by the US </w:t>
      </w:r>
      <w:hyperlink r:id="rId30" w:history="1">
        <w:r w:rsidR="00537F76" w:rsidRPr="008D4975">
          <w:rPr>
            <w:rStyle w:val="Hyperlink"/>
          </w:rPr>
          <w:t>Committee on Recombinant DNA Molecules</w:t>
        </w:r>
      </w:hyperlink>
      <w:r w:rsidR="00537F76" w:rsidRPr="008D4975">
        <w:t xml:space="preserve"> in July 1974 and the Asilomar conference where 400 scientists met at the Asilomar Conference Centre in California from 24-27 February 1975</w:t>
      </w:r>
      <w:r w:rsidR="00537F76">
        <w:t>.</w:t>
      </w:r>
    </w:p>
    <w:p w14:paraId="4FE3BC7D" w14:textId="50293768" w:rsidR="00537F76" w:rsidRPr="00347EEC" w:rsidRDefault="00537F76" w:rsidP="00460A83">
      <w:pPr>
        <w:rPr>
          <w:sz w:val="16"/>
          <w:szCs w:val="16"/>
        </w:rPr>
      </w:pPr>
    </w:p>
    <w:p w14:paraId="7612A8C9" w14:textId="1C3EABE0" w:rsidR="00DA275B" w:rsidRPr="008D4975" w:rsidRDefault="00DA275B" w:rsidP="00EF4DE2">
      <w:r w:rsidRPr="008D4975">
        <w:t xml:space="preserve">This year marks 50 years since that meeting. Many journals and institutions are marking this ‘golden jubilee’ and its pivotal role in the oversight of </w:t>
      </w:r>
      <w:r w:rsidR="00EF4DE2" w:rsidRPr="008D4975">
        <w:t>biotechnology</w:t>
      </w:r>
      <w:r w:rsidR="00EF4DE2">
        <w:t>.</w:t>
      </w:r>
      <w:r w:rsidR="00EF4DE2" w:rsidRPr="008D4975">
        <w:t xml:space="preserve"> There</w:t>
      </w:r>
      <w:r w:rsidRPr="008D4975">
        <w:t xml:space="preserve"> are too many to list but a Google search will yield many worthy of consideration. The </w:t>
      </w:r>
      <w:hyperlink r:id="rId31" w:history="1">
        <w:r w:rsidRPr="008D4975">
          <w:rPr>
            <w:rStyle w:val="Hyperlink"/>
          </w:rPr>
          <w:t xml:space="preserve">final report of the Asilomar organising committee </w:t>
        </w:r>
      </w:hyperlink>
      <w:r w:rsidRPr="008D4975">
        <w:t>is available online (but is also a reminder of the time before word processors).</w:t>
      </w:r>
    </w:p>
    <w:p w14:paraId="3A28B2E7" w14:textId="77777777" w:rsidR="00F741A5" w:rsidRPr="00347EEC" w:rsidRDefault="00F741A5" w:rsidP="00460A83">
      <w:pPr>
        <w:rPr>
          <w:sz w:val="16"/>
          <w:szCs w:val="16"/>
        </w:rPr>
      </w:pPr>
    </w:p>
    <w:p w14:paraId="5A4B611B" w14:textId="3C3AC62D" w:rsidR="00EF4DE2" w:rsidRDefault="00460A83" w:rsidP="00460A83">
      <w:r w:rsidRPr="008D4975">
        <w:t>Three Australians attended Asilomar - James Pittard (University of Melbourne), James Peacock (CSIRO) and Bruce Holloway (Monash University).</w:t>
      </w:r>
    </w:p>
    <w:p w14:paraId="5D2FCAAF" w14:textId="77777777" w:rsidR="00EF4DE2" w:rsidRPr="008D4975" w:rsidRDefault="00EF4DE2" w:rsidP="00460A83"/>
    <w:p w14:paraId="763CD1FB" w14:textId="4F4813DB" w:rsidR="00460A83" w:rsidRPr="008D4975" w:rsidRDefault="00F741A5" w:rsidP="00460A83">
      <w:pPr>
        <w:widowControl/>
        <w:numPr>
          <w:ilvl w:val="0"/>
          <w:numId w:val="4"/>
        </w:numPr>
        <w:autoSpaceDE/>
        <w:autoSpaceDN/>
        <w:spacing w:after="160" w:line="259" w:lineRule="auto"/>
      </w:pPr>
      <w:r w:rsidRPr="008D4975">
        <w:rPr>
          <w:noProof/>
        </w:rPr>
        <w:drawing>
          <wp:anchor distT="0" distB="0" distL="114300" distR="114300" simplePos="0" relativeHeight="251658240" behindDoc="1" locked="0" layoutInCell="1" allowOverlap="1" wp14:anchorId="27CC9C3F" wp14:editId="33191F11">
            <wp:simplePos x="0" y="0"/>
            <wp:positionH relativeFrom="margin">
              <wp:posOffset>3331210</wp:posOffset>
            </wp:positionH>
            <wp:positionV relativeFrom="paragraph">
              <wp:posOffset>5080</wp:posOffset>
            </wp:positionV>
            <wp:extent cx="3488055" cy="2428875"/>
            <wp:effectExtent l="0" t="0" r="0" b="9525"/>
            <wp:wrapTight wrapText="bothSides">
              <wp:wrapPolygon edited="0">
                <wp:start x="0" y="0"/>
                <wp:lineTo x="0" y="21515"/>
                <wp:lineTo x="21470" y="21515"/>
                <wp:lineTo x="21470" y="0"/>
                <wp:lineTo x="0" y="0"/>
              </wp:wrapPolygon>
            </wp:wrapTight>
            <wp:docPr id="1204953202" name="Picture 1" descr="Image of two men, the one on the right is Prof Bruce Holloawy and Australian Attendee at Asilomar in 1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953202" name="Picture 1" descr="Image of two men, the one on the right is Prof Bruce Holloawy and Australian Attendee at Asilomar in 197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488055" cy="2428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0A83" w:rsidRPr="008D4975">
        <w:t>In 1975, Australia established a system of voluntary oversight of rDNA experiments overseen by the Academy of Science Committee on Recombinant DNA (ASCORD).</w:t>
      </w:r>
    </w:p>
    <w:p w14:paraId="16508957" w14:textId="1B152147" w:rsidR="00460A83" w:rsidRPr="008D4975" w:rsidRDefault="00460A83" w:rsidP="005A15CE">
      <w:pPr>
        <w:widowControl/>
        <w:numPr>
          <w:ilvl w:val="0"/>
          <w:numId w:val="4"/>
        </w:numPr>
        <w:autoSpaceDE/>
        <w:autoSpaceDN/>
        <w:spacing w:after="160" w:line="259" w:lineRule="auto"/>
        <w:ind w:left="714" w:hanging="357"/>
      </w:pPr>
      <w:r w:rsidRPr="008D4975">
        <w:t>In 1981</w:t>
      </w:r>
      <w:r w:rsidR="00CB17AA">
        <w:t>,</w:t>
      </w:r>
      <w:r w:rsidRPr="008D4975">
        <w:t xml:space="preserve"> the Australian Government established the Recombinant DNA Monitoring Committee (RDMC).</w:t>
      </w:r>
    </w:p>
    <w:p w14:paraId="79CE6F7E" w14:textId="2D080464" w:rsidR="000D1DF5" w:rsidRPr="008D4975" w:rsidRDefault="005A15CE" w:rsidP="005A15CE">
      <w:pPr>
        <w:pStyle w:val="ListParagraph"/>
        <w:numPr>
          <w:ilvl w:val="0"/>
          <w:numId w:val="4"/>
        </w:numPr>
        <w:spacing w:after="160" w:line="259" w:lineRule="auto"/>
      </w:pPr>
      <w:r w:rsidRPr="005A15CE">
        <w:rPr>
          <w:rFonts w:ascii="Tahoma" w:hAnsi="Tahoma" w:cs="Tahoma"/>
          <w:noProof/>
          <w:sz w:val="22"/>
          <w:szCs w:val="22"/>
        </w:rPr>
        <mc:AlternateContent>
          <mc:Choice Requires="wps">
            <w:drawing>
              <wp:anchor distT="0" distB="0" distL="114300" distR="114300" simplePos="0" relativeHeight="251659264" behindDoc="1" locked="0" layoutInCell="1" allowOverlap="1" wp14:anchorId="73C5529A" wp14:editId="76B5F2E6">
                <wp:simplePos x="0" y="0"/>
                <wp:positionH relativeFrom="column">
                  <wp:posOffset>3548557</wp:posOffset>
                </wp:positionH>
                <wp:positionV relativeFrom="paragraph">
                  <wp:posOffset>993789</wp:posOffset>
                </wp:positionV>
                <wp:extent cx="3000375" cy="342900"/>
                <wp:effectExtent l="0" t="0" r="9525" b="0"/>
                <wp:wrapTight wrapText="bothSides">
                  <wp:wrapPolygon edited="0">
                    <wp:start x="0" y="0"/>
                    <wp:lineTo x="0" y="20400"/>
                    <wp:lineTo x="21531" y="20400"/>
                    <wp:lineTo x="21531" y="0"/>
                    <wp:lineTo x="0" y="0"/>
                  </wp:wrapPolygon>
                </wp:wrapTight>
                <wp:docPr id="598259325" name="Text Box 1"/>
                <wp:cNvGraphicFramePr/>
                <a:graphic xmlns:a="http://schemas.openxmlformats.org/drawingml/2006/main">
                  <a:graphicData uri="http://schemas.microsoft.com/office/word/2010/wordprocessingShape">
                    <wps:wsp>
                      <wps:cNvSpPr txBox="1"/>
                      <wps:spPr>
                        <a:xfrm>
                          <a:off x="0" y="0"/>
                          <a:ext cx="3000375" cy="342900"/>
                        </a:xfrm>
                        <a:prstGeom prst="rect">
                          <a:avLst/>
                        </a:prstGeom>
                        <a:solidFill>
                          <a:prstClr val="white"/>
                        </a:solidFill>
                        <a:ln>
                          <a:noFill/>
                        </a:ln>
                      </wps:spPr>
                      <wps:txbx>
                        <w:txbxContent>
                          <w:p w14:paraId="65186653" w14:textId="77777777" w:rsidR="00460A83" w:rsidRPr="008D4975" w:rsidRDefault="00460A83" w:rsidP="00460A83">
                            <w:pPr>
                              <w:pStyle w:val="Caption"/>
                            </w:pPr>
                            <w:r w:rsidRPr="008D4975">
                              <w:t>Australian attendee at Asilomar 1975 Prof Bruce Holloway (Monash University) on the right.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5529A" id="_x0000_s1027" type="#_x0000_t202" style="position:absolute;left:0;text-align:left;margin-left:279.4pt;margin-top:78.25pt;width:236.2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" stroked="f">
                <v:textbox inset="0,0,0,0">
                  <w:txbxContent>
                    <w:p w14:paraId="65186653" w14:textId="77777777" w:rsidR="00460A83" w:rsidRPr="008D4975" w:rsidRDefault="00460A83" w:rsidP="00460A83">
                      <w:pPr>
                        <w:pStyle w:val="Caption"/>
                      </w:pPr>
                      <w:r w:rsidRPr="008D4975">
                        <w:t>Australian attendee at Asilomar 1975 Prof Bruce Holloway (Monash University) on the right.</w:t>
                      </w:r>
                    </w:p>
                  </w:txbxContent>
                </v:textbox>
                <w10:wrap type="tight"/>
              </v:shape>
            </w:pict>
          </mc:Fallback>
        </mc:AlternateContent>
      </w:r>
      <w:r w:rsidR="00460A83" w:rsidRPr="005A15CE">
        <w:rPr>
          <w:rFonts w:ascii="Tahoma" w:hAnsi="Tahoma" w:cs="Tahoma"/>
          <w:sz w:val="22"/>
          <w:szCs w:val="22"/>
        </w:rPr>
        <w:t>In 1987</w:t>
      </w:r>
      <w:r w:rsidR="00CB17AA" w:rsidRPr="005A15CE">
        <w:rPr>
          <w:rFonts w:ascii="Tahoma" w:hAnsi="Tahoma" w:cs="Tahoma"/>
          <w:sz w:val="22"/>
          <w:szCs w:val="22"/>
        </w:rPr>
        <w:t>,</w:t>
      </w:r>
      <w:r w:rsidR="00460A83" w:rsidRPr="005A15CE">
        <w:rPr>
          <w:rFonts w:ascii="Tahoma" w:hAnsi="Tahoma" w:cs="Tahoma"/>
          <w:sz w:val="22"/>
          <w:szCs w:val="22"/>
        </w:rPr>
        <w:t xml:space="preserve"> the Australian Government established the Genetic Manipulation Advisory Committee (GMAC). This voluntary oversight was ultimately succeeded by the </w:t>
      </w:r>
      <w:r w:rsidR="00460A83" w:rsidRPr="005A15CE">
        <w:rPr>
          <w:rFonts w:ascii="Tahoma" w:hAnsi="Tahoma" w:cs="Tahoma"/>
          <w:i/>
          <w:iCs/>
          <w:sz w:val="22"/>
          <w:szCs w:val="22"/>
        </w:rPr>
        <w:t>Gene Technology Act 2000</w:t>
      </w:r>
      <w:r w:rsidR="00460A83" w:rsidRPr="005A15CE">
        <w:rPr>
          <w:rFonts w:ascii="Tahoma" w:hAnsi="Tahoma" w:cs="Tahoma"/>
          <w:sz w:val="22"/>
          <w:szCs w:val="22"/>
        </w:rPr>
        <w:t>, administered by the Gene Technology Regulator (the Regulator) and supported by the Office of the Gene Technology Regulator</w:t>
      </w:r>
      <w:r w:rsidR="00460A83" w:rsidRPr="008D4975">
        <w:t>.</w:t>
      </w:r>
    </w:p>
    <w:p w14:paraId="78426101" w14:textId="0A916622" w:rsidR="00460A83" w:rsidRPr="008D4975" w:rsidRDefault="00460A83" w:rsidP="00460A83">
      <w:pPr>
        <w:widowControl/>
        <w:numPr>
          <w:ilvl w:val="0"/>
          <w:numId w:val="4"/>
        </w:numPr>
        <w:autoSpaceDE/>
        <w:autoSpaceDN/>
        <w:spacing w:after="160" w:line="259" w:lineRule="auto"/>
      </w:pPr>
      <w:hyperlink r:id="rId33" w:anchor="manipulation" w:history="1">
        <w:r w:rsidRPr="008D4975">
          <w:rPr>
            <w:rStyle w:val="Hyperlink"/>
          </w:rPr>
          <w:t>Professor Pittard</w:t>
        </w:r>
      </w:hyperlink>
      <w:r w:rsidRPr="008D4975">
        <w:t xml:space="preserve"> served on ASCORD, RDMC, GMAC voluntary oversight committees, and then on the Gene Technology Technical Advisory Committee (a key advisory body for the Regulator).</w:t>
      </w:r>
    </w:p>
    <w:p w14:paraId="25904E96" w14:textId="1B08399D" w:rsidR="00460A83" w:rsidRDefault="00460A83" w:rsidP="00460A83">
      <w:r w:rsidRPr="008D4975">
        <w:t xml:space="preserve">In 1976, the US National Institutes of Health (NIH) published the </w:t>
      </w:r>
      <w:hyperlink r:id="rId34" w:history="1">
        <w:r w:rsidRPr="008D4975">
          <w:rPr>
            <w:rStyle w:val="Hyperlink"/>
          </w:rPr>
          <w:t>Recombinant DNA Research Guidelines</w:t>
        </w:r>
      </w:hyperlink>
      <w:r w:rsidRPr="008D4975">
        <w:t>, including the role of institutional biosafety committees (IBCs).</w:t>
      </w:r>
    </w:p>
    <w:p w14:paraId="27B01905" w14:textId="77777777" w:rsidR="00D135FB" w:rsidRDefault="00D135FB" w:rsidP="00460A83"/>
    <w:p w14:paraId="414F70B6" w14:textId="14D44EFD" w:rsidR="00D135FB" w:rsidRDefault="00D135FB" w:rsidP="00460A83">
      <w:r w:rsidRPr="008D4975">
        <w:t>Prompted somewhat by the Asilomar outcomes but also by advances in rDNA research, the OECD formed a</w:t>
      </w:r>
    </w:p>
    <w:p w14:paraId="4C8C522F" w14:textId="19137B14" w:rsidR="00D135FB" w:rsidRDefault="00D135FB" w:rsidP="00460A83">
      <w:r w:rsidRPr="008D4975">
        <w:t xml:space="preserve">Group of National Experts (GNE) in 1983 to develop guidance. The </w:t>
      </w:r>
      <w:hyperlink r:id="rId35" w:history="1">
        <w:r w:rsidRPr="008D4975">
          <w:rPr>
            <w:rStyle w:val="Hyperlink"/>
          </w:rPr>
          <w:t>work of the GNE</w:t>
        </w:r>
      </w:hyperlink>
      <w:r w:rsidRPr="008D4975">
        <w:t xml:space="preserve"> led to the 1986 OECD</w:t>
      </w:r>
    </w:p>
    <w:p w14:paraId="16E98E38" w14:textId="77777777" w:rsidR="00471F2E" w:rsidRDefault="00D135FB" w:rsidP="00460A83">
      <w:r w:rsidRPr="008D4975">
        <w:rPr>
          <w:noProof/>
        </w:rPr>
        <w:lastRenderedPageBreak/>
        <mc:AlternateContent>
          <mc:Choice Requires="wps">
            <w:drawing>
              <wp:anchor distT="0" distB="0" distL="114300" distR="114300" simplePos="0" relativeHeight="251663360" behindDoc="1" locked="0" layoutInCell="1" allowOverlap="1" wp14:anchorId="15ED7566" wp14:editId="180AC9D8">
                <wp:simplePos x="0" y="0"/>
                <wp:positionH relativeFrom="column">
                  <wp:posOffset>3886200</wp:posOffset>
                </wp:positionH>
                <wp:positionV relativeFrom="paragraph">
                  <wp:posOffset>1501775</wp:posOffset>
                </wp:positionV>
                <wp:extent cx="2581275" cy="314325"/>
                <wp:effectExtent l="0" t="0" r="9525" b="9525"/>
                <wp:wrapTight wrapText="bothSides">
                  <wp:wrapPolygon edited="0">
                    <wp:start x="0" y="0"/>
                    <wp:lineTo x="0" y="20945"/>
                    <wp:lineTo x="21520" y="20945"/>
                    <wp:lineTo x="21520" y="0"/>
                    <wp:lineTo x="0" y="0"/>
                  </wp:wrapPolygon>
                </wp:wrapTight>
                <wp:docPr id="273498690" name="Text Box 1"/>
                <wp:cNvGraphicFramePr/>
                <a:graphic xmlns:a="http://schemas.openxmlformats.org/drawingml/2006/main">
                  <a:graphicData uri="http://schemas.microsoft.com/office/word/2010/wordprocessingShape">
                    <wps:wsp>
                      <wps:cNvSpPr txBox="1"/>
                      <wps:spPr>
                        <a:xfrm>
                          <a:off x="0" y="0"/>
                          <a:ext cx="2581275" cy="314325"/>
                        </a:xfrm>
                        <a:prstGeom prst="rect">
                          <a:avLst/>
                        </a:prstGeom>
                        <a:solidFill>
                          <a:prstClr val="white"/>
                        </a:solidFill>
                        <a:ln>
                          <a:noFill/>
                        </a:ln>
                      </wps:spPr>
                      <wps:txbx>
                        <w:txbxContent>
                          <w:p w14:paraId="741A6A92" w14:textId="7872C9EB" w:rsidR="00460A83" w:rsidRPr="008D4975" w:rsidRDefault="00460A83" w:rsidP="00D135FB">
                            <w:pPr>
                              <w:pStyle w:val="Caption"/>
                              <w:jc w:val="center"/>
                            </w:pPr>
                            <w:r w:rsidRPr="008D4975">
                              <w:t>Safety of laboratory workers is a role that IBCs play an important part in overseeing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D7566" id="_x0000_s1028" type="#_x0000_t202" style="position:absolute;margin-left:306pt;margin-top:118.25pt;width:203.25pt;height:24.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" stroked="f">
                <v:textbox inset="0,0,0,0">
                  <w:txbxContent>
                    <w:p w14:paraId="741A6A92" w14:textId="7872C9EB" w:rsidR="00460A83" w:rsidRPr="008D4975" w:rsidRDefault="00460A83" w:rsidP="00D135FB">
                      <w:pPr>
                        <w:pStyle w:val="Caption"/>
                        <w:jc w:val="center"/>
                      </w:pPr>
                      <w:r w:rsidRPr="008D4975">
                        <w:t>Safety of laboratory workers is a role that IBCs play an important part in overseeing</w:t>
                      </w:r>
                    </w:p>
                  </w:txbxContent>
                </v:textbox>
                <w10:wrap type="tight"/>
              </v:shape>
            </w:pict>
          </mc:Fallback>
        </mc:AlternateContent>
      </w:r>
      <w:r w:rsidRPr="008D4975">
        <w:rPr>
          <w:noProof/>
        </w:rPr>
        <w:drawing>
          <wp:anchor distT="0" distB="0" distL="114300" distR="114300" simplePos="0" relativeHeight="251662336" behindDoc="1" locked="0" layoutInCell="1" allowOverlap="1" wp14:anchorId="125B380A" wp14:editId="407C6D41">
            <wp:simplePos x="0" y="0"/>
            <wp:positionH relativeFrom="margin">
              <wp:posOffset>3914775</wp:posOffset>
            </wp:positionH>
            <wp:positionV relativeFrom="paragraph">
              <wp:posOffset>2540</wp:posOffset>
            </wp:positionV>
            <wp:extent cx="2628900" cy="1477645"/>
            <wp:effectExtent l="0" t="0" r="0" b="8255"/>
            <wp:wrapTight wrapText="bothSides">
              <wp:wrapPolygon edited="0">
                <wp:start x="0" y="0"/>
                <wp:lineTo x="0" y="21442"/>
                <wp:lineTo x="21443" y="21442"/>
                <wp:lineTo x="21443" y="0"/>
                <wp:lineTo x="0" y="0"/>
              </wp:wrapPolygon>
            </wp:wrapTight>
            <wp:docPr id="410538110" name="Picture 1" descr="A person in a lab coat and gloves looking through a microscop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538110" name="Picture 1" descr="A person in a lab coat and gloves looking through a microscope&#10;&#10;"/>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628900" cy="1477645"/>
                    </a:xfrm>
                    <a:prstGeom prst="rect">
                      <a:avLst/>
                    </a:prstGeom>
                  </pic:spPr>
                </pic:pic>
              </a:graphicData>
            </a:graphic>
            <wp14:sizeRelH relativeFrom="page">
              <wp14:pctWidth>0</wp14:pctWidth>
            </wp14:sizeRelH>
            <wp14:sizeRelV relativeFrom="page">
              <wp14:pctHeight>0</wp14:pctHeight>
            </wp14:sizeRelV>
          </wp:anchor>
        </w:drawing>
      </w:r>
      <w:r w:rsidR="00460A83" w:rsidRPr="008D4975">
        <w:t xml:space="preserve">Council Recommendation Concerning Safety Considerations for Applications of Recombinant DNA Organisms in Industry, Agriculture and the Environment and the seminal </w:t>
      </w:r>
      <w:hyperlink r:id="rId37" w:history="1">
        <w:r w:rsidR="00460A83" w:rsidRPr="008D4975">
          <w:rPr>
            <w:rStyle w:val="Hyperlink"/>
          </w:rPr>
          <w:t>Recombinant DNA Safety Considerations</w:t>
        </w:r>
      </w:hyperlink>
      <w:r w:rsidR="00460A83" w:rsidRPr="008D4975">
        <w:t xml:space="preserve"> (the ‘Blue Book’). An </w:t>
      </w:r>
      <w:hyperlink r:id="rId38" w:history="1">
        <w:r w:rsidR="00460A83" w:rsidRPr="008D4975">
          <w:rPr>
            <w:rStyle w:val="Hyperlink"/>
          </w:rPr>
          <w:t>update of the Recommendation</w:t>
        </w:r>
      </w:hyperlink>
      <w:r w:rsidR="00460A83" w:rsidRPr="008D4975">
        <w:t xml:space="preserve"> was approved by Council in September 2024.</w:t>
      </w:r>
    </w:p>
    <w:p w14:paraId="743637C3" w14:textId="77777777" w:rsidR="00471F2E" w:rsidRPr="00471F2E" w:rsidRDefault="00471F2E" w:rsidP="00460A83">
      <w:pPr>
        <w:rPr>
          <w:sz w:val="16"/>
          <w:szCs w:val="16"/>
        </w:rPr>
      </w:pPr>
    </w:p>
    <w:p w14:paraId="6EE2D534" w14:textId="1901C6D9" w:rsidR="00460A83" w:rsidRDefault="00715CC7" w:rsidP="00460A83">
      <w:r w:rsidRPr="008D4975">
        <w:t xml:space="preserve">The </w:t>
      </w:r>
      <w:hyperlink r:id="rId39" w:history="1">
        <w:r w:rsidRPr="008D4975">
          <w:rPr>
            <w:rStyle w:val="Hyperlink"/>
          </w:rPr>
          <w:t>NIH guidelines</w:t>
        </w:r>
      </w:hyperlink>
      <w:r w:rsidRPr="008D4975">
        <w:t xml:space="preserve"> have been continuously updated</w:t>
      </w:r>
      <w:r w:rsidR="00460A83" w:rsidRPr="008D4975">
        <w:t>, most recently in 2024. The concepts of physical and biological containment and risk assessment articulated by Asilomar and the original NIH Guidelines remain relevant today.</w:t>
      </w:r>
    </w:p>
    <w:p w14:paraId="5F40966E" w14:textId="6CA515CE" w:rsidR="00DA275B" w:rsidRPr="00917992" w:rsidRDefault="00DA275B" w:rsidP="00460A83">
      <w:pPr>
        <w:rPr>
          <w:sz w:val="16"/>
          <w:szCs w:val="16"/>
        </w:rPr>
      </w:pPr>
    </w:p>
    <w:p w14:paraId="0F1A268D" w14:textId="7810CFC0" w:rsidR="00460A83" w:rsidRPr="008D4975" w:rsidRDefault="00460A83" w:rsidP="00460A83">
      <w:r w:rsidRPr="008D4975">
        <w:t xml:space="preserve">The recommendations contained in the </w:t>
      </w:r>
      <w:hyperlink r:id="rId40" w:history="1">
        <w:r w:rsidRPr="008D4975">
          <w:rPr>
            <w:rStyle w:val="Hyperlink"/>
          </w:rPr>
          <w:t>Summary Statement of the Asilomar Conference on Recombinant DNA Molecules</w:t>
        </w:r>
      </w:hyperlink>
      <w:r w:rsidRPr="008D4975">
        <w:t xml:space="preserve"> are considered to be the origin for the international, national and institutional governance of gene technology. </w:t>
      </w:r>
    </w:p>
    <w:p w14:paraId="551178A5" w14:textId="25696F20" w:rsidR="00B55649" w:rsidRPr="00917992" w:rsidRDefault="00B55649" w:rsidP="00460A83">
      <w:pPr>
        <w:rPr>
          <w:sz w:val="16"/>
          <w:szCs w:val="16"/>
        </w:rPr>
      </w:pPr>
    </w:p>
    <w:p w14:paraId="1A151F0C" w14:textId="2CC92DB9" w:rsidR="00DA275B" w:rsidRDefault="00D135FB" w:rsidP="00D2405E">
      <w:r w:rsidRPr="008D4975">
        <w:rPr>
          <w:rFonts w:eastAsia="Times New Roman"/>
          <w:b/>
          <w:bCs/>
          <w:noProof/>
          <w:color w:val="4472C4" w:themeColor="accent1"/>
          <w:sz w:val="32"/>
          <w:szCs w:val="32"/>
          <w14:ligatures w14:val="standardContextual"/>
        </w:rPr>
        <mc:AlternateContent>
          <mc:Choice Requires="wps">
            <w:drawing>
              <wp:anchor distT="0" distB="0" distL="114300" distR="114300" simplePos="0" relativeHeight="251693056" behindDoc="0" locked="0" layoutInCell="1" allowOverlap="1" wp14:anchorId="37023393" wp14:editId="19619655">
                <wp:simplePos x="0" y="0"/>
                <wp:positionH relativeFrom="margin">
                  <wp:posOffset>-271145</wp:posOffset>
                </wp:positionH>
                <wp:positionV relativeFrom="paragraph">
                  <wp:posOffset>3509645</wp:posOffset>
                </wp:positionV>
                <wp:extent cx="7191375" cy="2724150"/>
                <wp:effectExtent l="0" t="0" r="28575" b="19050"/>
                <wp:wrapSquare wrapText="bothSides"/>
                <wp:docPr id="835712958" name="Rectangle: Rounded Corners 6"/>
                <wp:cNvGraphicFramePr/>
                <a:graphic xmlns:a="http://schemas.openxmlformats.org/drawingml/2006/main">
                  <a:graphicData uri="http://schemas.microsoft.com/office/word/2010/wordprocessingShape">
                    <wps:wsp>
                      <wps:cNvSpPr/>
                      <wps:spPr>
                        <a:xfrm>
                          <a:off x="0" y="0"/>
                          <a:ext cx="7191375" cy="2724150"/>
                        </a:xfrm>
                        <a:prstGeom prst="roundRect">
                          <a:avLst/>
                        </a:prstGeom>
                        <a:solidFill>
                          <a:srgbClr val="9EBFD6"/>
                        </a:solidFill>
                        <a:ln>
                          <a:solidFill>
                            <a:srgbClr val="002B8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04819CE" w14:textId="77777777" w:rsidR="009A49BE" w:rsidRPr="006C7CC2" w:rsidRDefault="009A49BE" w:rsidP="009A49BE">
                            <w:pPr>
                              <w:spacing w:after="240"/>
                              <w:rPr>
                                <w:b/>
                                <w:bCs/>
                                <w:color w:val="1F3864" w:themeColor="accent1" w:themeShade="80"/>
                                <w:sz w:val="32"/>
                                <w:szCs w:val="32"/>
                              </w:rPr>
                            </w:pPr>
                            <w:r w:rsidRPr="006C7CC2">
                              <w:rPr>
                                <w:b/>
                                <w:bCs/>
                                <w:color w:val="1F3864" w:themeColor="accent1" w:themeShade="80"/>
                                <w:sz w:val="32"/>
                                <w:szCs w:val="32"/>
                              </w:rPr>
                              <w:t>Reminder: Accredited Organisations</w:t>
                            </w:r>
                          </w:p>
                          <w:p w14:paraId="2912D671" w14:textId="77777777" w:rsidR="009A49BE" w:rsidRPr="006C7CC2" w:rsidRDefault="009A49BE" w:rsidP="009A49BE">
                            <w:pPr>
                              <w:spacing w:after="60"/>
                              <w:rPr>
                                <w:color w:val="1F3864" w:themeColor="accent1" w:themeShade="80"/>
                              </w:rPr>
                            </w:pPr>
                            <w:r w:rsidRPr="006C7CC2">
                              <w:rPr>
                                <w:color w:val="1F3864" w:themeColor="accent1" w:themeShade="80"/>
                              </w:rPr>
                              <w:t xml:space="preserve">It is a condition of your Instrument of Accreditation that you notify the OGTR of certain changes to your organisation </w:t>
                            </w:r>
                            <w:r w:rsidRPr="006C7CC2">
                              <w:rPr>
                                <w:b/>
                                <w:bCs/>
                                <w:i/>
                                <w:iCs/>
                                <w:color w:val="1F3864" w:themeColor="accent1" w:themeShade="80"/>
                              </w:rPr>
                              <w:t>within 30 days</w:t>
                            </w:r>
                            <w:r w:rsidRPr="006C7CC2">
                              <w:rPr>
                                <w:color w:val="1F3864" w:themeColor="accent1" w:themeShade="80"/>
                              </w:rPr>
                              <w:t xml:space="preserve"> of the change occurring. Notification is required for the below changes:</w:t>
                            </w:r>
                          </w:p>
                          <w:p w14:paraId="52B98863" w14:textId="77777777" w:rsidR="009A49BE" w:rsidRPr="006C7CC2" w:rsidRDefault="009A49BE" w:rsidP="009A49BE">
                            <w:pPr>
                              <w:pStyle w:val="ListParagraph"/>
                              <w:numPr>
                                <w:ilvl w:val="0"/>
                                <w:numId w:val="16"/>
                              </w:numPr>
                              <w:rPr>
                                <w:rFonts w:ascii="Tahoma" w:hAnsi="Tahoma" w:cs="Tahoma"/>
                                <w:color w:val="1F3864" w:themeColor="accent1" w:themeShade="80"/>
                                <w:sz w:val="22"/>
                                <w:szCs w:val="22"/>
                              </w:rPr>
                            </w:pPr>
                            <w:r w:rsidRPr="006C7CC2">
                              <w:rPr>
                                <w:rFonts w:ascii="Tahoma" w:hAnsi="Tahoma" w:cs="Tahoma"/>
                                <w:color w:val="1F3864" w:themeColor="accent1" w:themeShade="80"/>
                                <w:sz w:val="22"/>
                                <w:szCs w:val="22"/>
                              </w:rPr>
                              <w:t>Organisation name or ownership.</w:t>
                            </w:r>
                          </w:p>
                          <w:p w14:paraId="32B227EA" w14:textId="77777777" w:rsidR="009A49BE" w:rsidRPr="006C7CC2" w:rsidRDefault="009A49BE" w:rsidP="009A49BE">
                            <w:pPr>
                              <w:pStyle w:val="ListParagraph"/>
                              <w:numPr>
                                <w:ilvl w:val="0"/>
                                <w:numId w:val="16"/>
                              </w:numPr>
                              <w:rPr>
                                <w:rFonts w:ascii="Tahoma" w:hAnsi="Tahoma" w:cs="Tahoma"/>
                                <w:color w:val="1F3864" w:themeColor="accent1" w:themeShade="80"/>
                                <w:sz w:val="22"/>
                                <w:szCs w:val="22"/>
                              </w:rPr>
                            </w:pPr>
                            <w:r w:rsidRPr="006C7CC2">
                              <w:rPr>
                                <w:rFonts w:ascii="Tahoma" w:hAnsi="Tahoma" w:cs="Tahoma"/>
                                <w:color w:val="1F3864" w:themeColor="accent1" w:themeShade="80"/>
                                <w:sz w:val="22"/>
                                <w:szCs w:val="22"/>
                              </w:rPr>
                              <w:t>Primary contact, or their contact details.</w:t>
                            </w:r>
                          </w:p>
                          <w:p w14:paraId="77B20FB3" w14:textId="77777777" w:rsidR="009A49BE" w:rsidRPr="006C7CC2" w:rsidRDefault="009A49BE" w:rsidP="009A49BE">
                            <w:pPr>
                              <w:pStyle w:val="ListParagraph"/>
                              <w:numPr>
                                <w:ilvl w:val="0"/>
                                <w:numId w:val="16"/>
                              </w:numPr>
                              <w:rPr>
                                <w:rFonts w:ascii="Tahoma" w:hAnsi="Tahoma" w:cs="Tahoma"/>
                                <w:color w:val="1F3864" w:themeColor="accent1" w:themeShade="80"/>
                                <w:sz w:val="22"/>
                                <w:szCs w:val="22"/>
                              </w:rPr>
                            </w:pPr>
                            <w:r w:rsidRPr="006C7CC2">
                              <w:rPr>
                                <w:rFonts w:ascii="Tahoma" w:hAnsi="Tahoma" w:cs="Tahoma"/>
                                <w:color w:val="1F3864" w:themeColor="accent1" w:themeShade="80"/>
                                <w:sz w:val="22"/>
                                <w:szCs w:val="22"/>
                              </w:rPr>
                              <w:t>CEO (or equivalent), or their contact details.</w:t>
                            </w:r>
                          </w:p>
                          <w:p w14:paraId="0511421D" w14:textId="77777777" w:rsidR="009A49BE" w:rsidRPr="006C7CC2" w:rsidRDefault="009A49BE" w:rsidP="009A49BE">
                            <w:pPr>
                              <w:pStyle w:val="ListParagraph"/>
                              <w:numPr>
                                <w:ilvl w:val="0"/>
                                <w:numId w:val="16"/>
                              </w:numPr>
                              <w:rPr>
                                <w:rFonts w:ascii="Tahoma" w:hAnsi="Tahoma" w:cs="Tahoma"/>
                                <w:color w:val="1F3864" w:themeColor="accent1" w:themeShade="80"/>
                                <w:sz w:val="22"/>
                                <w:szCs w:val="22"/>
                              </w:rPr>
                            </w:pPr>
                            <w:r w:rsidRPr="006C7CC2">
                              <w:rPr>
                                <w:rFonts w:ascii="Tahoma" w:hAnsi="Tahoma" w:cs="Tahoma"/>
                                <w:color w:val="1F3864" w:themeColor="accent1" w:themeShade="80"/>
                                <w:sz w:val="22"/>
                                <w:szCs w:val="22"/>
                              </w:rPr>
                              <w:t>IBC contact, or their contact details (where the IBC is established by the organisation).</w:t>
                            </w:r>
                          </w:p>
                          <w:p w14:paraId="0221FE39" w14:textId="77777777" w:rsidR="009A49BE" w:rsidRPr="006C7CC2" w:rsidRDefault="009A49BE" w:rsidP="009A49BE">
                            <w:pPr>
                              <w:pStyle w:val="ListParagraph"/>
                              <w:numPr>
                                <w:ilvl w:val="0"/>
                                <w:numId w:val="16"/>
                              </w:numPr>
                              <w:spacing w:after="60"/>
                              <w:ind w:left="714" w:hanging="357"/>
                              <w:rPr>
                                <w:rFonts w:ascii="Tahoma" w:hAnsi="Tahoma" w:cs="Tahoma"/>
                                <w:color w:val="1F3864" w:themeColor="accent1" w:themeShade="80"/>
                                <w:sz w:val="22"/>
                                <w:szCs w:val="22"/>
                              </w:rPr>
                            </w:pPr>
                            <w:r w:rsidRPr="006C7CC2">
                              <w:rPr>
                                <w:rFonts w:ascii="Tahoma" w:hAnsi="Tahoma" w:cs="Tahoma"/>
                                <w:color w:val="1F3864" w:themeColor="accent1" w:themeShade="80"/>
                                <w:sz w:val="22"/>
                                <w:szCs w:val="22"/>
                              </w:rPr>
                              <w:t>IBC chair, or their contact details (where the IBC is established by the organisation).</w:t>
                            </w:r>
                          </w:p>
                          <w:p w14:paraId="6D228036" w14:textId="77777777" w:rsidR="009A49BE" w:rsidRPr="006C7CC2" w:rsidRDefault="009A49BE" w:rsidP="009A49BE">
                            <w:pPr>
                              <w:rPr>
                                <w:color w:val="1F3864" w:themeColor="accent1" w:themeShade="80"/>
                              </w:rPr>
                            </w:pPr>
                            <w:r w:rsidRPr="006C7CC2">
                              <w:rPr>
                                <w:color w:val="1F3864" w:themeColor="accent1" w:themeShade="80"/>
                              </w:rPr>
                              <w:t xml:space="preserve">In addition, notification is also required for changes to the IBC’s you access or own, convictions of certain offences, and the loss of an </w:t>
                            </w:r>
                            <w:r w:rsidRPr="006C7CC2">
                              <w:rPr>
                                <w:rFonts w:eastAsiaTheme="minorHAnsi"/>
                                <w:color w:val="1F3864" w:themeColor="accent1" w:themeShade="80"/>
                              </w:rPr>
                              <w:t>authorisation under a law of the Commonwealth, a State or a foreign country relating to the health and safety of people or the environment.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023393" id="Rectangle: Rounded Corners 6" o:spid="_x0000_s1029" style="position:absolute;margin-left:-21.35pt;margin-top:276.35pt;width:566.25pt;height:214.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" fillcolor="#9ebfd6" strokecolor="#002b82" strokeweight="1pt">
                <v:stroke joinstyle="miter"/>
                <v:textbox>
                  <w:txbxContent>
                    <w:p w14:paraId="404819CE" w14:textId="77777777" w:rsidR="009A49BE" w:rsidRPr="006C7CC2" w:rsidRDefault="009A49BE" w:rsidP="009A49BE">
                      <w:pPr>
                        <w:spacing w:after="240"/>
                        <w:rPr>
                          <w:b/>
                          <w:bCs/>
                          <w:color w:val="1F3864" w:themeColor="accent1" w:themeShade="80"/>
                          <w:sz w:val="32"/>
                          <w:szCs w:val="32"/>
                        </w:rPr>
                      </w:pPr>
                      <w:r w:rsidRPr="006C7CC2">
                        <w:rPr>
                          <w:b/>
                          <w:bCs/>
                          <w:color w:val="1F3864" w:themeColor="accent1" w:themeShade="80"/>
                          <w:sz w:val="32"/>
                          <w:szCs w:val="32"/>
                        </w:rPr>
                        <w:t>Reminder: Accredited Organisations</w:t>
                      </w:r>
                    </w:p>
                    <w:p w14:paraId="2912D671" w14:textId="77777777" w:rsidR="009A49BE" w:rsidRPr="006C7CC2" w:rsidRDefault="009A49BE" w:rsidP="009A49BE">
                      <w:pPr>
                        <w:spacing w:after="60"/>
                        <w:rPr>
                          <w:color w:val="1F3864" w:themeColor="accent1" w:themeShade="80"/>
                        </w:rPr>
                      </w:pPr>
                      <w:r w:rsidRPr="006C7CC2">
                        <w:rPr>
                          <w:color w:val="1F3864" w:themeColor="accent1" w:themeShade="80"/>
                        </w:rPr>
                        <w:t xml:space="preserve">It is a condition of your Instrument of Accreditation that you notify the OGTR of certain changes to your organisation </w:t>
                      </w:r>
                      <w:r w:rsidRPr="006C7CC2">
                        <w:rPr>
                          <w:b/>
                          <w:bCs/>
                          <w:i/>
                          <w:iCs/>
                          <w:color w:val="1F3864" w:themeColor="accent1" w:themeShade="80"/>
                        </w:rPr>
                        <w:t>within 30 days</w:t>
                      </w:r>
                      <w:r w:rsidRPr="006C7CC2">
                        <w:rPr>
                          <w:color w:val="1F3864" w:themeColor="accent1" w:themeShade="80"/>
                        </w:rPr>
                        <w:t xml:space="preserve"> of the change occurring. Notification is required for the below changes:</w:t>
                      </w:r>
                    </w:p>
                    <w:p w14:paraId="52B98863" w14:textId="77777777" w:rsidR="009A49BE" w:rsidRPr="006C7CC2" w:rsidRDefault="009A49BE" w:rsidP="009A49BE">
                      <w:pPr>
                        <w:pStyle w:val="ListParagraph"/>
                        <w:numPr>
                          <w:ilvl w:val="0"/>
                          <w:numId w:val="16"/>
                        </w:numPr>
                        <w:rPr>
                          <w:rFonts w:ascii="Tahoma" w:hAnsi="Tahoma" w:cs="Tahoma"/>
                          <w:color w:val="1F3864" w:themeColor="accent1" w:themeShade="80"/>
                          <w:sz w:val="22"/>
                          <w:szCs w:val="22"/>
                        </w:rPr>
                      </w:pPr>
                      <w:r w:rsidRPr="006C7CC2">
                        <w:rPr>
                          <w:rFonts w:ascii="Tahoma" w:hAnsi="Tahoma" w:cs="Tahoma"/>
                          <w:color w:val="1F3864" w:themeColor="accent1" w:themeShade="80"/>
                          <w:sz w:val="22"/>
                          <w:szCs w:val="22"/>
                        </w:rPr>
                        <w:t>Organisation name or ownership.</w:t>
                      </w:r>
                    </w:p>
                    <w:p w14:paraId="32B227EA" w14:textId="77777777" w:rsidR="009A49BE" w:rsidRPr="006C7CC2" w:rsidRDefault="009A49BE" w:rsidP="009A49BE">
                      <w:pPr>
                        <w:pStyle w:val="ListParagraph"/>
                        <w:numPr>
                          <w:ilvl w:val="0"/>
                          <w:numId w:val="16"/>
                        </w:numPr>
                        <w:rPr>
                          <w:rFonts w:ascii="Tahoma" w:hAnsi="Tahoma" w:cs="Tahoma"/>
                          <w:color w:val="1F3864" w:themeColor="accent1" w:themeShade="80"/>
                          <w:sz w:val="22"/>
                          <w:szCs w:val="22"/>
                        </w:rPr>
                      </w:pPr>
                      <w:r w:rsidRPr="006C7CC2">
                        <w:rPr>
                          <w:rFonts w:ascii="Tahoma" w:hAnsi="Tahoma" w:cs="Tahoma"/>
                          <w:color w:val="1F3864" w:themeColor="accent1" w:themeShade="80"/>
                          <w:sz w:val="22"/>
                          <w:szCs w:val="22"/>
                        </w:rPr>
                        <w:t>Primary contact, or their contact details.</w:t>
                      </w:r>
                    </w:p>
                    <w:p w14:paraId="77B20FB3" w14:textId="77777777" w:rsidR="009A49BE" w:rsidRPr="006C7CC2" w:rsidRDefault="009A49BE" w:rsidP="009A49BE">
                      <w:pPr>
                        <w:pStyle w:val="ListParagraph"/>
                        <w:numPr>
                          <w:ilvl w:val="0"/>
                          <w:numId w:val="16"/>
                        </w:numPr>
                        <w:rPr>
                          <w:rFonts w:ascii="Tahoma" w:hAnsi="Tahoma" w:cs="Tahoma"/>
                          <w:color w:val="1F3864" w:themeColor="accent1" w:themeShade="80"/>
                          <w:sz w:val="22"/>
                          <w:szCs w:val="22"/>
                        </w:rPr>
                      </w:pPr>
                      <w:r w:rsidRPr="006C7CC2">
                        <w:rPr>
                          <w:rFonts w:ascii="Tahoma" w:hAnsi="Tahoma" w:cs="Tahoma"/>
                          <w:color w:val="1F3864" w:themeColor="accent1" w:themeShade="80"/>
                          <w:sz w:val="22"/>
                          <w:szCs w:val="22"/>
                        </w:rPr>
                        <w:t>CEO (or equivalent), or their contact details.</w:t>
                      </w:r>
                    </w:p>
                    <w:p w14:paraId="0511421D" w14:textId="77777777" w:rsidR="009A49BE" w:rsidRPr="006C7CC2" w:rsidRDefault="009A49BE" w:rsidP="009A49BE">
                      <w:pPr>
                        <w:pStyle w:val="ListParagraph"/>
                        <w:numPr>
                          <w:ilvl w:val="0"/>
                          <w:numId w:val="16"/>
                        </w:numPr>
                        <w:rPr>
                          <w:rFonts w:ascii="Tahoma" w:hAnsi="Tahoma" w:cs="Tahoma"/>
                          <w:color w:val="1F3864" w:themeColor="accent1" w:themeShade="80"/>
                          <w:sz w:val="22"/>
                          <w:szCs w:val="22"/>
                        </w:rPr>
                      </w:pPr>
                      <w:r w:rsidRPr="006C7CC2">
                        <w:rPr>
                          <w:rFonts w:ascii="Tahoma" w:hAnsi="Tahoma" w:cs="Tahoma"/>
                          <w:color w:val="1F3864" w:themeColor="accent1" w:themeShade="80"/>
                          <w:sz w:val="22"/>
                          <w:szCs w:val="22"/>
                        </w:rPr>
                        <w:t>IBC contact, or their contact details (where the IBC is established by the organisation).</w:t>
                      </w:r>
                    </w:p>
                    <w:p w14:paraId="0221FE39" w14:textId="77777777" w:rsidR="009A49BE" w:rsidRPr="006C7CC2" w:rsidRDefault="009A49BE" w:rsidP="009A49BE">
                      <w:pPr>
                        <w:pStyle w:val="ListParagraph"/>
                        <w:numPr>
                          <w:ilvl w:val="0"/>
                          <w:numId w:val="16"/>
                        </w:numPr>
                        <w:spacing w:after="60"/>
                        <w:ind w:left="714" w:hanging="357"/>
                        <w:rPr>
                          <w:rFonts w:ascii="Tahoma" w:hAnsi="Tahoma" w:cs="Tahoma"/>
                          <w:color w:val="1F3864" w:themeColor="accent1" w:themeShade="80"/>
                          <w:sz w:val="22"/>
                          <w:szCs w:val="22"/>
                        </w:rPr>
                      </w:pPr>
                      <w:r w:rsidRPr="006C7CC2">
                        <w:rPr>
                          <w:rFonts w:ascii="Tahoma" w:hAnsi="Tahoma" w:cs="Tahoma"/>
                          <w:color w:val="1F3864" w:themeColor="accent1" w:themeShade="80"/>
                          <w:sz w:val="22"/>
                          <w:szCs w:val="22"/>
                        </w:rPr>
                        <w:t>IBC chair, or their contact details (where the IBC is established by the organisation).</w:t>
                      </w:r>
                    </w:p>
                    <w:p w14:paraId="6D228036" w14:textId="77777777" w:rsidR="009A49BE" w:rsidRPr="006C7CC2" w:rsidRDefault="009A49BE" w:rsidP="009A49BE">
                      <w:pPr>
                        <w:rPr>
                          <w:color w:val="1F3864" w:themeColor="accent1" w:themeShade="80"/>
                        </w:rPr>
                      </w:pPr>
                      <w:r w:rsidRPr="006C7CC2">
                        <w:rPr>
                          <w:color w:val="1F3864" w:themeColor="accent1" w:themeShade="80"/>
                        </w:rPr>
                        <w:t xml:space="preserve">In addition, notification is also required for changes to the IBC’s you access or own, convictions of certain offences, and the loss of an </w:t>
                      </w:r>
                      <w:r w:rsidRPr="006C7CC2">
                        <w:rPr>
                          <w:rFonts w:eastAsiaTheme="minorHAnsi"/>
                          <w:color w:val="1F3864" w:themeColor="accent1" w:themeShade="80"/>
                        </w:rPr>
                        <w:t>authorisation under a law of the Commonwealth, a State or a foreign country relating to the health and safety of people or the environment.</w:t>
                      </w:r>
                    </w:p>
                  </w:txbxContent>
                </v:textbox>
                <w10:wrap type="square" anchorx="margin"/>
              </v:roundrect>
            </w:pict>
          </mc:Fallback>
        </mc:AlternateContent>
      </w:r>
      <w:r w:rsidRPr="008D4975">
        <w:rPr>
          <w:rFonts w:eastAsia="Times New Roman"/>
          <w:b/>
          <w:bCs/>
          <w:noProof/>
          <w:color w:val="4472C4" w:themeColor="accent1"/>
          <w:sz w:val="32"/>
          <w:szCs w:val="32"/>
          <w14:ligatures w14:val="standardContextual"/>
        </w:rPr>
        <mc:AlternateContent>
          <mc:Choice Requires="wps">
            <w:drawing>
              <wp:anchor distT="0" distB="0" distL="114300" distR="114300" simplePos="0" relativeHeight="251678720" behindDoc="0" locked="0" layoutInCell="1" allowOverlap="1" wp14:anchorId="39A63DD9" wp14:editId="33D781AC">
                <wp:simplePos x="0" y="0"/>
                <wp:positionH relativeFrom="margin">
                  <wp:posOffset>-266700</wp:posOffset>
                </wp:positionH>
                <wp:positionV relativeFrom="paragraph">
                  <wp:posOffset>462280</wp:posOffset>
                </wp:positionV>
                <wp:extent cx="7191375" cy="2971800"/>
                <wp:effectExtent l="0" t="0" r="28575" b="19050"/>
                <wp:wrapSquare wrapText="bothSides"/>
                <wp:docPr id="935473995" name="Rectangle: Rounded Corners 6"/>
                <wp:cNvGraphicFramePr/>
                <a:graphic xmlns:a="http://schemas.openxmlformats.org/drawingml/2006/main">
                  <a:graphicData uri="http://schemas.microsoft.com/office/word/2010/wordprocessingShape">
                    <wps:wsp>
                      <wps:cNvSpPr/>
                      <wps:spPr>
                        <a:xfrm>
                          <a:off x="0" y="0"/>
                          <a:ext cx="7191375" cy="2971800"/>
                        </a:xfrm>
                        <a:prstGeom prst="roundRect">
                          <a:avLst/>
                        </a:prstGeom>
                        <a:solidFill>
                          <a:schemeClr val="accent1">
                            <a:lumMod val="75000"/>
                          </a:schemeClr>
                        </a:solidFill>
                        <a:ln>
                          <a:solidFill>
                            <a:srgbClr val="002B8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D470F8A" w14:textId="572EF75D" w:rsidR="000B23E5" w:rsidRPr="008D4975" w:rsidRDefault="000B23E5" w:rsidP="000B23E5">
                            <w:pPr>
                              <w:spacing w:after="240"/>
                              <w:rPr>
                                <w:b/>
                                <w:bCs/>
                                <w:color w:val="FFFFFF" w:themeColor="background1"/>
                                <w:sz w:val="32"/>
                                <w:szCs w:val="32"/>
                              </w:rPr>
                            </w:pPr>
                            <w:r w:rsidRPr="008D4975">
                              <w:rPr>
                                <w:b/>
                                <w:bCs/>
                                <w:color w:val="FFFFFF" w:themeColor="background1"/>
                                <w:sz w:val="32"/>
                                <w:szCs w:val="32"/>
                              </w:rPr>
                              <w:t xml:space="preserve">Reminder: </w:t>
                            </w:r>
                            <w:r w:rsidR="006C5C48">
                              <w:rPr>
                                <w:b/>
                                <w:bCs/>
                                <w:color w:val="FFFFFF" w:themeColor="background1"/>
                                <w:sz w:val="32"/>
                                <w:szCs w:val="32"/>
                              </w:rPr>
                              <w:t xml:space="preserve">PC1 and PC2 </w:t>
                            </w:r>
                            <w:r w:rsidRPr="008D4975">
                              <w:rPr>
                                <w:b/>
                                <w:bCs/>
                                <w:color w:val="FFFFFF" w:themeColor="background1"/>
                                <w:sz w:val="32"/>
                                <w:szCs w:val="32"/>
                              </w:rPr>
                              <w:t>Certified Facilities</w:t>
                            </w:r>
                          </w:p>
                          <w:p w14:paraId="3A2BF341" w14:textId="5E31B540" w:rsidR="000B23E5" w:rsidRPr="008D4975" w:rsidRDefault="000B23E5" w:rsidP="000B23E5">
                            <w:pPr>
                              <w:rPr>
                                <w:rFonts w:ascii="Aptos" w:eastAsiaTheme="minorHAnsi" w:hAnsi="Aptos" w:cs="Aptos"/>
                                <w:color w:val="FFFFFF" w:themeColor="background1"/>
                                <w:sz w:val="24"/>
                                <w:szCs w:val="24"/>
                              </w:rPr>
                            </w:pPr>
                            <w:r w:rsidRPr="008D4975">
                              <w:rPr>
                                <w:color w:val="FFFFFF" w:themeColor="background1"/>
                              </w:rPr>
                              <w:t xml:space="preserve">If you </w:t>
                            </w:r>
                            <w:r w:rsidR="00C007CD">
                              <w:rPr>
                                <w:color w:val="FFFFFF" w:themeColor="background1"/>
                              </w:rPr>
                              <w:t xml:space="preserve">have a </w:t>
                            </w:r>
                            <w:r w:rsidR="006C5C48">
                              <w:rPr>
                                <w:color w:val="FFFFFF" w:themeColor="background1"/>
                              </w:rPr>
                              <w:t xml:space="preserve">PC1 or PC2 </w:t>
                            </w:r>
                            <w:r w:rsidRPr="008D4975">
                              <w:rPr>
                                <w:color w:val="FFFFFF" w:themeColor="background1"/>
                              </w:rPr>
                              <w:t xml:space="preserve">OGTR certified facility </w:t>
                            </w:r>
                            <w:r w:rsidR="00C007CD">
                              <w:rPr>
                                <w:color w:val="FFFFFF" w:themeColor="background1"/>
                              </w:rPr>
                              <w:t xml:space="preserve">but </w:t>
                            </w:r>
                            <w:r w:rsidR="00C007CD" w:rsidRPr="008D4975">
                              <w:rPr>
                                <w:color w:val="FFFFFF" w:themeColor="background1"/>
                              </w:rPr>
                              <w:t>are not working with GMOs</w:t>
                            </w:r>
                            <w:r w:rsidR="00C007CD">
                              <w:rPr>
                                <w:color w:val="FFFFFF" w:themeColor="background1"/>
                              </w:rPr>
                              <w:t xml:space="preserve"> </w:t>
                            </w:r>
                            <w:r w:rsidRPr="008D4975">
                              <w:rPr>
                                <w:color w:val="FFFFFF" w:themeColor="background1"/>
                              </w:rPr>
                              <w:t>you can suspend the certification until you need to work with GMOs again, or if you no longer need the facility you can surrender it.</w:t>
                            </w:r>
                          </w:p>
                          <w:p w14:paraId="431FE173" w14:textId="77777777" w:rsidR="000B23E5" w:rsidRPr="008D4975" w:rsidRDefault="000B23E5" w:rsidP="000B23E5">
                            <w:pPr>
                              <w:rPr>
                                <w:color w:val="FFFFFF" w:themeColor="background1"/>
                              </w:rPr>
                            </w:pPr>
                            <w:r w:rsidRPr="008D4975">
                              <w:rPr>
                                <w:color w:val="FFFFFF" w:themeColor="background1"/>
                              </w:rPr>
                              <w:t xml:space="preserve">Use the </w:t>
                            </w:r>
                            <w:hyperlink r:id="rId41" w:history="1">
                              <w:r w:rsidRPr="008D4975">
                                <w:rPr>
                                  <w:rStyle w:val="Hyperlink"/>
                                  <w:color w:val="FFFFFF" w:themeColor="background1"/>
                                </w:rPr>
                                <w:t>OGTR online services portal</w:t>
                              </w:r>
                            </w:hyperlink>
                            <w:r w:rsidRPr="008D4975">
                              <w:rPr>
                                <w:color w:val="FFFFFF" w:themeColor="background1"/>
                              </w:rPr>
                              <w:t xml:space="preserve"> or the links below:</w:t>
                            </w:r>
                          </w:p>
                          <w:p w14:paraId="3918D4A4" w14:textId="77777777" w:rsidR="000B23E5" w:rsidRPr="008D4975" w:rsidRDefault="000B23E5" w:rsidP="000B23E5">
                            <w:pPr>
                              <w:pStyle w:val="ListParagraph"/>
                              <w:numPr>
                                <w:ilvl w:val="0"/>
                                <w:numId w:val="5"/>
                              </w:numPr>
                              <w:contextualSpacing w:val="0"/>
                              <w:rPr>
                                <w:rFonts w:ascii="Tahoma" w:eastAsia="Times New Roman" w:hAnsi="Tahoma" w:cs="Tahoma"/>
                                <w:color w:val="FFFFFF" w:themeColor="background1"/>
                                <w:sz w:val="22"/>
                                <w:szCs w:val="22"/>
                              </w:rPr>
                            </w:pPr>
                            <w:hyperlink r:id="rId42" w:history="1">
                              <w:r w:rsidRPr="008D4975">
                                <w:rPr>
                                  <w:rStyle w:val="Hyperlink"/>
                                  <w:rFonts w:ascii="Tahoma" w:eastAsia="Times New Roman" w:hAnsi="Tahoma" w:cs="Tahoma"/>
                                  <w:color w:val="FFFFFF" w:themeColor="background1"/>
                                  <w:sz w:val="22"/>
                                  <w:szCs w:val="22"/>
                                </w:rPr>
                                <w:t>Application for the Suspension of a Certification of a Physical Containment Facility | Office of the Gene Technology Regulator</w:t>
                              </w:r>
                            </w:hyperlink>
                          </w:p>
                          <w:p w14:paraId="08A26595" w14:textId="77777777" w:rsidR="000B23E5" w:rsidRPr="008D4975" w:rsidRDefault="000B23E5" w:rsidP="000B23E5">
                            <w:pPr>
                              <w:pStyle w:val="ListParagraph"/>
                              <w:numPr>
                                <w:ilvl w:val="0"/>
                                <w:numId w:val="5"/>
                              </w:numPr>
                              <w:contextualSpacing w:val="0"/>
                              <w:rPr>
                                <w:rFonts w:ascii="Tahoma" w:eastAsia="Times New Roman" w:hAnsi="Tahoma" w:cs="Tahoma"/>
                                <w:color w:val="FFFFFF" w:themeColor="background1"/>
                                <w:sz w:val="22"/>
                                <w:szCs w:val="22"/>
                              </w:rPr>
                            </w:pPr>
                            <w:hyperlink r:id="rId43" w:history="1">
                              <w:r w:rsidRPr="008D4975">
                                <w:rPr>
                                  <w:rStyle w:val="Hyperlink"/>
                                  <w:rFonts w:ascii="Tahoma" w:eastAsia="Times New Roman" w:hAnsi="Tahoma" w:cs="Tahoma"/>
                                  <w:color w:val="FFFFFF" w:themeColor="background1"/>
                                  <w:sz w:val="22"/>
                                  <w:szCs w:val="22"/>
                                </w:rPr>
                                <w:t>Application for the Surrender of a Certification of a Physical Containment Facility | Office of the Gene Technology Regulator</w:t>
                              </w:r>
                            </w:hyperlink>
                          </w:p>
                          <w:p w14:paraId="591FBBFA" w14:textId="77777777" w:rsidR="000B23E5" w:rsidRPr="008D4975" w:rsidRDefault="000B23E5" w:rsidP="000B23E5">
                            <w:pPr>
                              <w:rPr>
                                <w:b/>
                                <w:bCs/>
                                <w:color w:val="FFFFFF" w:themeColor="background1"/>
                              </w:rPr>
                            </w:pPr>
                          </w:p>
                          <w:p w14:paraId="317B3E29" w14:textId="77777777" w:rsidR="000B23E5" w:rsidRPr="008D4975" w:rsidRDefault="000B23E5" w:rsidP="000B23E5">
                            <w:pPr>
                              <w:rPr>
                                <w:color w:val="FFFFFF" w:themeColor="background1"/>
                              </w:rPr>
                            </w:pPr>
                            <w:r w:rsidRPr="008D4975">
                              <w:rPr>
                                <w:color w:val="FFFFFF" w:themeColor="background1"/>
                              </w:rPr>
                              <w:t xml:space="preserve">As a courtesy, the OGTR sends reminders to owners of certified facilities to alert them when their facility certifications are due to expire. It is however your responsibility to keep track of the certification status of your facilities. This is easy to see on the </w:t>
                            </w:r>
                            <w:hyperlink r:id="rId44" w:history="1">
                              <w:r w:rsidRPr="008D4975">
                                <w:rPr>
                                  <w:rStyle w:val="Hyperlink"/>
                                  <w:color w:val="FFFFFF" w:themeColor="background1"/>
                                </w:rPr>
                                <w:t>OGTR online services portal</w:t>
                              </w:r>
                            </w:hyperlink>
                            <w:r w:rsidRPr="008D4975">
                              <w:rPr>
                                <w:color w:val="FFFFFF" w:themeColor="background1"/>
                              </w:rPr>
                              <w:t>. To ensure your facility certification does not expire, applications to extend must be received at least 20 working days prior to the expiry.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A63DD9" id="_x0000_s1030" style="position:absolute;margin-left:-21pt;margin-top:36.4pt;width:566.25pt;height:23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" fillcolor="#2f5496 [2404]" strokecolor="#002b82" strokeweight="1pt">
                <v:stroke joinstyle="miter"/>
                <v:textbox>
                  <w:txbxContent>
                    <w:p w14:paraId="4D470F8A" w14:textId="572EF75D" w:rsidR="000B23E5" w:rsidRPr="008D4975" w:rsidRDefault="000B23E5" w:rsidP="000B23E5">
                      <w:pPr>
                        <w:spacing w:after="240"/>
                        <w:rPr>
                          <w:b/>
                          <w:bCs/>
                          <w:color w:val="FFFFFF" w:themeColor="background1"/>
                          <w:sz w:val="32"/>
                          <w:szCs w:val="32"/>
                        </w:rPr>
                      </w:pPr>
                      <w:r w:rsidRPr="008D4975">
                        <w:rPr>
                          <w:b/>
                          <w:bCs/>
                          <w:color w:val="FFFFFF" w:themeColor="background1"/>
                          <w:sz w:val="32"/>
                          <w:szCs w:val="32"/>
                        </w:rPr>
                        <w:t xml:space="preserve">Reminder: </w:t>
                      </w:r>
                      <w:r w:rsidR="006C5C48">
                        <w:rPr>
                          <w:b/>
                          <w:bCs/>
                          <w:color w:val="FFFFFF" w:themeColor="background1"/>
                          <w:sz w:val="32"/>
                          <w:szCs w:val="32"/>
                        </w:rPr>
                        <w:t xml:space="preserve">PC1 and PC2 </w:t>
                      </w:r>
                      <w:r w:rsidRPr="008D4975">
                        <w:rPr>
                          <w:b/>
                          <w:bCs/>
                          <w:color w:val="FFFFFF" w:themeColor="background1"/>
                          <w:sz w:val="32"/>
                          <w:szCs w:val="32"/>
                        </w:rPr>
                        <w:t>Certified Facilities</w:t>
                      </w:r>
                    </w:p>
                    <w:p w14:paraId="3A2BF341" w14:textId="5E31B540" w:rsidR="000B23E5" w:rsidRPr="008D4975" w:rsidRDefault="000B23E5" w:rsidP="000B23E5">
                      <w:pPr>
                        <w:rPr>
                          <w:rFonts w:ascii="Aptos" w:eastAsiaTheme="minorHAnsi" w:hAnsi="Aptos" w:cs="Aptos"/>
                          <w:color w:val="FFFFFF" w:themeColor="background1"/>
                          <w:sz w:val="24"/>
                          <w:szCs w:val="24"/>
                        </w:rPr>
                      </w:pPr>
                      <w:r w:rsidRPr="008D4975">
                        <w:rPr>
                          <w:color w:val="FFFFFF" w:themeColor="background1"/>
                        </w:rPr>
                        <w:t xml:space="preserve">If you </w:t>
                      </w:r>
                      <w:r w:rsidR="00C007CD">
                        <w:rPr>
                          <w:color w:val="FFFFFF" w:themeColor="background1"/>
                        </w:rPr>
                        <w:t xml:space="preserve">have a </w:t>
                      </w:r>
                      <w:r w:rsidR="006C5C48">
                        <w:rPr>
                          <w:color w:val="FFFFFF" w:themeColor="background1"/>
                        </w:rPr>
                        <w:t xml:space="preserve">PC1 or PC2 </w:t>
                      </w:r>
                      <w:r w:rsidRPr="008D4975">
                        <w:rPr>
                          <w:color w:val="FFFFFF" w:themeColor="background1"/>
                        </w:rPr>
                        <w:t xml:space="preserve">OGTR certified facility </w:t>
                      </w:r>
                      <w:r w:rsidR="00C007CD">
                        <w:rPr>
                          <w:color w:val="FFFFFF" w:themeColor="background1"/>
                        </w:rPr>
                        <w:t xml:space="preserve">but </w:t>
                      </w:r>
                      <w:r w:rsidR="00C007CD" w:rsidRPr="008D4975">
                        <w:rPr>
                          <w:color w:val="FFFFFF" w:themeColor="background1"/>
                        </w:rPr>
                        <w:t>are not working with GMOs</w:t>
                      </w:r>
                      <w:r w:rsidR="00C007CD">
                        <w:rPr>
                          <w:color w:val="FFFFFF" w:themeColor="background1"/>
                        </w:rPr>
                        <w:t xml:space="preserve"> </w:t>
                      </w:r>
                      <w:r w:rsidRPr="008D4975">
                        <w:rPr>
                          <w:color w:val="FFFFFF" w:themeColor="background1"/>
                        </w:rPr>
                        <w:t>you can suspend the certification until you need to work with GMOs again, or if you no longer need the facility you can surrender it.</w:t>
                      </w:r>
                    </w:p>
                    <w:p w14:paraId="431FE173" w14:textId="77777777" w:rsidR="000B23E5" w:rsidRPr="008D4975" w:rsidRDefault="000B23E5" w:rsidP="000B23E5">
                      <w:pPr>
                        <w:rPr>
                          <w:color w:val="FFFFFF" w:themeColor="background1"/>
                        </w:rPr>
                      </w:pPr>
                      <w:r w:rsidRPr="008D4975">
                        <w:rPr>
                          <w:color w:val="FFFFFF" w:themeColor="background1"/>
                        </w:rPr>
                        <w:t xml:space="preserve">Use the </w:t>
                      </w:r>
                      <w:hyperlink r:id="rId45" w:history="1">
                        <w:r w:rsidRPr="008D4975">
                          <w:rPr>
                            <w:rStyle w:val="Hyperlink"/>
                            <w:color w:val="FFFFFF" w:themeColor="background1"/>
                          </w:rPr>
                          <w:t>OGTR online services portal</w:t>
                        </w:r>
                      </w:hyperlink>
                      <w:r w:rsidRPr="008D4975">
                        <w:rPr>
                          <w:color w:val="FFFFFF" w:themeColor="background1"/>
                        </w:rPr>
                        <w:t xml:space="preserve"> or the links below:</w:t>
                      </w:r>
                    </w:p>
                    <w:p w14:paraId="3918D4A4" w14:textId="77777777" w:rsidR="000B23E5" w:rsidRPr="008D4975" w:rsidRDefault="000B23E5" w:rsidP="000B23E5">
                      <w:pPr>
                        <w:pStyle w:val="ListParagraph"/>
                        <w:numPr>
                          <w:ilvl w:val="0"/>
                          <w:numId w:val="5"/>
                        </w:numPr>
                        <w:contextualSpacing w:val="0"/>
                        <w:rPr>
                          <w:rFonts w:ascii="Tahoma" w:eastAsia="Times New Roman" w:hAnsi="Tahoma" w:cs="Tahoma"/>
                          <w:color w:val="FFFFFF" w:themeColor="background1"/>
                          <w:sz w:val="22"/>
                          <w:szCs w:val="22"/>
                        </w:rPr>
                      </w:pPr>
                      <w:hyperlink r:id="rId46" w:history="1">
                        <w:r w:rsidRPr="008D4975">
                          <w:rPr>
                            <w:rStyle w:val="Hyperlink"/>
                            <w:rFonts w:ascii="Tahoma" w:eastAsia="Times New Roman" w:hAnsi="Tahoma" w:cs="Tahoma"/>
                            <w:color w:val="FFFFFF" w:themeColor="background1"/>
                            <w:sz w:val="22"/>
                            <w:szCs w:val="22"/>
                          </w:rPr>
                          <w:t>Application for the Suspension of a Certification of a Physical Containment Facility | Office of the Gene Technology Regulator</w:t>
                        </w:r>
                      </w:hyperlink>
                    </w:p>
                    <w:p w14:paraId="08A26595" w14:textId="77777777" w:rsidR="000B23E5" w:rsidRPr="008D4975" w:rsidRDefault="000B23E5" w:rsidP="000B23E5">
                      <w:pPr>
                        <w:pStyle w:val="ListParagraph"/>
                        <w:numPr>
                          <w:ilvl w:val="0"/>
                          <w:numId w:val="5"/>
                        </w:numPr>
                        <w:contextualSpacing w:val="0"/>
                        <w:rPr>
                          <w:rFonts w:ascii="Tahoma" w:eastAsia="Times New Roman" w:hAnsi="Tahoma" w:cs="Tahoma"/>
                          <w:color w:val="FFFFFF" w:themeColor="background1"/>
                          <w:sz w:val="22"/>
                          <w:szCs w:val="22"/>
                        </w:rPr>
                      </w:pPr>
                      <w:hyperlink r:id="rId47" w:history="1">
                        <w:r w:rsidRPr="008D4975">
                          <w:rPr>
                            <w:rStyle w:val="Hyperlink"/>
                            <w:rFonts w:ascii="Tahoma" w:eastAsia="Times New Roman" w:hAnsi="Tahoma" w:cs="Tahoma"/>
                            <w:color w:val="FFFFFF" w:themeColor="background1"/>
                            <w:sz w:val="22"/>
                            <w:szCs w:val="22"/>
                          </w:rPr>
                          <w:t>Application for the Surrender of a Certification of a Physical Containment Facility | Office of the Gene Technology Regulator</w:t>
                        </w:r>
                      </w:hyperlink>
                    </w:p>
                    <w:p w14:paraId="591FBBFA" w14:textId="77777777" w:rsidR="000B23E5" w:rsidRPr="008D4975" w:rsidRDefault="000B23E5" w:rsidP="000B23E5">
                      <w:pPr>
                        <w:rPr>
                          <w:b/>
                          <w:bCs/>
                          <w:color w:val="FFFFFF" w:themeColor="background1"/>
                        </w:rPr>
                      </w:pPr>
                    </w:p>
                    <w:p w14:paraId="317B3E29" w14:textId="77777777" w:rsidR="000B23E5" w:rsidRPr="008D4975" w:rsidRDefault="000B23E5" w:rsidP="000B23E5">
                      <w:pPr>
                        <w:rPr>
                          <w:color w:val="FFFFFF" w:themeColor="background1"/>
                        </w:rPr>
                      </w:pPr>
                      <w:r w:rsidRPr="008D4975">
                        <w:rPr>
                          <w:color w:val="FFFFFF" w:themeColor="background1"/>
                        </w:rPr>
                        <w:t xml:space="preserve">As a courtesy, the OGTR sends reminders to owners of certified facilities to alert them when their facility certifications are due to expire. It is however your responsibility to keep track of the certification status of your facilities. This is easy to see on the </w:t>
                      </w:r>
                      <w:hyperlink r:id="rId48" w:history="1">
                        <w:r w:rsidRPr="008D4975">
                          <w:rPr>
                            <w:rStyle w:val="Hyperlink"/>
                            <w:color w:val="FFFFFF" w:themeColor="background1"/>
                          </w:rPr>
                          <w:t>OGTR online services portal</w:t>
                        </w:r>
                      </w:hyperlink>
                      <w:r w:rsidRPr="008D4975">
                        <w:rPr>
                          <w:color w:val="FFFFFF" w:themeColor="background1"/>
                        </w:rPr>
                        <w:t>. To ensure your facility certification does not expire, applications to extend must be received at least 20 working days prior to the expiry.</w:t>
                      </w:r>
                    </w:p>
                  </w:txbxContent>
                </v:textbox>
                <w10:wrap type="square" anchorx="margin"/>
              </v:roundrect>
            </w:pict>
          </mc:Fallback>
        </mc:AlternateContent>
      </w:r>
      <w:r w:rsidR="00460A83" w:rsidRPr="008D4975">
        <w:t>Fifty years after Asilomar, the IBC remains an important part of the oversight of gene technology to ensure the safety of laboratory workers and the community.</w:t>
      </w:r>
    </w:p>
    <w:sectPr w:rsidR="00DA275B" w:rsidSect="00197FEA">
      <w:headerReference w:type="default" r:id="rId49"/>
      <w:type w:val="continuous"/>
      <w:pgSz w:w="11906" w:h="16838" w:code="9"/>
      <w:pgMar w:top="284" w:right="720" w:bottom="720" w:left="720" w:header="130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2344C" w14:textId="77777777" w:rsidR="001C638C" w:rsidRPr="008D4975" w:rsidRDefault="001C638C" w:rsidP="003042F2">
      <w:r w:rsidRPr="008D4975">
        <w:separator/>
      </w:r>
    </w:p>
  </w:endnote>
  <w:endnote w:type="continuationSeparator" w:id="0">
    <w:p w14:paraId="11164BB0" w14:textId="77777777" w:rsidR="001C638C" w:rsidRPr="008D4975" w:rsidRDefault="001C638C" w:rsidP="003042F2">
      <w:r w:rsidRPr="008D49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05E01" w14:textId="3BB903E0" w:rsidR="00716374" w:rsidRPr="008D4975" w:rsidRDefault="008D4975" w:rsidP="00885E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546"/>
      </w:tabs>
      <w:spacing w:before="38"/>
      <w:ind w:left="20"/>
      <w:rPr>
        <w:rFonts w:ascii="Lucida Sans"/>
        <w:sz w:val="18"/>
      </w:rPr>
    </w:pPr>
    <w:r w:rsidRPr="008D4975">
      <w:rPr>
        <w:rFonts w:ascii="Lucida Sans"/>
        <w:noProof/>
        <w:sz w:val="18"/>
        <w14:ligatures w14:val="standardContextual"/>
      </w:rPr>
      <mc:AlternateContent>
        <mc:Choice Requires="wps">
          <w:drawing>
            <wp:anchor distT="0" distB="0" distL="0" distR="0" simplePos="0" relativeHeight="251692032" behindDoc="0" locked="0" layoutInCell="1" allowOverlap="1" wp14:anchorId="43D67A59" wp14:editId="5CA4EF67">
              <wp:simplePos x="635" y="635"/>
              <wp:positionH relativeFrom="page">
                <wp:align>center</wp:align>
              </wp:positionH>
              <wp:positionV relativeFrom="page">
                <wp:align>bottom</wp:align>
              </wp:positionV>
              <wp:extent cx="551815" cy="376555"/>
              <wp:effectExtent l="0" t="0" r="635" b="0"/>
              <wp:wrapNone/>
              <wp:docPr id="64316234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C20D962" w14:textId="234068EF" w:rsidR="008D4975" w:rsidRPr="008D4975" w:rsidRDefault="008D4975" w:rsidP="008D4975">
                          <w:pPr>
                            <w:rPr>
                              <w:rFonts w:ascii="Calibri" w:eastAsia="Calibri" w:hAnsi="Calibri" w:cs="Calibri"/>
                              <w:color w:val="FF0000"/>
                              <w:sz w:val="24"/>
                              <w:szCs w:val="24"/>
                            </w:rPr>
                          </w:pPr>
                          <w:r w:rsidRPr="008D4975">
                            <w:rPr>
                              <w:rFonts w:ascii="Calibri" w:eastAsia="Calibri" w:hAnsi="Calibri" w:cs="Calibri"/>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D67A59" id="_x0000_t202" coordsize="21600,21600" o:spt="202" path="m,l,21600r21600,l21600,xe">
              <v:stroke joinstyle="miter"/>
              <v:path gradientshapeok="t" o:connecttype="rect"/>
            </v:shapetype>
            <v:shape id="Text Box 5" o:spid="_x0000_s1032" type="#_x0000_t202" alt="OFFICIAL" style="position:absolute;left:0;text-align:left;margin-left:0;margin-top:0;width:43.45pt;height:29.65pt;z-index:251692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4C20D962" w14:textId="234068EF" w:rsidR="008D4975" w:rsidRPr="008D4975" w:rsidRDefault="008D4975" w:rsidP="008D4975">
                    <w:pPr>
                      <w:rPr>
                        <w:rFonts w:ascii="Calibri" w:eastAsia="Calibri" w:hAnsi="Calibri" w:cs="Calibri"/>
                        <w:color w:val="FF0000"/>
                        <w:sz w:val="24"/>
                        <w:szCs w:val="24"/>
                      </w:rPr>
                    </w:pPr>
                    <w:r w:rsidRPr="008D4975">
                      <w:rPr>
                        <w:rFonts w:ascii="Calibri" w:eastAsia="Calibri" w:hAnsi="Calibri" w:cs="Calibri"/>
                        <w:color w:val="FF0000"/>
                        <w:sz w:val="24"/>
                        <w:szCs w:val="24"/>
                      </w:rPr>
                      <w:t>OFFICIAL</w:t>
                    </w:r>
                  </w:p>
                </w:txbxContent>
              </v:textbox>
              <w10:wrap anchorx="page" anchory="page"/>
            </v:shape>
          </w:pict>
        </mc:Fallback>
      </mc:AlternateContent>
    </w:r>
    <w:r w:rsidR="00716374" w:rsidRPr="008D4975">
      <w:rPr>
        <w:rFonts w:ascii="Lucida Sans"/>
        <w:noProof/>
        <w:sz w:val="18"/>
        <w14:ligatures w14:val="standardContextual"/>
      </w:rPr>
      <mc:AlternateContent>
        <mc:Choice Requires="wpg">
          <w:drawing>
            <wp:anchor distT="0" distB="0" distL="114300" distR="114300" simplePos="0" relativeHeight="251679744" behindDoc="1" locked="0" layoutInCell="1" allowOverlap="1" wp14:anchorId="10D8034A" wp14:editId="27842B6F">
              <wp:simplePos x="0" y="0"/>
              <wp:positionH relativeFrom="margin">
                <wp:align>center</wp:align>
              </wp:positionH>
              <wp:positionV relativeFrom="paragraph">
                <wp:posOffset>-91440</wp:posOffset>
              </wp:positionV>
              <wp:extent cx="6805602" cy="324485"/>
              <wp:effectExtent l="0" t="0" r="14605" b="0"/>
              <wp:wrapNone/>
              <wp:docPr id="1751814841" name="Group 1" descr="OGTR News and Updates heading in a banner with the Department of Health, Disability and Ageing, Office of the Gene Technology Regulator logo."/>
              <wp:cNvGraphicFramePr/>
              <a:graphic xmlns:a="http://schemas.openxmlformats.org/drawingml/2006/main">
                <a:graphicData uri="http://schemas.microsoft.com/office/word/2010/wordprocessingGroup">
                  <wpg:wgp>
                    <wpg:cNvGrpSpPr/>
                    <wpg:grpSpPr>
                      <a:xfrm>
                        <a:off x="0" y="0"/>
                        <a:ext cx="6805602" cy="324485"/>
                        <a:chOff x="0" y="0"/>
                        <a:chExt cx="6805602" cy="324485"/>
                      </a:xfrm>
                    </wpg:grpSpPr>
                    <wps:wsp>
                      <wps:cNvPr id="1103366891" name="Graphic 6"/>
                      <wps:cNvSpPr/>
                      <wps:spPr>
                        <a:xfrm>
                          <a:off x="0" y="19050"/>
                          <a:ext cx="6805602" cy="1327"/>
                        </a:xfrm>
                        <a:custGeom>
                          <a:avLst/>
                          <a:gdLst/>
                          <a:ahLst/>
                          <a:cxnLst/>
                          <a:rect l="l" t="t" r="r" b="b"/>
                          <a:pathLst>
                            <a:path w="6900545">
                              <a:moveTo>
                                <a:pt x="0" y="0"/>
                              </a:moveTo>
                              <a:lnTo>
                                <a:pt x="6900255" y="0"/>
                              </a:lnTo>
                            </a:path>
                          </a:pathLst>
                        </a:custGeom>
                        <a:ln w="38066">
                          <a:solidFill>
                            <a:srgbClr val="0C8FCD"/>
                          </a:solidFill>
                          <a:prstDash val="solid"/>
                        </a:ln>
                      </wps:spPr>
                      <wps:bodyPr wrap="square" lIns="0" tIns="0" rIns="0" bIns="0" rtlCol="0">
                        <a:prstTxWarp prst="textNoShape">
                          <a:avLst/>
                        </a:prstTxWarp>
                        <a:noAutofit/>
                      </wps:bodyPr>
                    </wps:wsp>
                    <wps:wsp>
                      <wps:cNvPr id="2131093172" name="Graphic 7"/>
                      <wps:cNvSpPr/>
                      <wps:spPr>
                        <a:xfrm>
                          <a:off x="6457950" y="0"/>
                          <a:ext cx="343818" cy="324485"/>
                        </a:xfrm>
                        <a:custGeom>
                          <a:avLst/>
                          <a:gdLst/>
                          <a:ahLst/>
                          <a:cxnLst/>
                          <a:rect l="l" t="t" r="r" b="b"/>
                          <a:pathLst>
                            <a:path w="348615" h="310515">
                              <a:moveTo>
                                <a:pt x="347991" y="310366"/>
                              </a:moveTo>
                              <a:lnTo>
                                <a:pt x="0" y="310366"/>
                              </a:lnTo>
                              <a:lnTo>
                                <a:pt x="0" y="0"/>
                              </a:lnTo>
                              <a:lnTo>
                                <a:pt x="347991" y="0"/>
                              </a:lnTo>
                              <a:lnTo>
                                <a:pt x="347991" y="310366"/>
                              </a:lnTo>
                              <a:close/>
                            </a:path>
                          </a:pathLst>
                        </a:custGeom>
                        <a:solidFill>
                          <a:srgbClr val="0C8FCD"/>
                        </a:solidFill>
                      </wps:spPr>
                      <wps:bodyPr wrap="square" lIns="0" tIns="0" rIns="0" bIns="0" rtlCol="0">
                        <a:prstTxWarp prst="textNoShape">
                          <a:avLst/>
                        </a:prstTxWarp>
                        <a:noAutofit/>
                      </wps:bodyPr>
                    </wps:wsp>
                  </wpg:wgp>
                </a:graphicData>
              </a:graphic>
            </wp:anchor>
          </w:drawing>
        </mc:Choice>
        <mc:Fallback>
          <w:pict>
            <v:group w14:anchorId="32AF8E5B" id="Group 1" o:spid="_x0000_s1026" alt="OGTR News and Updates heading in a banner with the Department of Health, Disability and Ageing, Office of the Gene Technology Regulator logo." style="position:absolute;margin-left:0;margin-top:-7.2pt;width:535.85pt;height:25.55pt;z-index:-251636736;mso-position-horizontal:center;mso-position-horizontal-relative:margin" coordsize="68056,3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">
              <v:shape id="Graphic 6" o:spid="_x0000_s1027" style="position:absolute;top:190;width:68056;height:13;visibility:visible;mso-wrap-style:square;v-text-anchor:top" coordsize="6900545,1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" path="m,l6900255,e" filled="f" strokecolor="#0c8fcd" strokeweight="1.0574mm">
                <v:path arrowok="t"/>
              </v:shape>
              <v:shape id="Graphic 7" o:spid="_x0000_s1028" style="position:absolute;left:64579;width:3438;height:3244;visibility:visible;mso-wrap-style:square;v-text-anchor:top" coordsize="348615,310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" path="m347991,310366l,310366,,,347991,r,310366xe" fillcolor="#0c8fcd" stroked="f">
                <v:path arrowok="t"/>
              </v:shape>
              <w10:wrap anchorx="margin"/>
            </v:group>
          </w:pict>
        </mc:Fallback>
      </mc:AlternateContent>
    </w:r>
    <w:r w:rsidR="00716374" w:rsidRPr="008D4975">
      <w:rPr>
        <w:rFonts w:ascii="Lucida Sans"/>
        <w:sz w:val="18"/>
      </w:rPr>
      <w:t>If</w:t>
    </w:r>
    <w:r w:rsidR="00716374" w:rsidRPr="008D4975">
      <w:rPr>
        <w:rFonts w:ascii="Lucida Sans"/>
        <w:spacing w:val="-14"/>
        <w:sz w:val="18"/>
      </w:rPr>
      <w:t xml:space="preserve"> </w:t>
    </w:r>
    <w:r w:rsidR="00716374" w:rsidRPr="008D4975">
      <w:rPr>
        <w:rFonts w:ascii="Lucida Sans"/>
        <w:sz w:val="18"/>
      </w:rPr>
      <w:t>you</w:t>
    </w:r>
    <w:r w:rsidR="00716374" w:rsidRPr="008D4975">
      <w:rPr>
        <w:rFonts w:ascii="Lucida Sans"/>
        <w:spacing w:val="-14"/>
        <w:sz w:val="18"/>
      </w:rPr>
      <w:t xml:space="preserve"> </w:t>
    </w:r>
    <w:r w:rsidR="00716374" w:rsidRPr="008D4975">
      <w:rPr>
        <w:rFonts w:ascii="Lucida Sans"/>
        <w:sz w:val="18"/>
      </w:rPr>
      <w:t>have</w:t>
    </w:r>
    <w:r w:rsidR="00716374" w:rsidRPr="008D4975">
      <w:rPr>
        <w:rFonts w:ascii="Lucida Sans"/>
        <w:spacing w:val="-13"/>
        <w:sz w:val="18"/>
      </w:rPr>
      <w:t xml:space="preserve"> </w:t>
    </w:r>
    <w:r w:rsidR="00716374" w:rsidRPr="008D4975">
      <w:rPr>
        <w:rFonts w:ascii="Lucida Sans"/>
        <w:sz w:val="18"/>
      </w:rPr>
      <w:t>any</w:t>
    </w:r>
    <w:r w:rsidR="00716374" w:rsidRPr="008D4975">
      <w:rPr>
        <w:rFonts w:ascii="Lucida Sans"/>
        <w:spacing w:val="-14"/>
        <w:sz w:val="18"/>
      </w:rPr>
      <w:t xml:space="preserve"> </w:t>
    </w:r>
    <w:r w:rsidR="00716374" w:rsidRPr="008D4975">
      <w:rPr>
        <w:rFonts w:ascii="Lucida Sans"/>
        <w:sz w:val="18"/>
      </w:rPr>
      <w:t>suggestions</w:t>
    </w:r>
    <w:r w:rsidR="00716374" w:rsidRPr="008D4975">
      <w:rPr>
        <w:rFonts w:ascii="Lucida Sans"/>
        <w:spacing w:val="-13"/>
        <w:sz w:val="18"/>
      </w:rPr>
      <w:t xml:space="preserve"> </w:t>
    </w:r>
    <w:r w:rsidR="00716374" w:rsidRPr="008D4975">
      <w:rPr>
        <w:rFonts w:ascii="Lucida Sans"/>
        <w:sz w:val="18"/>
      </w:rPr>
      <w:t>or</w:t>
    </w:r>
    <w:r w:rsidR="00716374" w:rsidRPr="008D4975">
      <w:rPr>
        <w:rFonts w:ascii="Lucida Sans"/>
        <w:spacing w:val="-14"/>
        <w:sz w:val="18"/>
      </w:rPr>
      <w:t xml:space="preserve"> </w:t>
    </w:r>
    <w:r w:rsidR="00716374" w:rsidRPr="008D4975">
      <w:rPr>
        <w:rFonts w:ascii="Lucida Sans"/>
        <w:sz w:val="18"/>
      </w:rPr>
      <w:t>questions,</w:t>
    </w:r>
    <w:r w:rsidR="00716374" w:rsidRPr="008D4975">
      <w:rPr>
        <w:rFonts w:ascii="Lucida Sans"/>
        <w:spacing w:val="-13"/>
        <w:sz w:val="18"/>
      </w:rPr>
      <w:t xml:space="preserve"> </w:t>
    </w:r>
    <w:r w:rsidR="00716374" w:rsidRPr="008D4975">
      <w:rPr>
        <w:rFonts w:ascii="Lucida Sans"/>
        <w:sz w:val="18"/>
      </w:rPr>
      <w:t>please</w:t>
    </w:r>
    <w:r w:rsidR="00716374" w:rsidRPr="008D4975">
      <w:rPr>
        <w:rFonts w:ascii="Lucida Sans"/>
        <w:spacing w:val="-14"/>
        <w:sz w:val="18"/>
      </w:rPr>
      <w:t xml:space="preserve"> </w:t>
    </w:r>
    <w:r w:rsidR="00716374" w:rsidRPr="008D4975">
      <w:rPr>
        <w:rFonts w:ascii="Lucida Sans"/>
        <w:sz w:val="18"/>
      </w:rPr>
      <w:t>email</w:t>
    </w:r>
    <w:r w:rsidR="00716374" w:rsidRPr="008D4975">
      <w:rPr>
        <w:rFonts w:ascii="Lucida Sans"/>
        <w:spacing w:val="-13"/>
        <w:sz w:val="18"/>
      </w:rPr>
      <w:t xml:space="preserve"> </w:t>
    </w:r>
    <w:r w:rsidR="00716374" w:rsidRPr="008D4975">
      <w:rPr>
        <w:rFonts w:ascii="Lucida Sans"/>
        <w:sz w:val="18"/>
      </w:rPr>
      <w:t>us</w:t>
    </w:r>
    <w:r w:rsidR="00716374" w:rsidRPr="008D4975">
      <w:rPr>
        <w:rFonts w:ascii="Lucida Sans"/>
        <w:spacing w:val="-14"/>
        <w:sz w:val="18"/>
      </w:rPr>
      <w:t xml:space="preserve"> </w:t>
    </w:r>
    <w:r w:rsidR="00716374" w:rsidRPr="008D4975">
      <w:rPr>
        <w:rFonts w:ascii="Lucida Sans"/>
        <w:sz w:val="18"/>
      </w:rPr>
      <w:t>at</w:t>
    </w:r>
    <w:r w:rsidR="00716374" w:rsidRPr="008D4975">
      <w:rPr>
        <w:rFonts w:ascii="Lucida Sans"/>
        <w:spacing w:val="-14"/>
        <w:sz w:val="18"/>
      </w:rPr>
      <w:t xml:space="preserve"> </w:t>
    </w:r>
    <w:hyperlink r:id="rId1">
      <w:r w:rsidR="00716374" w:rsidRPr="008D4975">
        <w:rPr>
          <w:rFonts w:ascii="Lucida Sans"/>
          <w:color w:val="007CB9"/>
          <w:spacing w:val="-2"/>
          <w:sz w:val="18"/>
          <w:u w:val="single" w:color="0C8FCD"/>
        </w:rPr>
        <w:t>o</w:t>
      </w:r>
      <w:r w:rsidR="00716374" w:rsidRPr="008D4975">
        <w:rPr>
          <w:rFonts w:ascii="Lucida Sans"/>
          <w:color w:val="007CB9"/>
          <w:spacing w:val="-2"/>
          <w:sz w:val="18"/>
        </w:rPr>
        <w:t>g</w:t>
      </w:r>
      <w:r w:rsidR="00716374" w:rsidRPr="008D4975">
        <w:rPr>
          <w:rFonts w:ascii="Lucida Sans"/>
          <w:color w:val="007CB9"/>
          <w:spacing w:val="-2"/>
          <w:sz w:val="18"/>
          <w:u w:val="single" w:color="0C8FCD"/>
        </w:rPr>
        <w:t>tr@health.gov.au</w:t>
      </w:r>
    </w:hyperlink>
    <w:r w:rsidR="00716374" w:rsidRPr="008D4975">
      <w:tab/>
    </w:r>
    <w:r w:rsidR="00716374" w:rsidRPr="008D4975">
      <w:tab/>
    </w:r>
    <w:r w:rsidR="00FD78DA" w:rsidRPr="008D4975">
      <w:tab/>
      <w:t xml:space="preserve"> October</w:t>
    </w:r>
    <w:r w:rsidR="00716374" w:rsidRPr="008D4975">
      <w:rPr>
        <w:rFonts w:ascii="Lucida Sans"/>
        <w:sz w:val="18"/>
      </w:rPr>
      <w:t xml:space="preserve"> 2025</w:t>
    </w:r>
    <w:r w:rsidR="00716374" w:rsidRPr="008D4975">
      <w:rPr>
        <w:rFonts w:ascii="Lucida Sans"/>
        <w:spacing w:val="-5"/>
        <w:sz w:val="18"/>
      </w:rPr>
      <w:t xml:space="preserve">    </w:t>
    </w:r>
    <w:r w:rsidR="008A0581" w:rsidRPr="008D4975">
      <w:rPr>
        <w:rFonts w:ascii="Lucida Sans"/>
        <w:spacing w:val="-5"/>
        <w:sz w:val="18"/>
      </w:rPr>
      <w:t xml:space="preserve"> </w:t>
    </w:r>
    <w:r w:rsidR="00716374" w:rsidRPr="008D4975">
      <w:rPr>
        <w:rFonts w:ascii="Lucida Sans"/>
        <w:color w:val="767171" w:themeColor="background2" w:themeShade="80"/>
        <w:spacing w:val="-5"/>
        <w:sz w:val="18"/>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37083" w14:textId="0FB1F5BC" w:rsidR="00716374" w:rsidRPr="008D4975" w:rsidRDefault="004B04B9" w:rsidP="004B04B9">
    <w:pPr>
      <w:pStyle w:val="Footer"/>
      <w:jc w:val="center"/>
      <w:rPr>
        <w:sz w:val="16"/>
        <w:szCs w:val="16"/>
      </w:rPr>
    </w:pPr>
    <w:r w:rsidRPr="008D4975">
      <w:rPr>
        <w:rFonts w:ascii="Calibri" w:eastAsia="Calibri" w:hAnsi="Calibri" w:cs="Calibri"/>
        <w:sz w:val="20"/>
        <w:szCs w:val="20"/>
      </w:rPr>
      <w:t xml:space="preserve">If you have any suggestions or questions, please email us at </w:t>
    </w:r>
    <w:hyperlink r:id="rId1" w:history="1">
      <w:r w:rsidRPr="008D4975">
        <w:rPr>
          <w:rStyle w:val="Hyperlink"/>
          <w:rFonts w:ascii="Calibri" w:eastAsia="Calibri" w:hAnsi="Calibri" w:cs="Calibri"/>
          <w:sz w:val="20"/>
          <w:szCs w:val="20"/>
        </w:rPr>
        <w:t>ogtr@health.gov.au</w:t>
      </w:r>
    </w:hyperlink>
    <w:r w:rsidRPr="008D4975">
      <w:rPr>
        <w:rFonts w:ascii="Calibri" w:eastAsia="Calibri" w:hAnsi="Calibri" w:cs="Calibri"/>
        <w:color w:val="0563C1"/>
        <w:sz w:val="20"/>
        <w:szCs w:val="20"/>
        <w:u w:val="single"/>
      </w:rPr>
      <w:t>.</w:t>
    </w:r>
    <w:r w:rsidRPr="008D4975">
      <w:rPr>
        <w:rFonts w:ascii="Calibri" w:eastAsia="Calibri" w:hAnsi="Calibri" w:cs="Calibri"/>
        <w:color w:val="0563C1"/>
        <w:sz w:val="20"/>
        <w:szCs w:val="20"/>
      </w:rPr>
      <w:t xml:space="preserve">                          </w:t>
    </w:r>
    <w:r w:rsidRPr="008D4975">
      <w:rPr>
        <w:rFonts w:ascii="Calibri" w:eastAsia="Calibri" w:hAnsi="Calibri" w:cs="Calibri"/>
        <w:b/>
        <w:bCs/>
        <w:sz w:val="20"/>
        <w:szCs w:val="20"/>
      </w:rPr>
      <w:t xml:space="preserve">  </w:t>
    </w:r>
    <w:r w:rsidR="00DD61BB" w:rsidRPr="008D4975">
      <w:rPr>
        <w:noProof/>
        <w:color w:val="404040" w:themeColor="text1" w:themeTint="BF"/>
      </w:rPr>
      <mc:AlternateContent>
        <mc:Choice Requires="wps">
          <w:drawing>
            <wp:anchor distT="0" distB="0" distL="0" distR="0" simplePos="0" relativeHeight="251685888" behindDoc="0" locked="0" layoutInCell="1" allowOverlap="1" wp14:anchorId="64DED1AB" wp14:editId="3059D0A4">
              <wp:simplePos x="0" y="0"/>
              <wp:positionH relativeFrom="rightMargin">
                <wp:posOffset>-422275</wp:posOffset>
              </wp:positionH>
              <wp:positionV relativeFrom="bottomMargin">
                <wp:posOffset>-1905</wp:posOffset>
              </wp:positionV>
              <wp:extent cx="457200" cy="320040"/>
              <wp:effectExtent l="0" t="0" r="0" b="3810"/>
              <wp:wrapSquare wrapText="bothSides"/>
              <wp:docPr id="40"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2424F9" w14:textId="77777777" w:rsidR="00DD61BB" w:rsidRPr="008D4975" w:rsidRDefault="00DD61BB">
                          <w:pPr>
                            <w:jc w:val="right"/>
                            <w:rPr>
                              <w:color w:val="FFFFFF" w:themeColor="background1"/>
                              <w:sz w:val="28"/>
                              <w:szCs w:val="28"/>
                            </w:rPr>
                          </w:pPr>
                          <w:r w:rsidRPr="008D4975">
                            <w:rPr>
                              <w:color w:val="FFFFFF" w:themeColor="background1"/>
                              <w:sz w:val="28"/>
                              <w:szCs w:val="28"/>
                            </w:rPr>
                            <w:fldChar w:fldCharType="begin"/>
                          </w:r>
                          <w:r w:rsidRPr="008D4975">
                            <w:rPr>
                              <w:color w:val="FFFFFF" w:themeColor="background1"/>
                              <w:sz w:val="28"/>
                              <w:szCs w:val="28"/>
                            </w:rPr>
                            <w:instrText xml:space="preserve"> PAGE   \* MERGEFORMAT </w:instrText>
                          </w:r>
                          <w:r w:rsidRPr="008D4975">
                            <w:rPr>
                              <w:color w:val="FFFFFF" w:themeColor="background1"/>
                              <w:sz w:val="28"/>
                              <w:szCs w:val="28"/>
                            </w:rPr>
                            <w:fldChar w:fldCharType="separate"/>
                          </w:r>
                          <w:r w:rsidRPr="008D4975">
                            <w:rPr>
                              <w:color w:val="FFFFFF" w:themeColor="background1"/>
                              <w:sz w:val="28"/>
                              <w:szCs w:val="28"/>
                            </w:rPr>
                            <w:t>2</w:t>
                          </w:r>
                          <w:r w:rsidRPr="008D4975">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DED1AB" id="Rectangle 8" o:spid="_x0000_s1033" style="position:absolute;left:0;text-align:left;margin-left:-33.25pt;margin-top:-.15pt;width:36pt;height:25.2pt;z-index:251685888;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dH8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" fillcolor="black [3213]" stroked="f" strokeweight="3pt">
              <v:textbox>
                <w:txbxContent>
                  <w:p w14:paraId="4F2424F9" w14:textId="77777777" w:rsidR="00DD61BB" w:rsidRPr="008D4975" w:rsidRDefault="00DD61BB">
                    <w:pPr>
                      <w:jc w:val="right"/>
                      <w:rPr>
                        <w:color w:val="FFFFFF" w:themeColor="background1"/>
                        <w:sz w:val="28"/>
                        <w:szCs w:val="28"/>
                      </w:rPr>
                    </w:pPr>
                    <w:r w:rsidRPr="008D4975">
                      <w:rPr>
                        <w:color w:val="FFFFFF" w:themeColor="background1"/>
                        <w:sz w:val="28"/>
                        <w:szCs w:val="28"/>
                      </w:rPr>
                      <w:fldChar w:fldCharType="begin"/>
                    </w:r>
                    <w:r w:rsidRPr="008D4975">
                      <w:rPr>
                        <w:color w:val="FFFFFF" w:themeColor="background1"/>
                        <w:sz w:val="28"/>
                        <w:szCs w:val="28"/>
                      </w:rPr>
                      <w:instrText xml:space="preserve"> PAGE   \* MERGEFORMAT </w:instrText>
                    </w:r>
                    <w:r w:rsidRPr="008D4975">
                      <w:rPr>
                        <w:color w:val="FFFFFF" w:themeColor="background1"/>
                        <w:sz w:val="28"/>
                        <w:szCs w:val="28"/>
                      </w:rPr>
                      <w:fldChar w:fldCharType="separate"/>
                    </w:r>
                    <w:r w:rsidRPr="008D4975">
                      <w:rPr>
                        <w:color w:val="FFFFFF" w:themeColor="background1"/>
                        <w:sz w:val="28"/>
                        <w:szCs w:val="28"/>
                      </w:rPr>
                      <w:t>2</w:t>
                    </w:r>
                    <w:r w:rsidRPr="008D4975">
                      <w:rPr>
                        <w:color w:val="FFFFFF" w:themeColor="background1"/>
                        <w:sz w:val="28"/>
                        <w:szCs w:val="28"/>
                      </w:rPr>
                      <w:fldChar w:fldCharType="end"/>
                    </w:r>
                  </w:p>
                </w:txbxContent>
              </v:textbox>
              <w10:wrap type="square" anchorx="margin" anchory="margin"/>
            </v:rect>
          </w:pict>
        </mc:Fallback>
      </mc:AlternateContent>
    </w:r>
    <w:r w:rsidR="00DD61BB" w:rsidRPr="008D4975">
      <w:rPr>
        <w:noProof/>
        <w:color w:val="808080" w:themeColor="background1" w:themeShade="80"/>
      </w:rPr>
      <mc:AlternateContent>
        <mc:Choice Requires="wpg">
          <w:drawing>
            <wp:anchor distT="0" distB="0" distL="0" distR="0" simplePos="0" relativeHeight="251686912" behindDoc="0" locked="0" layoutInCell="1" allowOverlap="1" wp14:anchorId="10A9A375" wp14:editId="1C25F8FA">
              <wp:simplePos x="0" y="0"/>
              <wp:positionH relativeFrom="margin">
                <wp:posOffset>5080</wp:posOffset>
              </wp:positionH>
              <wp:positionV relativeFrom="bottomMargin">
                <wp:posOffset>0</wp:posOffset>
              </wp:positionV>
              <wp:extent cx="5943600" cy="171450"/>
              <wp:effectExtent l="0" t="0" r="2540" b="0"/>
              <wp:wrapSquare wrapText="bothSides"/>
              <wp:docPr id="3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43600" cy="17145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27186E" w14:textId="7C2E787C" w:rsidR="00DD61BB" w:rsidRPr="008D4975" w:rsidRDefault="00DD61BB">
                            <w:pPr>
                              <w:jc w:val="right"/>
                              <w:rPr>
                                <w:color w:val="7F7F7F" w:themeColor="text1" w:themeTint="80"/>
                              </w:rPr>
                            </w:pPr>
                          </w:p>
                          <w:p w14:paraId="00E0E7AA" w14:textId="77777777" w:rsidR="00DD61BB" w:rsidRPr="008D4975" w:rsidRDefault="00DD61BB">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10A9A375" id="Group 7" o:spid="_x0000_s1034" alt="&quot;&quot;" style="position:absolute;left:0;text-align:left;margin-left:.4pt;margin-top:0;width:468pt;height:13.5pt;z-index:251686912;mso-width-percent:1000;mso-wrap-distance-left:0;mso-wrap-distance-right:0;mso-position-horizontal-relative:margin;mso-position-vertical-relative:bottom-margin-area;mso-width-percent:10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">
              <v:rect id="Rectangle 38" o:spid="_x0000_s1035"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36"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1227186E" w14:textId="7C2E787C" w:rsidR="00DD61BB" w:rsidRPr="008D4975" w:rsidRDefault="00DD61BB">
                      <w:pPr>
                        <w:jc w:val="right"/>
                        <w:rPr>
                          <w:color w:val="7F7F7F" w:themeColor="text1" w:themeTint="80"/>
                        </w:rPr>
                      </w:pPr>
                    </w:p>
                    <w:p w14:paraId="00E0E7AA" w14:textId="77777777" w:rsidR="00DD61BB" w:rsidRPr="008D4975" w:rsidRDefault="00DD61BB">
                      <w:pPr>
                        <w:jc w:val="right"/>
                        <w:rPr>
                          <w:color w:val="808080" w:themeColor="background1" w:themeShade="80"/>
                        </w:rPr>
                      </w:pPr>
                    </w:p>
                  </w:txbxContent>
                </v:textbox>
              </v:shape>
              <w10:wrap type="square" anchorx="margin"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989DE" w14:textId="5F0A4889" w:rsidR="008D4975" w:rsidRPr="008D4975" w:rsidRDefault="008D4975">
    <w:pPr>
      <w:pStyle w:val="Footer"/>
    </w:pPr>
    <w:r w:rsidRPr="008D4975">
      <w:rPr>
        <w:noProof/>
        <w14:ligatures w14:val="standardContextual"/>
      </w:rPr>
      <mc:AlternateContent>
        <mc:Choice Requires="wps">
          <w:drawing>
            <wp:anchor distT="0" distB="0" distL="0" distR="0" simplePos="0" relativeHeight="251691008" behindDoc="0" locked="0" layoutInCell="1" allowOverlap="1" wp14:anchorId="288D8DBB" wp14:editId="7CF7EF28">
              <wp:simplePos x="635" y="635"/>
              <wp:positionH relativeFrom="page">
                <wp:align>center</wp:align>
              </wp:positionH>
              <wp:positionV relativeFrom="page">
                <wp:align>bottom</wp:align>
              </wp:positionV>
              <wp:extent cx="551815" cy="376555"/>
              <wp:effectExtent l="0" t="0" r="635" b="0"/>
              <wp:wrapNone/>
              <wp:docPr id="75514808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56C06CD" w14:textId="0DB85B2F" w:rsidR="008D4975" w:rsidRPr="008D4975" w:rsidRDefault="008D4975" w:rsidP="008D4975">
                          <w:pPr>
                            <w:rPr>
                              <w:rFonts w:ascii="Calibri" w:eastAsia="Calibri" w:hAnsi="Calibri" w:cs="Calibri"/>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8D8DBB" id="_x0000_t202" coordsize="21600,21600" o:spt="202" path="m,l,21600r21600,l21600,xe">
              <v:stroke joinstyle="miter"/>
              <v:path gradientshapeok="t" o:connecttype="rect"/>
            </v:shapetype>
            <v:shape id="Text Box 4" o:spid="_x0000_s1037" type="#_x0000_t202" alt="OFFICIAL" style="position:absolute;margin-left:0;margin-top:0;width:43.45pt;height:29.65pt;z-index:25169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textbox style="mso-fit-shape-to-text:t" inset="0,0,0,15pt">
                <w:txbxContent>
                  <w:p w14:paraId="256C06CD" w14:textId="0DB85B2F" w:rsidR="008D4975" w:rsidRPr="008D4975" w:rsidRDefault="008D4975" w:rsidP="008D4975">
                    <w:pPr>
                      <w:rPr>
                        <w:rFonts w:ascii="Calibri" w:eastAsia="Calibri" w:hAnsi="Calibri" w:cs="Calibri"/>
                        <w:color w:val="FF0000"/>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4E3DE" w14:textId="77777777" w:rsidR="001C638C" w:rsidRPr="008D4975" w:rsidRDefault="001C638C" w:rsidP="003042F2">
      <w:r w:rsidRPr="008D4975">
        <w:separator/>
      </w:r>
    </w:p>
  </w:footnote>
  <w:footnote w:type="continuationSeparator" w:id="0">
    <w:p w14:paraId="171954F0" w14:textId="77777777" w:rsidR="001C638C" w:rsidRPr="008D4975" w:rsidRDefault="001C638C" w:rsidP="003042F2">
      <w:r w:rsidRPr="008D49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D1AF7" w14:textId="32C068DE" w:rsidR="008D4975" w:rsidRPr="008D4975" w:rsidRDefault="008D4975">
    <w:pPr>
      <w:pStyle w:val="Header"/>
    </w:pPr>
    <w:r w:rsidRPr="008D4975">
      <w:rPr>
        <w:noProof/>
        <w14:ligatures w14:val="standardContextual"/>
      </w:rPr>
      <mc:AlternateContent>
        <mc:Choice Requires="wps">
          <w:drawing>
            <wp:anchor distT="0" distB="0" distL="0" distR="0" simplePos="0" relativeHeight="251688960" behindDoc="0" locked="0" layoutInCell="1" allowOverlap="1" wp14:anchorId="1A83D0C3" wp14:editId="05F8EA3C">
              <wp:simplePos x="635" y="635"/>
              <wp:positionH relativeFrom="page">
                <wp:align>center</wp:align>
              </wp:positionH>
              <wp:positionV relativeFrom="page">
                <wp:align>top</wp:align>
              </wp:positionV>
              <wp:extent cx="551815" cy="376555"/>
              <wp:effectExtent l="0" t="0" r="635" b="4445"/>
              <wp:wrapNone/>
              <wp:docPr id="205978889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F66893C" w14:textId="1BABCCBE" w:rsidR="008D4975" w:rsidRPr="008D4975" w:rsidRDefault="008D4975" w:rsidP="008D4975">
                          <w:pPr>
                            <w:rPr>
                              <w:rFonts w:ascii="Calibri" w:eastAsia="Calibri" w:hAnsi="Calibri" w:cs="Calibri"/>
                              <w:color w:val="FF0000"/>
                              <w:sz w:val="24"/>
                              <w:szCs w:val="24"/>
                            </w:rPr>
                          </w:pPr>
                          <w:r w:rsidRPr="008D4975">
                            <w:rPr>
                              <w:rFonts w:ascii="Calibri" w:eastAsia="Calibri" w:hAnsi="Calibri" w:cs="Calibri"/>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83D0C3" id="_x0000_t202" coordsize="21600,21600" o:spt="202" path="m,l,21600r21600,l21600,xe">
              <v:stroke joinstyle="miter"/>
              <v:path gradientshapeok="t" o:connecttype="rect"/>
            </v:shapetype>
            <v:shape id="Text Box 2" o:spid="_x0000_s1031" type="#_x0000_t202" alt="OFFICIAL" style="position:absolute;margin-left:0;margin-top:0;width:43.45pt;height:29.65pt;z-index:2516889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7F66893C" w14:textId="1BABCCBE" w:rsidR="008D4975" w:rsidRPr="008D4975" w:rsidRDefault="008D4975" w:rsidP="008D4975">
                    <w:pPr>
                      <w:rPr>
                        <w:rFonts w:ascii="Calibri" w:eastAsia="Calibri" w:hAnsi="Calibri" w:cs="Calibri"/>
                        <w:color w:val="FF0000"/>
                        <w:sz w:val="24"/>
                        <w:szCs w:val="24"/>
                      </w:rPr>
                    </w:pPr>
                    <w:r w:rsidRPr="008D4975">
                      <w:rPr>
                        <w:rFonts w:ascii="Calibri" w:eastAsia="Calibri" w:hAnsi="Calibri" w:cs="Calibri"/>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7E24" w14:textId="7F9753CB" w:rsidR="00716374" w:rsidRPr="008D4975" w:rsidRDefault="00C310B5">
    <w:pPr>
      <w:pStyle w:val="Header"/>
    </w:pPr>
    <w:r>
      <w:rPr>
        <w:noProof/>
        <w14:ligatures w14:val="standardContextual"/>
      </w:rPr>
      <w:drawing>
        <wp:inline distT="0" distB="0" distL="0" distR="0" wp14:anchorId="6B768CCD" wp14:editId="7997221D">
          <wp:extent cx="3349759" cy="697993"/>
          <wp:effectExtent l="0" t="0" r="3175" b="6985"/>
          <wp:docPr id="1315779483" name="Picture 1" descr="Department of Health, Disability and Ageing, Office of the Gene Technology Regulat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779483" name="Picture 1" descr="Department of Health, Disability and Ageing, Office of the Gene Technology Regulator logo"/>
                  <pic:cNvPicPr/>
                </pic:nvPicPr>
                <pic:blipFill>
                  <a:blip r:embed="rId1">
                    <a:extLst>
                      <a:ext uri="{28A0092B-C50C-407E-A947-70E740481C1C}">
                        <a14:useLocalDpi xmlns:a14="http://schemas.microsoft.com/office/drawing/2010/main" val="0"/>
                      </a:ext>
                    </a:extLst>
                  </a:blip>
                  <a:stretch>
                    <a:fillRect/>
                  </a:stretch>
                </pic:blipFill>
                <pic:spPr>
                  <a:xfrm>
                    <a:off x="0" y="0"/>
                    <a:ext cx="3349759" cy="69799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0BD1F" w14:textId="665FEC97" w:rsidR="00716374" w:rsidRPr="008D4975" w:rsidRDefault="00C310B5">
    <w:pPr>
      <w:pStyle w:val="Header"/>
    </w:pPr>
    <w:r>
      <w:rPr>
        <w:noProof/>
        <w14:ligatures w14:val="standardContextual"/>
      </w:rPr>
      <w:drawing>
        <wp:inline distT="0" distB="0" distL="0" distR="0" wp14:anchorId="09043BA5" wp14:editId="556B0197">
          <wp:extent cx="3349759" cy="697993"/>
          <wp:effectExtent l="0" t="0" r="3175" b="6985"/>
          <wp:docPr id="1127838451" name="Picture 2" descr="Department of Health, Disability and Ageing, Office of the Gene Technology Regulat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838451" name="Picture 2" descr="Department of Health, Disability and Ageing, Office of the Gene Technology Regulator logo"/>
                  <pic:cNvPicPr/>
                </pic:nvPicPr>
                <pic:blipFill>
                  <a:blip r:embed="rId1">
                    <a:extLst>
                      <a:ext uri="{28A0092B-C50C-407E-A947-70E740481C1C}">
                        <a14:useLocalDpi xmlns:a14="http://schemas.microsoft.com/office/drawing/2010/main" val="0"/>
                      </a:ext>
                    </a:extLst>
                  </a:blip>
                  <a:stretch>
                    <a:fillRect/>
                  </a:stretch>
                </pic:blipFill>
                <pic:spPr>
                  <a:xfrm>
                    <a:off x="0" y="0"/>
                    <a:ext cx="3349759" cy="697993"/>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C4F83" w14:textId="2F844BAA" w:rsidR="00197FEA" w:rsidRPr="008D4975" w:rsidRDefault="00197F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C15"/>
    <w:multiLevelType w:val="hybridMultilevel"/>
    <w:tmpl w:val="18ACB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716D66"/>
    <w:multiLevelType w:val="hybridMultilevel"/>
    <w:tmpl w:val="499C6B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0B52D41"/>
    <w:multiLevelType w:val="hybridMultilevel"/>
    <w:tmpl w:val="A3C2CB62"/>
    <w:lvl w:ilvl="0" w:tplc="ED48A13C">
      <w:start w:val="1"/>
      <w:numFmt w:val="bullet"/>
      <w:lvlText w:val=""/>
      <w:lvlJc w:val="left"/>
      <w:pPr>
        <w:ind w:left="720" w:hanging="360"/>
      </w:pPr>
      <w:rPr>
        <w:rFonts w:ascii="Wingdings" w:hAnsi="Wingdings"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EF468A"/>
    <w:multiLevelType w:val="hybridMultilevel"/>
    <w:tmpl w:val="760059BC"/>
    <w:lvl w:ilvl="0" w:tplc="0C090001">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927C76"/>
    <w:multiLevelType w:val="hybridMultilevel"/>
    <w:tmpl w:val="E932E6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E244669"/>
    <w:multiLevelType w:val="hybridMultilevel"/>
    <w:tmpl w:val="E3246BC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2E3723E4"/>
    <w:multiLevelType w:val="hybridMultilevel"/>
    <w:tmpl w:val="2F2645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36616800"/>
    <w:multiLevelType w:val="hybridMultilevel"/>
    <w:tmpl w:val="4544C402"/>
    <w:lvl w:ilvl="0" w:tplc="29BC6796">
      <w:start w:val="1"/>
      <w:numFmt w:val="decimal"/>
      <w:lvlText w:val="%1."/>
      <w:lvlJc w:val="left"/>
      <w:pPr>
        <w:ind w:left="1020" w:hanging="360"/>
      </w:pPr>
    </w:lvl>
    <w:lvl w:ilvl="1" w:tplc="8136626E">
      <w:start w:val="1"/>
      <w:numFmt w:val="decimal"/>
      <w:lvlText w:val="%2."/>
      <w:lvlJc w:val="left"/>
      <w:pPr>
        <w:ind w:left="1020" w:hanging="360"/>
      </w:pPr>
    </w:lvl>
    <w:lvl w:ilvl="2" w:tplc="6F9E827A">
      <w:start w:val="1"/>
      <w:numFmt w:val="decimal"/>
      <w:lvlText w:val="%3."/>
      <w:lvlJc w:val="left"/>
      <w:pPr>
        <w:ind w:left="1020" w:hanging="360"/>
      </w:pPr>
    </w:lvl>
    <w:lvl w:ilvl="3" w:tplc="F3CC59D4">
      <w:start w:val="1"/>
      <w:numFmt w:val="decimal"/>
      <w:lvlText w:val="%4."/>
      <w:lvlJc w:val="left"/>
      <w:pPr>
        <w:ind w:left="1020" w:hanging="360"/>
      </w:pPr>
    </w:lvl>
    <w:lvl w:ilvl="4" w:tplc="9C70DDCC">
      <w:start w:val="1"/>
      <w:numFmt w:val="decimal"/>
      <w:lvlText w:val="%5."/>
      <w:lvlJc w:val="left"/>
      <w:pPr>
        <w:ind w:left="1020" w:hanging="360"/>
      </w:pPr>
    </w:lvl>
    <w:lvl w:ilvl="5" w:tplc="81C26D1E">
      <w:start w:val="1"/>
      <w:numFmt w:val="decimal"/>
      <w:lvlText w:val="%6."/>
      <w:lvlJc w:val="left"/>
      <w:pPr>
        <w:ind w:left="1020" w:hanging="360"/>
      </w:pPr>
    </w:lvl>
    <w:lvl w:ilvl="6" w:tplc="B2E69D00">
      <w:start w:val="1"/>
      <w:numFmt w:val="decimal"/>
      <w:lvlText w:val="%7."/>
      <w:lvlJc w:val="left"/>
      <w:pPr>
        <w:ind w:left="1020" w:hanging="360"/>
      </w:pPr>
    </w:lvl>
    <w:lvl w:ilvl="7" w:tplc="87DA4F66">
      <w:start w:val="1"/>
      <w:numFmt w:val="decimal"/>
      <w:lvlText w:val="%8."/>
      <w:lvlJc w:val="left"/>
      <w:pPr>
        <w:ind w:left="1020" w:hanging="360"/>
      </w:pPr>
    </w:lvl>
    <w:lvl w:ilvl="8" w:tplc="6EC4D7EC">
      <w:start w:val="1"/>
      <w:numFmt w:val="decimal"/>
      <w:lvlText w:val="%9."/>
      <w:lvlJc w:val="left"/>
      <w:pPr>
        <w:ind w:left="1020" w:hanging="360"/>
      </w:pPr>
    </w:lvl>
  </w:abstractNum>
  <w:abstractNum w:abstractNumId="8" w15:restartNumberingAfterBreak="0">
    <w:nsid w:val="41743B74"/>
    <w:multiLevelType w:val="hybridMultilevel"/>
    <w:tmpl w:val="3B56D7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46EB58F4"/>
    <w:multiLevelType w:val="hybridMultilevel"/>
    <w:tmpl w:val="C14C2FC8"/>
    <w:lvl w:ilvl="0" w:tplc="1B18EB5E">
      <w:numFmt w:val="bullet"/>
      <w:lvlText w:val=""/>
      <w:lvlJc w:val="left"/>
      <w:pPr>
        <w:ind w:left="720" w:hanging="360"/>
      </w:pPr>
      <w:rPr>
        <w:rFonts w:ascii="Symbol" w:eastAsia="Aptos"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5CCE15DE"/>
    <w:multiLevelType w:val="hybridMultilevel"/>
    <w:tmpl w:val="559E16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615836AD"/>
    <w:multiLevelType w:val="hybridMultilevel"/>
    <w:tmpl w:val="7B028398"/>
    <w:lvl w:ilvl="0" w:tplc="1B18EB5E">
      <w:numFmt w:val="bullet"/>
      <w:lvlText w:val=""/>
      <w:lvlJc w:val="left"/>
      <w:pPr>
        <w:ind w:left="644" w:hanging="360"/>
      </w:pPr>
      <w:rPr>
        <w:rFonts w:ascii="Symbol" w:eastAsia="Aptos" w:hAnsi="Symbol" w:cs="Times New Roman"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2" w15:restartNumberingAfterBreak="0">
    <w:nsid w:val="6B81017F"/>
    <w:multiLevelType w:val="hybridMultilevel"/>
    <w:tmpl w:val="3C7CB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3332FD1"/>
    <w:multiLevelType w:val="multilevel"/>
    <w:tmpl w:val="43E0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E21732"/>
    <w:multiLevelType w:val="hybridMultilevel"/>
    <w:tmpl w:val="B86EDBB6"/>
    <w:lvl w:ilvl="0" w:tplc="92BA6796">
      <w:numFmt w:val="bullet"/>
      <w:lvlText w:val=""/>
      <w:lvlJc w:val="left"/>
      <w:pPr>
        <w:ind w:left="720" w:hanging="360"/>
      </w:pPr>
      <w:rPr>
        <w:rFonts w:ascii="Symbol" w:eastAsia="Aptos" w:hAnsi="Symbol"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41835623">
    <w:abstractNumId w:val="1"/>
  </w:num>
  <w:num w:numId="2" w16cid:durableId="27879310">
    <w:abstractNumId w:val="4"/>
  </w:num>
  <w:num w:numId="3" w16cid:durableId="636648506">
    <w:abstractNumId w:val="10"/>
  </w:num>
  <w:num w:numId="4" w16cid:durableId="109013742">
    <w:abstractNumId w:val="9"/>
  </w:num>
  <w:num w:numId="5" w16cid:durableId="175385598">
    <w:abstractNumId w:val="6"/>
  </w:num>
  <w:num w:numId="6" w16cid:durableId="118839896">
    <w:abstractNumId w:val="7"/>
  </w:num>
  <w:num w:numId="7" w16cid:durableId="1579746713">
    <w:abstractNumId w:val="12"/>
  </w:num>
  <w:num w:numId="8" w16cid:durableId="735277017">
    <w:abstractNumId w:val="5"/>
  </w:num>
  <w:num w:numId="9" w16cid:durableId="856625870">
    <w:abstractNumId w:val="2"/>
  </w:num>
  <w:num w:numId="10" w16cid:durableId="240910853">
    <w:abstractNumId w:val="3"/>
  </w:num>
  <w:num w:numId="11" w16cid:durableId="1870289778">
    <w:abstractNumId w:val="8"/>
  </w:num>
  <w:num w:numId="12" w16cid:durableId="1890608166">
    <w:abstractNumId w:val="8"/>
  </w:num>
  <w:num w:numId="13" w16cid:durableId="68236653">
    <w:abstractNumId w:val="11"/>
  </w:num>
  <w:num w:numId="14" w16cid:durableId="757557965">
    <w:abstractNumId w:val="14"/>
  </w:num>
  <w:num w:numId="15" w16cid:durableId="1235313307">
    <w:abstractNumId w:val="13"/>
  </w:num>
  <w:num w:numId="16" w16cid:durableId="469059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2F2"/>
    <w:rsid w:val="00001159"/>
    <w:rsid w:val="000145D7"/>
    <w:rsid w:val="00014C87"/>
    <w:rsid w:val="000207CD"/>
    <w:rsid w:val="000268F2"/>
    <w:rsid w:val="00036ADD"/>
    <w:rsid w:val="00043457"/>
    <w:rsid w:val="00054876"/>
    <w:rsid w:val="000610C2"/>
    <w:rsid w:val="00065B11"/>
    <w:rsid w:val="00071956"/>
    <w:rsid w:val="00085451"/>
    <w:rsid w:val="000943C0"/>
    <w:rsid w:val="000B21E3"/>
    <w:rsid w:val="000B23E5"/>
    <w:rsid w:val="000B6ACD"/>
    <w:rsid w:val="000B6B52"/>
    <w:rsid w:val="000D085F"/>
    <w:rsid w:val="000D1DF5"/>
    <w:rsid w:val="000D280D"/>
    <w:rsid w:val="000D63CE"/>
    <w:rsid w:val="000E312D"/>
    <w:rsid w:val="000F1C72"/>
    <w:rsid w:val="000F2F74"/>
    <w:rsid w:val="000F70E2"/>
    <w:rsid w:val="00102C50"/>
    <w:rsid w:val="00107D73"/>
    <w:rsid w:val="00111BE4"/>
    <w:rsid w:val="001146DB"/>
    <w:rsid w:val="00117318"/>
    <w:rsid w:val="00120B9B"/>
    <w:rsid w:val="00122C63"/>
    <w:rsid w:val="001330B7"/>
    <w:rsid w:val="00135262"/>
    <w:rsid w:val="001569A3"/>
    <w:rsid w:val="00157C0F"/>
    <w:rsid w:val="00160349"/>
    <w:rsid w:val="00163304"/>
    <w:rsid w:val="00164BA1"/>
    <w:rsid w:val="00166C9C"/>
    <w:rsid w:val="001673C8"/>
    <w:rsid w:val="0017068A"/>
    <w:rsid w:val="00170E01"/>
    <w:rsid w:val="00183B9F"/>
    <w:rsid w:val="00195ACC"/>
    <w:rsid w:val="00197FEA"/>
    <w:rsid w:val="001A2019"/>
    <w:rsid w:val="001A5AAC"/>
    <w:rsid w:val="001A7190"/>
    <w:rsid w:val="001A750A"/>
    <w:rsid w:val="001B5734"/>
    <w:rsid w:val="001C235B"/>
    <w:rsid w:val="001C638C"/>
    <w:rsid w:val="001D0886"/>
    <w:rsid w:val="001D1889"/>
    <w:rsid w:val="001D480B"/>
    <w:rsid w:val="001E056F"/>
    <w:rsid w:val="001E40D4"/>
    <w:rsid w:val="001E6E42"/>
    <w:rsid w:val="001F33F2"/>
    <w:rsid w:val="001F7D91"/>
    <w:rsid w:val="0020375C"/>
    <w:rsid w:val="002162A0"/>
    <w:rsid w:val="00217842"/>
    <w:rsid w:val="00240A13"/>
    <w:rsid w:val="002411B7"/>
    <w:rsid w:val="002424D8"/>
    <w:rsid w:val="00245C1B"/>
    <w:rsid w:val="00245CB4"/>
    <w:rsid w:val="00247115"/>
    <w:rsid w:val="00253685"/>
    <w:rsid w:val="00253EFD"/>
    <w:rsid w:val="002570B3"/>
    <w:rsid w:val="002751FD"/>
    <w:rsid w:val="00280050"/>
    <w:rsid w:val="00280BDD"/>
    <w:rsid w:val="00287373"/>
    <w:rsid w:val="00292C4C"/>
    <w:rsid w:val="002A1EC2"/>
    <w:rsid w:val="002A3679"/>
    <w:rsid w:val="002A604A"/>
    <w:rsid w:val="002B5A67"/>
    <w:rsid w:val="002C0C63"/>
    <w:rsid w:val="002C2342"/>
    <w:rsid w:val="002C7CA3"/>
    <w:rsid w:val="002D206B"/>
    <w:rsid w:val="002D4AA0"/>
    <w:rsid w:val="002F4832"/>
    <w:rsid w:val="0030201D"/>
    <w:rsid w:val="003042F2"/>
    <w:rsid w:val="00311BA7"/>
    <w:rsid w:val="00312419"/>
    <w:rsid w:val="00314340"/>
    <w:rsid w:val="00320DAD"/>
    <w:rsid w:val="00323663"/>
    <w:rsid w:val="0032532F"/>
    <w:rsid w:val="003278B0"/>
    <w:rsid w:val="003349B7"/>
    <w:rsid w:val="0034347E"/>
    <w:rsid w:val="00347EEC"/>
    <w:rsid w:val="00353724"/>
    <w:rsid w:val="0035526F"/>
    <w:rsid w:val="00364B89"/>
    <w:rsid w:val="003674E2"/>
    <w:rsid w:val="00370F91"/>
    <w:rsid w:val="0037701B"/>
    <w:rsid w:val="00387584"/>
    <w:rsid w:val="003943AA"/>
    <w:rsid w:val="003A1064"/>
    <w:rsid w:val="003A2BE9"/>
    <w:rsid w:val="003B429F"/>
    <w:rsid w:val="003B5EBB"/>
    <w:rsid w:val="003C435B"/>
    <w:rsid w:val="003C4853"/>
    <w:rsid w:val="003C7A9A"/>
    <w:rsid w:val="003E669C"/>
    <w:rsid w:val="003F2EAD"/>
    <w:rsid w:val="003F42CF"/>
    <w:rsid w:val="00404A08"/>
    <w:rsid w:val="00410E4B"/>
    <w:rsid w:val="00416F0A"/>
    <w:rsid w:val="00427EB1"/>
    <w:rsid w:val="004377D3"/>
    <w:rsid w:val="00443368"/>
    <w:rsid w:val="00443B75"/>
    <w:rsid w:val="00450C50"/>
    <w:rsid w:val="00452593"/>
    <w:rsid w:val="00460A83"/>
    <w:rsid w:val="004616A1"/>
    <w:rsid w:val="00461720"/>
    <w:rsid w:val="0046230F"/>
    <w:rsid w:val="00462992"/>
    <w:rsid w:val="004656C6"/>
    <w:rsid w:val="00471F2E"/>
    <w:rsid w:val="00472C0A"/>
    <w:rsid w:val="00472C6C"/>
    <w:rsid w:val="00487150"/>
    <w:rsid w:val="004923A8"/>
    <w:rsid w:val="0049532D"/>
    <w:rsid w:val="004B04B9"/>
    <w:rsid w:val="004B1230"/>
    <w:rsid w:val="004B4062"/>
    <w:rsid w:val="004B6920"/>
    <w:rsid w:val="004C7296"/>
    <w:rsid w:val="004D0E6C"/>
    <w:rsid w:val="004D3BC5"/>
    <w:rsid w:val="004E6B2A"/>
    <w:rsid w:val="004F0598"/>
    <w:rsid w:val="004F104F"/>
    <w:rsid w:val="004F1219"/>
    <w:rsid w:val="004F50CF"/>
    <w:rsid w:val="004F7342"/>
    <w:rsid w:val="00512C48"/>
    <w:rsid w:val="0052210A"/>
    <w:rsid w:val="00524BBC"/>
    <w:rsid w:val="00525F6C"/>
    <w:rsid w:val="0052617F"/>
    <w:rsid w:val="00527C5D"/>
    <w:rsid w:val="0053089C"/>
    <w:rsid w:val="00534951"/>
    <w:rsid w:val="00537F76"/>
    <w:rsid w:val="0054371C"/>
    <w:rsid w:val="0054737C"/>
    <w:rsid w:val="00551006"/>
    <w:rsid w:val="00555171"/>
    <w:rsid w:val="00565219"/>
    <w:rsid w:val="0056658C"/>
    <w:rsid w:val="00566898"/>
    <w:rsid w:val="005718B3"/>
    <w:rsid w:val="00571989"/>
    <w:rsid w:val="00582480"/>
    <w:rsid w:val="005842E0"/>
    <w:rsid w:val="00584A86"/>
    <w:rsid w:val="00597169"/>
    <w:rsid w:val="005A15CE"/>
    <w:rsid w:val="005A213C"/>
    <w:rsid w:val="005A2A9C"/>
    <w:rsid w:val="005A55AA"/>
    <w:rsid w:val="005A560F"/>
    <w:rsid w:val="005C233F"/>
    <w:rsid w:val="005C3F70"/>
    <w:rsid w:val="005D0CB2"/>
    <w:rsid w:val="005D1AEF"/>
    <w:rsid w:val="005D7BB1"/>
    <w:rsid w:val="005E0F39"/>
    <w:rsid w:val="005F1AED"/>
    <w:rsid w:val="005F701B"/>
    <w:rsid w:val="006051AA"/>
    <w:rsid w:val="006057CF"/>
    <w:rsid w:val="006073DF"/>
    <w:rsid w:val="0062150D"/>
    <w:rsid w:val="0063290B"/>
    <w:rsid w:val="00634BB5"/>
    <w:rsid w:val="00635996"/>
    <w:rsid w:val="006466D7"/>
    <w:rsid w:val="0064786F"/>
    <w:rsid w:val="006518FE"/>
    <w:rsid w:val="00652126"/>
    <w:rsid w:val="006525DA"/>
    <w:rsid w:val="00660542"/>
    <w:rsid w:val="006646BF"/>
    <w:rsid w:val="0066794C"/>
    <w:rsid w:val="006709EA"/>
    <w:rsid w:val="00671584"/>
    <w:rsid w:val="00671DC1"/>
    <w:rsid w:val="006774EF"/>
    <w:rsid w:val="00682B67"/>
    <w:rsid w:val="00683FCD"/>
    <w:rsid w:val="006847A0"/>
    <w:rsid w:val="006B288D"/>
    <w:rsid w:val="006B5DD2"/>
    <w:rsid w:val="006C560D"/>
    <w:rsid w:val="006C5C48"/>
    <w:rsid w:val="006C5F42"/>
    <w:rsid w:val="006C7CC2"/>
    <w:rsid w:val="006D1DFE"/>
    <w:rsid w:val="006D27D0"/>
    <w:rsid w:val="006D3946"/>
    <w:rsid w:val="006D60D3"/>
    <w:rsid w:val="006E2CC6"/>
    <w:rsid w:val="006E5567"/>
    <w:rsid w:val="006F14DE"/>
    <w:rsid w:val="006F7692"/>
    <w:rsid w:val="00702824"/>
    <w:rsid w:val="00702CB7"/>
    <w:rsid w:val="007048FE"/>
    <w:rsid w:val="0070696E"/>
    <w:rsid w:val="007156E8"/>
    <w:rsid w:val="00715CC7"/>
    <w:rsid w:val="00716374"/>
    <w:rsid w:val="007167D5"/>
    <w:rsid w:val="00726DA9"/>
    <w:rsid w:val="007543B4"/>
    <w:rsid w:val="0076103B"/>
    <w:rsid w:val="00765813"/>
    <w:rsid w:val="00775516"/>
    <w:rsid w:val="00784E35"/>
    <w:rsid w:val="0079132F"/>
    <w:rsid w:val="00792401"/>
    <w:rsid w:val="00797739"/>
    <w:rsid w:val="007A05DA"/>
    <w:rsid w:val="007A70F1"/>
    <w:rsid w:val="007A7C3F"/>
    <w:rsid w:val="007B0C08"/>
    <w:rsid w:val="007B2287"/>
    <w:rsid w:val="007C1AB3"/>
    <w:rsid w:val="007C3836"/>
    <w:rsid w:val="007C4843"/>
    <w:rsid w:val="007C683F"/>
    <w:rsid w:val="007D2423"/>
    <w:rsid w:val="007D622D"/>
    <w:rsid w:val="007D648C"/>
    <w:rsid w:val="007D77D2"/>
    <w:rsid w:val="007E03C0"/>
    <w:rsid w:val="007E0A0E"/>
    <w:rsid w:val="007E0C10"/>
    <w:rsid w:val="007E284C"/>
    <w:rsid w:val="007E5939"/>
    <w:rsid w:val="007E5C24"/>
    <w:rsid w:val="007E7316"/>
    <w:rsid w:val="007E7F93"/>
    <w:rsid w:val="007F5CF9"/>
    <w:rsid w:val="00810EA2"/>
    <w:rsid w:val="008219AF"/>
    <w:rsid w:val="00823DAB"/>
    <w:rsid w:val="00833400"/>
    <w:rsid w:val="00833ECA"/>
    <w:rsid w:val="0083724B"/>
    <w:rsid w:val="00844306"/>
    <w:rsid w:val="00853F23"/>
    <w:rsid w:val="00863562"/>
    <w:rsid w:val="0086547F"/>
    <w:rsid w:val="00867C90"/>
    <w:rsid w:val="008739C8"/>
    <w:rsid w:val="00874141"/>
    <w:rsid w:val="0087489A"/>
    <w:rsid w:val="00875427"/>
    <w:rsid w:val="00875537"/>
    <w:rsid w:val="0087593D"/>
    <w:rsid w:val="00880616"/>
    <w:rsid w:val="008825CC"/>
    <w:rsid w:val="00882734"/>
    <w:rsid w:val="008855CB"/>
    <w:rsid w:val="00885EB4"/>
    <w:rsid w:val="00890B8A"/>
    <w:rsid w:val="00897AF3"/>
    <w:rsid w:val="008A0581"/>
    <w:rsid w:val="008A43AE"/>
    <w:rsid w:val="008A6FFA"/>
    <w:rsid w:val="008B38AD"/>
    <w:rsid w:val="008C02B2"/>
    <w:rsid w:val="008C18B8"/>
    <w:rsid w:val="008C2143"/>
    <w:rsid w:val="008C251F"/>
    <w:rsid w:val="008C4E0F"/>
    <w:rsid w:val="008D4975"/>
    <w:rsid w:val="008D4E61"/>
    <w:rsid w:val="008D7001"/>
    <w:rsid w:val="008D72EF"/>
    <w:rsid w:val="008D762E"/>
    <w:rsid w:val="008E0489"/>
    <w:rsid w:val="008F306D"/>
    <w:rsid w:val="008F3084"/>
    <w:rsid w:val="008F6979"/>
    <w:rsid w:val="00900F07"/>
    <w:rsid w:val="00910C0F"/>
    <w:rsid w:val="00917992"/>
    <w:rsid w:val="009210BD"/>
    <w:rsid w:val="009212DD"/>
    <w:rsid w:val="00921537"/>
    <w:rsid w:val="00935AEF"/>
    <w:rsid w:val="009377F1"/>
    <w:rsid w:val="00947BD7"/>
    <w:rsid w:val="0096089E"/>
    <w:rsid w:val="00961E68"/>
    <w:rsid w:val="009707B0"/>
    <w:rsid w:val="00974212"/>
    <w:rsid w:val="0097624E"/>
    <w:rsid w:val="00980329"/>
    <w:rsid w:val="00986E1F"/>
    <w:rsid w:val="0099096B"/>
    <w:rsid w:val="009A49BE"/>
    <w:rsid w:val="009A53F1"/>
    <w:rsid w:val="009B75D5"/>
    <w:rsid w:val="009C3B0F"/>
    <w:rsid w:val="009C7D67"/>
    <w:rsid w:val="009E64A3"/>
    <w:rsid w:val="009F7361"/>
    <w:rsid w:val="00A05489"/>
    <w:rsid w:val="00A1151C"/>
    <w:rsid w:val="00A21EE5"/>
    <w:rsid w:val="00A247F2"/>
    <w:rsid w:val="00A36DF6"/>
    <w:rsid w:val="00A51EF7"/>
    <w:rsid w:val="00A52946"/>
    <w:rsid w:val="00A53391"/>
    <w:rsid w:val="00A56457"/>
    <w:rsid w:val="00A6414E"/>
    <w:rsid w:val="00A64753"/>
    <w:rsid w:val="00A66DDA"/>
    <w:rsid w:val="00A709FE"/>
    <w:rsid w:val="00A72424"/>
    <w:rsid w:val="00A7636B"/>
    <w:rsid w:val="00A82992"/>
    <w:rsid w:val="00A83F2D"/>
    <w:rsid w:val="00A842FE"/>
    <w:rsid w:val="00A91819"/>
    <w:rsid w:val="00A92AD1"/>
    <w:rsid w:val="00A94BE6"/>
    <w:rsid w:val="00AA018B"/>
    <w:rsid w:val="00AA166C"/>
    <w:rsid w:val="00AA67B0"/>
    <w:rsid w:val="00AC62B3"/>
    <w:rsid w:val="00AD374F"/>
    <w:rsid w:val="00AD733B"/>
    <w:rsid w:val="00AD7F94"/>
    <w:rsid w:val="00AE11A8"/>
    <w:rsid w:val="00AF2E34"/>
    <w:rsid w:val="00AF3C98"/>
    <w:rsid w:val="00AF4D3E"/>
    <w:rsid w:val="00B16213"/>
    <w:rsid w:val="00B1770E"/>
    <w:rsid w:val="00B254A4"/>
    <w:rsid w:val="00B35FF1"/>
    <w:rsid w:val="00B37A26"/>
    <w:rsid w:val="00B43ACF"/>
    <w:rsid w:val="00B43CEB"/>
    <w:rsid w:val="00B55649"/>
    <w:rsid w:val="00B57370"/>
    <w:rsid w:val="00B64EF4"/>
    <w:rsid w:val="00B652EC"/>
    <w:rsid w:val="00B671F6"/>
    <w:rsid w:val="00B70745"/>
    <w:rsid w:val="00B942B8"/>
    <w:rsid w:val="00B96A07"/>
    <w:rsid w:val="00BB16AD"/>
    <w:rsid w:val="00BB7A07"/>
    <w:rsid w:val="00BC36FC"/>
    <w:rsid w:val="00BC3F7A"/>
    <w:rsid w:val="00BC7A2B"/>
    <w:rsid w:val="00BE0280"/>
    <w:rsid w:val="00BE34BE"/>
    <w:rsid w:val="00BE34D4"/>
    <w:rsid w:val="00BE3DD0"/>
    <w:rsid w:val="00BE5F13"/>
    <w:rsid w:val="00BE7276"/>
    <w:rsid w:val="00BE7E37"/>
    <w:rsid w:val="00BF259E"/>
    <w:rsid w:val="00BF41D4"/>
    <w:rsid w:val="00BF61B3"/>
    <w:rsid w:val="00BF79B8"/>
    <w:rsid w:val="00C007CD"/>
    <w:rsid w:val="00C108D1"/>
    <w:rsid w:val="00C21D5F"/>
    <w:rsid w:val="00C30FFF"/>
    <w:rsid w:val="00C310B5"/>
    <w:rsid w:val="00C35C54"/>
    <w:rsid w:val="00C51951"/>
    <w:rsid w:val="00C574BA"/>
    <w:rsid w:val="00C605A5"/>
    <w:rsid w:val="00C620D9"/>
    <w:rsid w:val="00C6706F"/>
    <w:rsid w:val="00C711CF"/>
    <w:rsid w:val="00C716A5"/>
    <w:rsid w:val="00C83F15"/>
    <w:rsid w:val="00C87EE2"/>
    <w:rsid w:val="00C937F4"/>
    <w:rsid w:val="00C97850"/>
    <w:rsid w:val="00CA3B76"/>
    <w:rsid w:val="00CB17AA"/>
    <w:rsid w:val="00CB7DEE"/>
    <w:rsid w:val="00CC0D46"/>
    <w:rsid w:val="00CC7201"/>
    <w:rsid w:val="00CE32C1"/>
    <w:rsid w:val="00CE6046"/>
    <w:rsid w:val="00CE644B"/>
    <w:rsid w:val="00CF657F"/>
    <w:rsid w:val="00D00352"/>
    <w:rsid w:val="00D006FF"/>
    <w:rsid w:val="00D04EBD"/>
    <w:rsid w:val="00D06341"/>
    <w:rsid w:val="00D135FB"/>
    <w:rsid w:val="00D17961"/>
    <w:rsid w:val="00D2003D"/>
    <w:rsid w:val="00D2405E"/>
    <w:rsid w:val="00D32436"/>
    <w:rsid w:val="00D32856"/>
    <w:rsid w:val="00D351DC"/>
    <w:rsid w:val="00D46624"/>
    <w:rsid w:val="00D4717D"/>
    <w:rsid w:val="00D54EF3"/>
    <w:rsid w:val="00D55E9A"/>
    <w:rsid w:val="00D60EDD"/>
    <w:rsid w:val="00D620E9"/>
    <w:rsid w:val="00D6523B"/>
    <w:rsid w:val="00D72E3C"/>
    <w:rsid w:val="00D84275"/>
    <w:rsid w:val="00D86746"/>
    <w:rsid w:val="00D870DB"/>
    <w:rsid w:val="00D93971"/>
    <w:rsid w:val="00D93D92"/>
    <w:rsid w:val="00DA275B"/>
    <w:rsid w:val="00DA4B49"/>
    <w:rsid w:val="00DA51AD"/>
    <w:rsid w:val="00DA5F2D"/>
    <w:rsid w:val="00DB6A97"/>
    <w:rsid w:val="00DB772B"/>
    <w:rsid w:val="00DC6B78"/>
    <w:rsid w:val="00DD61BB"/>
    <w:rsid w:val="00DD71CF"/>
    <w:rsid w:val="00DD7CEB"/>
    <w:rsid w:val="00DD7DD5"/>
    <w:rsid w:val="00DE17BF"/>
    <w:rsid w:val="00DE1D0F"/>
    <w:rsid w:val="00DE2B0E"/>
    <w:rsid w:val="00DF042B"/>
    <w:rsid w:val="00DF3D5D"/>
    <w:rsid w:val="00E14AEF"/>
    <w:rsid w:val="00E16DE6"/>
    <w:rsid w:val="00E174F3"/>
    <w:rsid w:val="00E34D14"/>
    <w:rsid w:val="00E43628"/>
    <w:rsid w:val="00E54632"/>
    <w:rsid w:val="00E56B44"/>
    <w:rsid w:val="00E57566"/>
    <w:rsid w:val="00E60347"/>
    <w:rsid w:val="00E603DD"/>
    <w:rsid w:val="00E63A61"/>
    <w:rsid w:val="00E6737E"/>
    <w:rsid w:val="00E70FB9"/>
    <w:rsid w:val="00E750FE"/>
    <w:rsid w:val="00E84BAE"/>
    <w:rsid w:val="00E8570D"/>
    <w:rsid w:val="00E87B57"/>
    <w:rsid w:val="00E91E2B"/>
    <w:rsid w:val="00E924D3"/>
    <w:rsid w:val="00E92AC6"/>
    <w:rsid w:val="00E93FCD"/>
    <w:rsid w:val="00EB10D5"/>
    <w:rsid w:val="00EC4DDF"/>
    <w:rsid w:val="00EC50BD"/>
    <w:rsid w:val="00EE4A3F"/>
    <w:rsid w:val="00EF2C69"/>
    <w:rsid w:val="00EF4C16"/>
    <w:rsid w:val="00EF4DE2"/>
    <w:rsid w:val="00EF4E1A"/>
    <w:rsid w:val="00EF7B99"/>
    <w:rsid w:val="00F01D0A"/>
    <w:rsid w:val="00F105ED"/>
    <w:rsid w:val="00F13702"/>
    <w:rsid w:val="00F14D6C"/>
    <w:rsid w:val="00F17C92"/>
    <w:rsid w:val="00F27093"/>
    <w:rsid w:val="00F3179D"/>
    <w:rsid w:val="00F3257D"/>
    <w:rsid w:val="00F34280"/>
    <w:rsid w:val="00F34C1A"/>
    <w:rsid w:val="00F43C93"/>
    <w:rsid w:val="00F47D03"/>
    <w:rsid w:val="00F62366"/>
    <w:rsid w:val="00F741A5"/>
    <w:rsid w:val="00F76141"/>
    <w:rsid w:val="00F769F8"/>
    <w:rsid w:val="00F76A88"/>
    <w:rsid w:val="00F94596"/>
    <w:rsid w:val="00F94B32"/>
    <w:rsid w:val="00FA6586"/>
    <w:rsid w:val="00FB0605"/>
    <w:rsid w:val="00FB1A41"/>
    <w:rsid w:val="00FB550F"/>
    <w:rsid w:val="00FB585D"/>
    <w:rsid w:val="00FB627C"/>
    <w:rsid w:val="00FC59BB"/>
    <w:rsid w:val="00FD11F6"/>
    <w:rsid w:val="00FD6537"/>
    <w:rsid w:val="00FD78DA"/>
    <w:rsid w:val="00FE2EC7"/>
    <w:rsid w:val="00FE39F1"/>
    <w:rsid w:val="00FF157C"/>
    <w:rsid w:val="00FF35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CC419"/>
  <w15:chartTrackingRefBased/>
  <w15:docId w15:val="{E5C6040E-0567-49DE-91D1-8C2E06357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2F2"/>
    <w:pPr>
      <w:widowControl w:val="0"/>
      <w:autoSpaceDE w:val="0"/>
      <w:autoSpaceDN w:val="0"/>
      <w:spacing w:after="0" w:line="240" w:lineRule="auto"/>
    </w:pPr>
    <w:rPr>
      <w:rFonts w:ascii="Tahoma" w:eastAsia="Tahoma" w:hAnsi="Tahoma" w:cs="Tahoma"/>
      <w:kern w:val="0"/>
      <w:sz w:val="22"/>
      <w:szCs w:val="22"/>
      <w14:ligatures w14:val="none"/>
    </w:rPr>
  </w:style>
  <w:style w:type="paragraph" w:styleId="Heading1">
    <w:name w:val="heading 1"/>
    <w:basedOn w:val="Normal"/>
    <w:link w:val="Heading1Char"/>
    <w:uiPriority w:val="9"/>
    <w:qFormat/>
    <w:rsid w:val="003042F2"/>
    <w:pPr>
      <w:spacing w:before="90"/>
      <w:ind w:left="504"/>
      <w:outlineLvl w:val="0"/>
    </w:pPr>
    <w:rPr>
      <w:b/>
      <w:bCs/>
      <w:sz w:val="32"/>
      <w:szCs w:val="32"/>
    </w:rPr>
  </w:style>
  <w:style w:type="paragraph" w:styleId="Heading3">
    <w:name w:val="heading 3"/>
    <w:basedOn w:val="Normal"/>
    <w:next w:val="Normal"/>
    <w:link w:val="Heading3Char"/>
    <w:uiPriority w:val="9"/>
    <w:unhideWhenUsed/>
    <w:qFormat/>
    <w:rsid w:val="004F734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42F2"/>
    <w:pPr>
      <w:tabs>
        <w:tab w:val="center" w:pos="4513"/>
        <w:tab w:val="right" w:pos="9026"/>
      </w:tabs>
    </w:pPr>
  </w:style>
  <w:style w:type="character" w:customStyle="1" w:styleId="HeaderChar">
    <w:name w:val="Header Char"/>
    <w:basedOn w:val="DefaultParagraphFont"/>
    <w:link w:val="Header"/>
    <w:uiPriority w:val="99"/>
    <w:rsid w:val="003042F2"/>
  </w:style>
  <w:style w:type="paragraph" w:styleId="Footer">
    <w:name w:val="footer"/>
    <w:basedOn w:val="Normal"/>
    <w:link w:val="FooterChar"/>
    <w:uiPriority w:val="99"/>
    <w:unhideWhenUsed/>
    <w:qFormat/>
    <w:rsid w:val="003042F2"/>
    <w:pPr>
      <w:tabs>
        <w:tab w:val="center" w:pos="4513"/>
        <w:tab w:val="right" w:pos="9026"/>
      </w:tabs>
    </w:pPr>
  </w:style>
  <w:style w:type="character" w:customStyle="1" w:styleId="FooterChar">
    <w:name w:val="Footer Char"/>
    <w:basedOn w:val="DefaultParagraphFont"/>
    <w:link w:val="Footer"/>
    <w:uiPriority w:val="99"/>
    <w:rsid w:val="003042F2"/>
  </w:style>
  <w:style w:type="paragraph" w:styleId="NormalWeb">
    <w:name w:val="Normal (Web)"/>
    <w:basedOn w:val="Normal"/>
    <w:uiPriority w:val="99"/>
    <w:semiHidden/>
    <w:unhideWhenUsed/>
    <w:rsid w:val="003042F2"/>
    <w:pPr>
      <w:spacing w:before="100" w:beforeAutospacing="1" w:after="100" w:afterAutospacing="1"/>
    </w:pPr>
    <w:rPr>
      <w:rFonts w:eastAsia="Times New Roman"/>
      <w:lang w:eastAsia="en-AU"/>
    </w:rPr>
  </w:style>
  <w:style w:type="paragraph" w:styleId="BodyText">
    <w:name w:val="Body Text"/>
    <w:basedOn w:val="Normal"/>
    <w:link w:val="BodyTextChar"/>
    <w:uiPriority w:val="1"/>
    <w:qFormat/>
    <w:rsid w:val="003042F2"/>
  </w:style>
  <w:style w:type="character" w:customStyle="1" w:styleId="BodyTextChar">
    <w:name w:val="Body Text Char"/>
    <w:basedOn w:val="DefaultParagraphFont"/>
    <w:link w:val="BodyText"/>
    <w:uiPriority w:val="1"/>
    <w:rsid w:val="003042F2"/>
    <w:rPr>
      <w:rFonts w:ascii="Tahoma" w:eastAsia="Tahoma" w:hAnsi="Tahoma" w:cs="Tahoma"/>
      <w:kern w:val="0"/>
      <w:sz w:val="22"/>
      <w:szCs w:val="22"/>
      <w:lang w:val="en-US"/>
      <w14:ligatures w14:val="none"/>
    </w:rPr>
  </w:style>
  <w:style w:type="character" w:customStyle="1" w:styleId="Heading1Char">
    <w:name w:val="Heading 1 Char"/>
    <w:basedOn w:val="DefaultParagraphFont"/>
    <w:link w:val="Heading1"/>
    <w:uiPriority w:val="9"/>
    <w:rsid w:val="003042F2"/>
    <w:rPr>
      <w:rFonts w:ascii="Tahoma" w:eastAsia="Tahoma" w:hAnsi="Tahoma" w:cs="Tahoma"/>
      <w:b/>
      <w:bCs/>
      <w:kern w:val="0"/>
      <w:sz w:val="32"/>
      <w:szCs w:val="32"/>
      <w:lang w:val="en-US"/>
      <w14:ligatures w14:val="none"/>
    </w:rPr>
  </w:style>
  <w:style w:type="character" w:styleId="Hyperlink">
    <w:name w:val="Hyperlink"/>
    <w:basedOn w:val="DefaultParagraphFont"/>
    <w:uiPriority w:val="99"/>
    <w:unhideWhenUsed/>
    <w:rsid w:val="003042F2"/>
    <w:rPr>
      <w:color w:val="0563C1" w:themeColor="hyperlink"/>
      <w:u w:val="single"/>
    </w:rPr>
  </w:style>
  <w:style w:type="paragraph" w:styleId="Caption">
    <w:name w:val="caption"/>
    <w:basedOn w:val="Normal"/>
    <w:next w:val="Normal"/>
    <w:uiPriority w:val="35"/>
    <w:unhideWhenUsed/>
    <w:qFormat/>
    <w:rsid w:val="003042F2"/>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6D3946"/>
    <w:rPr>
      <w:color w:val="605E5C"/>
      <w:shd w:val="clear" w:color="auto" w:fill="E1DFDD"/>
    </w:rPr>
  </w:style>
  <w:style w:type="paragraph" w:styleId="Revision">
    <w:name w:val="Revision"/>
    <w:hidden/>
    <w:uiPriority w:val="99"/>
    <w:semiHidden/>
    <w:rsid w:val="00551006"/>
    <w:pPr>
      <w:spacing w:after="0" w:line="240" w:lineRule="auto"/>
    </w:pPr>
    <w:rPr>
      <w:rFonts w:ascii="Tahoma" w:eastAsia="Tahoma" w:hAnsi="Tahoma" w:cs="Tahoma"/>
      <w:kern w:val="0"/>
      <w:sz w:val="22"/>
      <w:szCs w:val="22"/>
      <w:lang w:val="en-US"/>
      <w14:ligatures w14:val="none"/>
    </w:rPr>
  </w:style>
  <w:style w:type="character" w:styleId="CommentReference">
    <w:name w:val="annotation reference"/>
    <w:basedOn w:val="DefaultParagraphFont"/>
    <w:uiPriority w:val="99"/>
    <w:semiHidden/>
    <w:unhideWhenUsed/>
    <w:rsid w:val="00551006"/>
    <w:rPr>
      <w:sz w:val="16"/>
      <w:szCs w:val="16"/>
    </w:rPr>
  </w:style>
  <w:style w:type="paragraph" w:styleId="CommentText">
    <w:name w:val="annotation text"/>
    <w:basedOn w:val="Normal"/>
    <w:link w:val="CommentTextChar"/>
    <w:uiPriority w:val="99"/>
    <w:unhideWhenUsed/>
    <w:rsid w:val="00551006"/>
    <w:rPr>
      <w:sz w:val="20"/>
      <w:szCs w:val="20"/>
    </w:rPr>
  </w:style>
  <w:style w:type="character" w:customStyle="1" w:styleId="CommentTextChar">
    <w:name w:val="Comment Text Char"/>
    <w:basedOn w:val="DefaultParagraphFont"/>
    <w:link w:val="CommentText"/>
    <w:uiPriority w:val="99"/>
    <w:rsid w:val="00551006"/>
    <w:rPr>
      <w:rFonts w:ascii="Tahoma" w:eastAsia="Tahoma" w:hAnsi="Tahoma" w:cs="Tahom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551006"/>
    <w:rPr>
      <w:b/>
      <w:bCs/>
    </w:rPr>
  </w:style>
  <w:style w:type="character" w:customStyle="1" w:styleId="CommentSubjectChar">
    <w:name w:val="Comment Subject Char"/>
    <w:basedOn w:val="CommentTextChar"/>
    <w:link w:val="CommentSubject"/>
    <w:uiPriority w:val="99"/>
    <w:semiHidden/>
    <w:rsid w:val="00551006"/>
    <w:rPr>
      <w:rFonts w:ascii="Tahoma" w:eastAsia="Tahoma" w:hAnsi="Tahoma" w:cs="Tahoma"/>
      <w:b/>
      <w:bCs/>
      <w:kern w:val="0"/>
      <w:sz w:val="20"/>
      <w:szCs w:val="20"/>
      <w:lang w:val="en-US"/>
      <w14:ligatures w14:val="none"/>
    </w:rPr>
  </w:style>
  <w:style w:type="character" w:styleId="FollowedHyperlink">
    <w:name w:val="FollowedHyperlink"/>
    <w:basedOn w:val="DefaultParagraphFont"/>
    <w:uiPriority w:val="99"/>
    <w:semiHidden/>
    <w:unhideWhenUsed/>
    <w:rsid w:val="005718B3"/>
    <w:rPr>
      <w:color w:val="954F72" w:themeColor="followedHyperlink"/>
      <w:u w:val="single"/>
    </w:rPr>
  </w:style>
  <w:style w:type="character" w:customStyle="1" w:styleId="Heading3Char">
    <w:name w:val="Heading 3 Char"/>
    <w:basedOn w:val="DefaultParagraphFont"/>
    <w:link w:val="Heading3"/>
    <w:uiPriority w:val="9"/>
    <w:rsid w:val="004F7342"/>
    <w:rPr>
      <w:rFonts w:asciiTheme="majorHAnsi" w:eastAsiaTheme="majorEastAsia" w:hAnsiTheme="majorHAnsi" w:cstheme="majorBidi"/>
      <w:color w:val="1F3763" w:themeColor="accent1" w:themeShade="7F"/>
      <w:kern w:val="0"/>
      <w:lang w:val="en-US"/>
      <w14:ligatures w14:val="none"/>
    </w:rPr>
  </w:style>
  <w:style w:type="paragraph" w:styleId="ListParagraph">
    <w:name w:val="List Paragraph"/>
    <w:basedOn w:val="Normal"/>
    <w:uiPriority w:val="34"/>
    <w:qFormat/>
    <w:rsid w:val="004F7342"/>
    <w:pPr>
      <w:widowControl/>
      <w:autoSpaceDE/>
      <w:autoSpaceDN/>
      <w:ind w:left="720"/>
      <w:contextualSpacing/>
    </w:pPr>
    <w:rPr>
      <w:rFonts w:ascii="Times New Roman" w:eastAsiaTheme="minorHAnsi" w:hAnsi="Times New Roman" w:cs="Times New Roman"/>
      <w:sz w:val="24"/>
      <w:szCs w:val="24"/>
    </w:rPr>
  </w:style>
  <w:style w:type="character" w:customStyle="1" w:styleId="ui-provider">
    <w:name w:val="ui-provider"/>
    <w:basedOn w:val="DefaultParagraphFont"/>
    <w:rsid w:val="0032532F"/>
  </w:style>
  <w:style w:type="paragraph" w:styleId="NoSpacing">
    <w:name w:val="No Spacing"/>
    <w:link w:val="NoSpacingChar"/>
    <w:uiPriority w:val="1"/>
    <w:qFormat/>
    <w:rsid w:val="00DA51AD"/>
    <w:pPr>
      <w:spacing w:after="0" w:line="240" w:lineRule="auto"/>
    </w:pPr>
    <w:rPr>
      <w:rFonts w:asciiTheme="minorHAnsi" w:eastAsiaTheme="minorEastAsia" w:hAnsiTheme="minorHAnsi" w:cstheme="minorBidi"/>
      <w:kern w:val="0"/>
      <w:sz w:val="22"/>
      <w:szCs w:val="22"/>
      <w:lang w:val="en-US"/>
      <w14:ligatures w14:val="none"/>
    </w:rPr>
  </w:style>
  <w:style w:type="character" w:customStyle="1" w:styleId="NoSpacingChar">
    <w:name w:val="No Spacing Char"/>
    <w:basedOn w:val="DefaultParagraphFont"/>
    <w:link w:val="NoSpacing"/>
    <w:uiPriority w:val="1"/>
    <w:rsid w:val="00DA51AD"/>
    <w:rPr>
      <w:rFonts w:asciiTheme="minorHAnsi" w:eastAsiaTheme="minorEastAsia" w:hAnsiTheme="minorHAnsi" w:cstheme="minorBidi"/>
      <w:kern w:val="0"/>
      <w:sz w:val="22"/>
      <w:szCs w:val="22"/>
      <w:lang w:val="en-US"/>
      <w14:ligatures w14:val="none"/>
    </w:rPr>
  </w:style>
  <w:style w:type="table" w:styleId="TableGrid">
    <w:name w:val="Table Grid"/>
    <w:basedOn w:val="TableNormal"/>
    <w:uiPriority w:val="39"/>
    <w:rsid w:val="00C97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3639">
      <w:bodyDiv w:val="1"/>
      <w:marLeft w:val="0"/>
      <w:marRight w:val="0"/>
      <w:marTop w:val="0"/>
      <w:marBottom w:val="0"/>
      <w:divBdr>
        <w:top w:val="none" w:sz="0" w:space="0" w:color="auto"/>
        <w:left w:val="none" w:sz="0" w:space="0" w:color="auto"/>
        <w:bottom w:val="none" w:sz="0" w:space="0" w:color="auto"/>
        <w:right w:val="none" w:sz="0" w:space="0" w:color="auto"/>
      </w:divBdr>
    </w:div>
    <w:div w:id="70272673">
      <w:bodyDiv w:val="1"/>
      <w:marLeft w:val="0"/>
      <w:marRight w:val="0"/>
      <w:marTop w:val="0"/>
      <w:marBottom w:val="0"/>
      <w:divBdr>
        <w:top w:val="none" w:sz="0" w:space="0" w:color="auto"/>
        <w:left w:val="none" w:sz="0" w:space="0" w:color="auto"/>
        <w:bottom w:val="none" w:sz="0" w:space="0" w:color="auto"/>
        <w:right w:val="none" w:sz="0" w:space="0" w:color="auto"/>
      </w:divBdr>
    </w:div>
    <w:div w:id="115486619">
      <w:bodyDiv w:val="1"/>
      <w:marLeft w:val="0"/>
      <w:marRight w:val="0"/>
      <w:marTop w:val="0"/>
      <w:marBottom w:val="0"/>
      <w:divBdr>
        <w:top w:val="none" w:sz="0" w:space="0" w:color="auto"/>
        <w:left w:val="none" w:sz="0" w:space="0" w:color="auto"/>
        <w:bottom w:val="none" w:sz="0" w:space="0" w:color="auto"/>
        <w:right w:val="none" w:sz="0" w:space="0" w:color="auto"/>
      </w:divBdr>
    </w:div>
    <w:div w:id="178857185">
      <w:bodyDiv w:val="1"/>
      <w:marLeft w:val="0"/>
      <w:marRight w:val="0"/>
      <w:marTop w:val="0"/>
      <w:marBottom w:val="0"/>
      <w:divBdr>
        <w:top w:val="none" w:sz="0" w:space="0" w:color="auto"/>
        <w:left w:val="none" w:sz="0" w:space="0" w:color="auto"/>
        <w:bottom w:val="none" w:sz="0" w:space="0" w:color="auto"/>
        <w:right w:val="none" w:sz="0" w:space="0" w:color="auto"/>
      </w:divBdr>
    </w:div>
    <w:div w:id="242422140">
      <w:bodyDiv w:val="1"/>
      <w:marLeft w:val="0"/>
      <w:marRight w:val="0"/>
      <w:marTop w:val="0"/>
      <w:marBottom w:val="0"/>
      <w:divBdr>
        <w:top w:val="none" w:sz="0" w:space="0" w:color="auto"/>
        <w:left w:val="none" w:sz="0" w:space="0" w:color="auto"/>
        <w:bottom w:val="none" w:sz="0" w:space="0" w:color="auto"/>
        <w:right w:val="none" w:sz="0" w:space="0" w:color="auto"/>
      </w:divBdr>
    </w:div>
    <w:div w:id="252785510">
      <w:bodyDiv w:val="1"/>
      <w:marLeft w:val="0"/>
      <w:marRight w:val="0"/>
      <w:marTop w:val="0"/>
      <w:marBottom w:val="0"/>
      <w:divBdr>
        <w:top w:val="none" w:sz="0" w:space="0" w:color="auto"/>
        <w:left w:val="none" w:sz="0" w:space="0" w:color="auto"/>
        <w:bottom w:val="none" w:sz="0" w:space="0" w:color="auto"/>
        <w:right w:val="none" w:sz="0" w:space="0" w:color="auto"/>
      </w:divBdr>
    </w:div>
    <w:div w:id="329722217">
      <w:bodyDiv w:val="1"/>
      <w:marLeft w:val="0"/>
      <w:marRight w:val="0"/>
      <w:marTop w:val="0"/>
      <w:marBottom w:val="0"/>
      <w:divBdr>
        <w:top w:val="none" w:sz="0" w:space="0" w:color="auto"/>
        <w:left w:val="none" w:sz="0" w:space="0" w:color="auto"/>
        <w:bottom w:val="none" w:sz="0" w:space="0" w:color="auto"/>
        <w:right w:val="none" w:sz="0" w:space="0" w:color="auto"/>
      </w:divBdr>
    </w:div>
    <w:div w:id="528759804">
      <w:bodyDiv w:val="1"/>
      <w:marLeft w:val="0"/>
      <w:marRight w:val="0"/>
      <w:marTop w:val="0"/>
      <w:marBottom w:val="0"/>
      <w:divBdr>
        <w:top w:val="none" w:sz="0" w:space="0" w:color="auto"/>
        <w:left w:val="none" w:sz="0" w:space="0" w:color="auto"/>
        <w:bottom w:val="none" w:sz="0" w:space="0" w:color="auto"/>
        <w:right w:val="none" w:sz="0" w:space="0" w:color="auto"/>
      </w:divBdr>
    </w:div>
    <w:div w:id="532496374">
      <w:bodyDiv w:val="1"/>
      <w:marLeft w:val="0"/>
      <w:marRight w:val="0"/>
      <w:marTop w:val="0"/>
      <w:marBottom w:val="0"/>
      <w:divBdr>
        <w:top w:val="none" w:sz="0" w:space="0" w:color="auto"/>
        <w:left w:val="none" w:sz="0" w:space="0" w:color="auto"/>
        <w:bottom w:val="none" w:sz="0" w:space="0" w:color="auto"/>
        <w:right w:val="none" w:sz="0" w:space="0" w:color="auto"/>
      </w:divBdr>
    </w:div>
    <w:div w:id="559175543">
      <w:bodyDiv w:val="1"/>
      <w:marLeft w:val="0"/>
      <w:marRight w:val="0"/>
      <w:marTop w:val="0"/>
      <w:marBottom w:val="0"/>
      <w:divBdr>
        <w:top w:val="none" w:sz="0" w:space="0" w:color="auto"/>
        <w:left w:val="none" w:sz="0" w:space="0" w:color="auto"/>
        <w:bottom w:val="none" w:sz="0" w:space="0" w:color="auto"/>
        <w:right w:val="none" w:sz="0" w:space="0" w:color="auto"/>
      </w:divBdr>
    </w:div>
    <w:div w:id="606887396">
      <w:bodyDiv w:val="1"/>
      <w:marLeft w:val="0"/>
      <w:marRight w:val="0"/>
      <w:marTop w:val="0"/>
      <w:marBottom w:val="0"/>
      <w:divBdr>
        <w:top w:val="none" w:sz="0" w:space="0" w:color="auto"/>
        <w:left w:val="none" w:sz="0" w:space="0" w:color="auto"/>
        <w:bottom w:val="none" w:sz="0" w:space="0" w:color="auto"/>
        <w:right w:val="none" w:sz="0" w:space="0" w:color="auto"/>
      </w:divBdr>
    </w:div>
    <w:div w:id="638808949">
      <w:bodyDiv w:val="1"/>
      <w:marLeft w:val="0"/>
      <w:marRight w:val="0"/>
      <w:marTop w:val="0"/>
      <w:marBottom w:val="0"/>
      <w:divBdr>
        <w:top w:val="none" w:sz="0" w:space="0" w:color="auto"/>
        <w:left w:val="none" w:sz="0" w:space="0" w:color="auto"/>
        <w:bottom w:val="none" w:sz="0" w:space="0" w:color="auto"/>
        <w:right w:val="none" w:sz="0" w:space="0" w:color="auto"/>
      </w:divBdr>
    </w:div>
    <w:div w:id="645090601">
      <w:bodyDiv w:val="1"/>
      <w:marLeft w:val="0"/>
      <w:marRight w:val="0"/>
      <w:marTop w:val="0"/>
      <w:marBottom w:val="0"/>
      <w:divBdr>
        <w:top w:val="none" w:sz="0" w:space="0" w:color="auto"/>
        <w:left w:val="none" w:sz="0" w:space="0" w:color="auto"/>
        <w:bottom w:val="none" w:sz="0" w:space="0" w:color="auto"/>
        <w:right w:val="none" w:sz="0" w:space="0" w:color="auto"/>
      </w:divBdr>
      <w:divsChild>
        <w:div w:id="1013537169">
          <w:marLeft w:val="0"/>
          <w:marRight w:val="0"/>
          <w:marTop w:val="0"/>
          <w:marBottom w:val="0"/>
          <w:divBdr>
            <w:top w:val="none" w:sz="0" w:space="0" w:color="auto"/>
            <w:left w:val="none" w:sz="0" w:space="0" w:color="auto"/>
            <w:bottom w:val="none" w:sz="0" w:space="0" w:color="auto"/>
            <w:right w:val="none" w:sz="0" w:space="0" w:color="auto"/>
          </w:divBdr>
          <w:divsChild>
            <w:div w:id="43641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63763">
      <w:bodyDiv w:val="1"/>
      <w:marLeft w:val="0"/>
      <w:marRight w:val="0"/>
      <w:marTop w:val="0"/>
      <w:marBottom w:val="0"/>
      <w:divBdr>
        <w:top w:val="none" w:sz="0" w:space="0" w:color="auto"/>
        <w:left w:val="none" w:sz="0" w:space="0" w:color="auto"/>
        <w:bottom w:val="none" w:sz="0" w:space="0" w:color="auto"/>
        <w:right w:val="none" w:sz="0" w:space="0" w:color="auto"/>
      </w:divBdr>
    </w:div>
    <w:div w:id="817263709">
      <w:bodyDiv w:val="1"/>
      <w:marLeft w:val="0"/>
      <w:marRight w:val="0"/>
      <w:marTop w:val="0"/>
      <w:marBottom w:val="0"/>
      <w:divBdr>
        <w:top w:val="none" w:sz="0" w:space="0" w:color="auto"/>
        <w:left w:val="none" w:sz="0" w:space="0" w:color="auto"/>
        <w:bottom w:val="none" w:sz="0" w:space="0" w:color="auto"/>
        <w:right w:val="none" w:sz="0" w:space="0" w:color="auto"/>
      </w:divBdr>
    </w:div>
    <w:div w:id="892430076">
      <w:bodyDiv w:val="1"/>
      <w:marLeft w:val="0"/>
      <w:marRight w:val="0"/>
      <w:marTop w:val="0"/>
      <w:marBottom w:val="0"/>
      <w:divBdr>
        <w:top w:val="none" w:sz="0" w:space="0" w:color="auto"/>
        <w:left w:val="none" w:sz="0" w:space="0" w:color="auto"/>
        <w:bottom w:val="none" w:sz="0" w:space="0" w:color="auto"/>
        <w:right w:val="none" w:sz="0" w:space="0" w:color="auto"/>
      </w:divBdr>
    </w:div>
    <w:div w:id="898589981">
      <w:bodyDiv w:val="1"/>
      <w:marLeft w:val="0"/>
      <w:marRight w:val="0"/>
      <w:marTop w:val="0"/>
      <w:marBottom w:val="0"/>
      <w:divBdr>
        <w:top w:val="none" w:sz="0" w:space="0" w:color="auto"/>
        <w:left w:val="none" w:sz="0" w:space="0" w:color="auto"/>
        <w:bottom w:val="none" w:sz="0" w:space="0" w:color="auto"/>
        <w:right w:val="none" w:sz="0" w:space="0" w:color="auto"/>
      </w:divBdr>
    </w:div>
    <w:div w:id="948657442">
      <w:bodyDiv w:val="1"/>
      <w:marLeft w:val="0"/>
      <w:marRight w:val="0"/>
      <w:marTop w:val="0"/>
      <w:marBottom w:val="0"/>
      <w:divBdr>
        <w:top w:val="none" w:sz="0" w:space="0" w:color="auto"/>
        <w:left w:val="none" w:sz="0" w:space="0" w:color="auto"/>
        <w:bottom w:val="none" w:sz="0" w:space="0" w:color="auto"/>
        <w:right w:val="none" w:sz="0" w:space="0" w:color="auto"/>
      </w:divBdr>
    </w:div>
    <w:div w:id="966621506">
      <w:bodyDiv w:val="1"/>
      <w:marLeft w:val="0"/>
      <w:marRight w:val="0"/>
      <w:marTop w:val="0"/>
      <w:marBottom w:val="0"/>
      <w:divBdr>
        <w:top w:val="none" w:sz="0" w:space="0" w:color="auto"/>
        <w:left w:val="none" w:sz="0" w:space="0" w:color="auto"/>
        <w:bottom w:val="none" w:sz="0" w:space="0" w:color="auto"/>
        <w:right w:val="none" w:sz="0" w:space="0" w:color="auto"/>
      </w:divBdr>
    </w:div>
    <w:div w:id="985205685">
      <w:bodyDiv w:val="1"/>
      <w:marLeft w:val="0"/>
      <w:marRight w:val="0"/>
      <w:marTop w:val="0"/>
      <w:marBottom w:val="0"/>
      <w:divBdr>
        <w:top w:val="none" w:sz="0" w:space="0" w:color="auto"/>
        <w:left w:val="none" w:sz="0" w:space="0" w:color="auto"/>
        <w:bottom w:val="none" w:sz="0" w:space="0" w:color="auto"/>
        <w:right w:val="none" w:sz="0" w:space="0" w:color="auto"/>
      </w:divBdr>
    </w:div>
    <w:div w:id="1037781334">
      <w:bodyDiv w:val="1"/>
      <w:marLeft w:val="0"/>
      <w:marRight w:val="0"/>
      <w:marTop w:val="0"/>
      <w:marBottom w:val="0"/>
      <w:divBdr>
        <w:top w:val="none" w:sz="0" w:space="0" w:color="auto"/>
        <w:left w:val="none" w:sz="0" w:space="0" w:color="auto"/>
        <w:bottom w:val="none" w:sz="0" w:space="0" w:color="auto"/>
        <w:right w:val="none" w:sz="0" w:space="0" w:color="auto"/>
      </w:divBdr>
    </w:div>
    <w:div w:id="1119563770">
      <w:bodyDiv w:val="1"/>
      <w:marLeft w:val="0"/>
      <w:marRight w:val="0"/>
      <w:marTop w:val="0"/>
      <w:marBottom w:val="0"/>
      <w:divBdr>
        <w:top w:val="none" w:sz="0" w:space="0" w:color="auto"/>
        <w:left w:val="none" w:sz="0" w:space="0" w:color="auto"/>
        <w:bottom w:val="none" w:sz="0" w:space="0" w:color="auto"/>
        <w:right w:val="none" w:sz="0" w:space="0" w:color="auto"/>
      </w:divBdr>
    </w:div>
    <w:div w:id="1165316539">
      <w:bodyDiv w:val="1"/>
      <w:marLeft w:val="0"/>
      <w:marRight w:val="0"/>
      <w:marTop w:val="0"/>
      <w:marBottom w:val="0"/>
      <w:divBdr>
        <w:top w:val="none" w:sz="0" w:space="0" w:color="auto"/>
        <w:left w:val="none" w:sz="0" w:space="0" w:color="auto"/>
        <w:bottom w:val="none" w:sz="0" w:space="0" w:color="auto"/>
        <w:right w:val="none" w:sz="0" w:space="0" w:color="auto"/>
      </w:divBdr>
    </w:div>
    <w:div w:id="1257782861">
      <w:bodyDiv w:val="1"/>
      <w:marLeft w:val="0"/>
      <w:marRight w:val="0"/>
      <w:marTop w:val="0"/>
      <w:marBottom w:val="0"/>
      <w:divBdr>
        <w:top w:val="none" w:sz="0" w:space="0" w:color="auto"/>
        <w:left w:val="none" w:sz="0" w:space="0" w:color="auto"/>
        <w:bottom w:val="none" w:sz="0" w:space="0" w:color="auto"/>
        <w:right w:val="none" w:sz="0" w:space="0" w:color="auto"/>
      </w:divBdr>
    </w:div>
    <w:div w:id="1298923685">
      <w:bodyDiv w:val="1"/>
      <w:marLeft w:val="0"/>
      <w:marRight w:val="0"/>
      <w:marTop w:val="0"/>
      <w:marBottom w:val="0"/>
      <w:divBdr>
        <w:top w:val="none" w:sz="0" w:space="0" w:color="auto"/>
        <w:left w:val="none" w:sz="0" w:space="0" w:color="auto"/>
        <w:bottom w:val="none" w:sz="0" w:space="0" w:color="auto"/>
        <w:right w:val="none" w:sz="0" w:space="0" w:color="auto"/>
      </w:divBdr>
    </w:div>
    <w:div w:id="1351564340">
      <w:bodyDiv w:val="1"/>
      <w:marLeft w:val="0"/>
      <w:marRight w:val="0"/>
      <w:marTop w:val="0"/>
      <w:marBottom w:val="0"/>
      <w:divBdr>
        <w:top w:val="none" w:sz="0" w:space="0" w:color="auto"/>
        <w:left w:val="none" w:sz="0" w:space="0" w:color="auto"/>
        <w:bottom w:val="none" w:sz="0" w:space="0" w:color="auto"/>
        <w:right w:val="none" w:sz="0" w:space="0" w:color="auto"/>
      </w:divBdr>
    </w:div>
    <w:div w:id="1397700074">
      <w:bodyDiv w:val="1"/>
      <w:marLeft w:val="0"/>
      <w:marRight w:val="0"/>
      <w:marTop w:val="0"/>
      <w:marBottom w:val="0"/>
      <w:divBdr>
        <w:top w:val="none" w:sz="0" w:space="0" w:color="auto"/>
        <w:left w:val="none" w:sz="0" w:space="0" w:color="auto"/>
        <w:bottom w:val="none" w:sz="0" w:space="0" w:color="auto"/>
        <w:right w:val="none" w:sz="0" w:space="0" w:color="auto"/>
      </w:divBdr>
    </w:div>
    <w:div w:id="1518541892">
      <w:bodyDiv w:val="1"/>
      <w:marLeft w:val="0"/>
      <w:marRight w:val="0"/>
      <w:marTop w:val="0"/>
      <w:marBottom w:val="0"/>
      <w:divBdr>
        <w:top w:val="none" w:sz="0" w:space="0" w:color="auto"/>
        <w:left w:val="none" w:sz="0" w:space="0" w:color="auto"/>
        <w:bottom w:val="none" w:sz="0" w:space="0" w:color="auto"/>
        <w:right w:val="none" w:sz="0" w:space="0" w:color="auto"/>
      </w:divBdr>
      <w:divsChild>
        <w:div w:id="1034621212">
          <w:marLeft w:val="0"/>
          <w:marRight w:val="0"/>
          <w:marTop w:val="0"/>
          <w:marBottom w:val="0"/>
          <w:divBdr>
            <w:top w:val="none" w:sz="0" w:space="0" w:color="auto"/>
            <w:left w:val="single" w:sz="6" w:space="0" w:color="414141"/>
            <w:bottom w:val="none" w:sz="0" w:space="0" w:color="auto"/>
            <w:right w:val="none" w:sz="0" w:space="0" w:color="auto"/>
          </w:divBdr>
          <w:divsChild>
            <w:div w:id="776827380">
              <w:marLeft w:val="0"/>
              <w:marRight w:val="0"/>
              <w:marTop w:val="0"/>
              <w:marBottom w:val="0"/>
              <w:divBdr>
                <w:top w:val="none" w:sz="0" w:space="0" w:color="auto"/>
                <w:left w:val="none" w:sz="0" w:space="0" w:color="auto"/>
                <w:bottom w:val="none" w:sz="0" w:space="0" w:color="auto"/>
                <w:right w:val="none" w:sz="0" w:space="0" w:color="auto"/>
              </w:divBdr>
            </w:div>
          </w:divsChild>
        </w:div>
        <w:div w:id="2057971192">
          <w:marLeft w:val="0"/>
          <w:marRight w:val="0"/>
          <w:marTop w:val="0"/>
          <w:marBottom w:val="0"/>
          <w:divBdr>
            <w:top w:val="none" w:sz="0" w:space="0" w:color="auto"/>
            <w:left w:val="none" w:sz="0" w:space="0" w:color="auto"/>
            <w:bottom w:val="none" w:sz="0" w:space="0" w:color="auto"/>
            <w:right w:val="none" w:sz="0" w:space="0" w:color="auto"/>
          </w:divBdr>
          <w:divsChild>
            <w:div w:id="126283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7243">
      <w:bodyDiv w:val="1"/>
      <w:marLeft w:val="0"/>
      <w:marRight w:val="0"/>
      <w:marTop w:val="0"/>
      <w:marBottom w:val="0"/>
      <w:divBdr>
        <w:top w:val="none" w:sz="0" w:space="0" w:color="auto"/>
        <w:left w:val="none" w:sz="0" w:space="0" w:color="auto"/>
        <w:bottom w:val="none" w:sz="0" w:space="0" w:color="auto"/>
        <w:right w:val="none" w:sz="0" w:space="0" w:color="auto"/>
      </w:divBdr>
    </w:div>
    <w:div w:id="1604916054">
      <w:bodyDiv w:val="1"/>
      <w:marLeft w:val="0"/>
      <w:marRight w:val="0"/>
      <w:marTop w:val="0"/>
      <w:marBottom w:val="0"/>
      <w:divBdr>
        <w:top w:val="none" w:sz="0" w:space="0" w:color="auto"/>
        <w:left w:val="none" w:sz="0" w:space="0" w:color="auto"/>
        <w:bottom w:val="none" w:sz="0" w:space="0" w:color="auto"/>
        <w:right w:val="none" w:sz="0" w:space="0" w:color="auto"/>
      </w:divBdr>
    </w:div>
    <w:div w:id="1745949008">
      <w:bodyDiv w:val="1"/>
      <w:marLeft w:val="0"/>
      <w:marRight w:val="0"/>
      <w:marTop w:val="0"/>
      <w:marBottom w:val="0"/>
      <w:divBdr>
        <w:top w:val="none" w:sz="0" w:space="0" w:color="auto"/>
        <w:left w:val="none" w:sz="0" w:space="0" w:color="auto"/>
        <w:bottom w:val="none" w:sz="0" w:space="0" w:color="auto"/>
        <w:right w:val="none" w:sz="0" w:space="0" w:color="auto"/>
      </w:divBdr>
    </w:div>
    <w:div w:id="1795053573">
      <w:bodyDiv w:val="1"/>
      <w:marLeft w:val="0"/>
      <w:marRight w:val="0"/>
      <w:marTop w:val="0"/>
      <w:marBottom w:val="0"/>
      <w:divBdr>
        <w:top w:val="none" w:sz="0" w:space="0" w:color="auto"/>
        <w:left w:val="none" w:sz="0" w:space="0" w:color="auto"/>
        <w:bottom w:val="none" w:sz="0" w:space="0" w:color="auto"/>
        <w:right w:val="none" w:sz="0" w:space="0" w:color="auto"/>
      </w:divBdr>
    </w:div>
    <w:div w:id="1804424360">
      <w:bodyDiv w:val="1"/>
      <w:marLeft w:val="0"/>
      <w:marRight w:val="0"/>
      <w:marTop w:val="0"/>
      <w:marBottom w:val="0"/>
      <w:divBdr>
        <w:top w:val="none" w:sz="0" w:space="0" w:color="auto"/>
        <w:left w:val="none" w:sz="0" w:space="0" w:color="auto"/>
        <w:bottom w:val="none" w:sz="0" w:space="0" w:color="auto"/>
        <w:right w:val="none" w:sz="0" w:space="0" w:color="auto"/>
      </w:divBdr>
    </w:div>
    <w:div w:id="1868564682">
      <w:bodyDiv w:val="1"/>
      <w:marLeft w:val="0"/>
      <w:marRight w:val="0"/>
      <w:marTop w:val="0"/>
      <w:marBottom w:val="0"/>
      <w:divBdr>
        <w:top w:val="none" w:sz="0" w:space="0" w:color="auto"/>
        <w:left w:val="none" w:sz="0" w:space="0" w:color="auto"/>
        <w:bottom w:val="none" w:sz="0" w:space="0" w:color="auto"/>
        <w:right w:val="none" w:sz="0" w:space="0" w:color="auto"/>
      </w:divBdr>
    </w:div>
    <w:div w:id="1906798070">
      <w:bodyDiv w:val="1"/>
      <w:marLeft w:val="0"/>
      <w:marRight w:val="0"/>
      <w:marTop w:val="0"/>
      <w:marBottom w:val="0"/>
      <w:divBdr>
        <w:top w:val="none" w:sz="0" w:space="0" w:color="auto"/>
        <w:left w:val="none" w:sz="0" w:space="0" w:color="auto"/>
        <w:bottom w:val="none" w:sz="0" w:space="0" w:color="auto"/>
        <w:right w:val="none" w:sz="0" w:space="0" w:color="auto"/>
      </w:divBdr>
    </w:div>
    <w:div w:id="1984696433">
      <w:bodyDiv w:val="1"/>
      <w:marLeft w:val="0"/>
      <w:marRight w:val="0"/>
      <w:marTop w:val="0"/>
      <w:marBottom w:val="0"/>
      <w:divBdr>
        <w:top w:val="none" w:sz="0" w:space="0" w:color="auto"/>
        <w:left w:val="none" w:sz="0" w:space="0" w:color="auto"/>
        <w:bottom w:val="none" w:sz="0" w:space="0" w:color="auto"/>
        <w:right w:val="none" w:sz="0" w:space="0" w:color="auto"/>
      </w:divBdr>
    </w:div>
    <w:div w:id="2000620099">
      <w:bodyDiv w:val="1"/>
      <w:marLeft w:val="0"/>
      <w:marRight w:val="0"/>
      <w:marTop w:val="0"/>
      <w:marBottom w:val="0"/>
      <w:divBdr>
        <w:top w:val="none" w:sz="0" w:space="0" w:color="auto"/>
        <w:left w:val="none" w:sz="0" w:space="0" w:color="auto"/>
        <w:bottom w:val="none" w:sz="0" w:space="0" w:color="auto"/>
        <w:right w:val="none" w:sz="0" w:space="0" w:color="auto"/>
      </w:divBdr>
    </w:div>
    <w:div w:id="2059010687">
      <w:bodyDiv w:val="1"/>
      <w:marLeft w:val="0"/>
      <w:marRight w:val="0"/>
      <w:marTop w:val="0"/>
      <w:marBottom w:val="0"/>
      <w:divBdr>
        <w:top w:val="none" w:sz="0" w:space="0" w:color="auto"/>
        <w:left w:val="none" w:sz="0" w:space="0" w:color="auto"/>
        <w:bottom w:val="none" w:sz="0" w:space="0" w:color="auto"/>
        <w:right w:val="none" w:sz="0" w:space="0" w:color="auto"/>
      </w:divBdr>
    </w:div>
    <w:div w:id="2063551022">
      <w:bodyDiv w:val="1"/>
      <w:marLeft w:val="0"/>
      <w:marRight w:val="0"/>
      <w:marTop w:val="0"/>
      <w:marBottom w:val="0"/>
      <w:divBdr>
        <w:top w:val="none" w:sz="0" w:space="0" w:color="auto"/>
        <w:left w:val="none" w:sz="0" w:space="0" w:color="auto"/>
        <w:bottom w:val="none" w:sz="0" w:space="0" w:color="auto"/>
        <w:right w:val="none" w:sz="0" w:space="0" w:color="auto"/>
      </w:divBdr>
    </w:div>
    <w:div w:id="2086174071">
      <w:bodyDiv w:val="1"/>
      <w:marLeft w:val="0"/>
      <w:marRight w:val="0"/>
      <w:marTop w:val="0"/>
      <w:marBottom w:val="0"/>
      <w:divBdr>
        <w:top w:val="none" w:sz="0" w:space="0" w:color="auto"/>
        <w:left w:val="none" w:sz="0" w:space="0" w:color="auto"/>
        <w:bottom w:val="none" w:sz="0" w:space="0" w:color="auto"/>
        <w:right w:val="none" w:sz="0" w:space="0" w:color="auto"/>
      </w:divBdr>
    </w:div>
    <w:div w:id="213575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www.ogtr.gov.au/gmo-dealings/dealings-involving-intentional-release/dir-216" TargetMode="External"/><Relationship Id="rId39" Type="http://schemas.openxmlformats.org/officeDocument/2006/relationships/hyperlink" Target="https://osp.od.nih.gov/wp-content/uploads/NIH_Guidelines.pdf" TargetMode="External"/><Relationship Id="rId21" Type="http://schemas.openxmlformats.org/officeDocument/2006/relationships/image" Target="media/image6.png"/><Relationship Id="rId34" Type="http://schemas.openxmlformats.org/officeDocument/2006/relationships/hyperlink" Target="https://pubmed.ncbi.nlm.nih.gov/6611823/" TargetMode="External"/><Relationship Id="rId42" Type="http://schemas.openxmlformats.org/officeDocument/2006/relationships/hyperlink" Target="https://www.ogtr.gov.au/resources/publications/application-suspension-certification-physical-containment-facility" TargetMode="External"/><Relationship Id="rId47" Type="http://schemas.openxmlformats.org/officeDocument/2006/relationships/hyperlink" Target="https://www.ogtr.gov.au/resources/publications/application-surrender-certification-physical-containment-facility"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image" Target="media/image9.jpeg"/><Relationship Id="rId11" Type="http://schemas.openxmlformats.org/officeDocument/2006/relationships/footer" Target="footer2.xml"/><Relationship Id="rId24" Type="http://schemas.openxmlformats.org/officeDocument/2006/relationships/hyperlink" Target="mailto:OGTR.applications@health.gov.au" TargetMode="External"/><Relationship Id="rId32" Type="http://schemas.openxmlformats.org/officeDocument/2006/relationships/image" Target="media/image10.jpeg"/><Relationship Id="rId37" Type="http://schemas.openxmlformats.org/officeDocument/2006/relationships/hyperlink" Target="https://www.biosafety.be/sites/default/files/m00032689.pdf" TargetMode="External"/><Relationship Id="rId40" Type="http://schemas.openxmlformats.org/officeDocument/2006/relationships/hyperlink" Target="https://doi.org/10.1073/pnas.72.6.1981" TargetMode="External"/><Relationship Id="rId45" Type="http://schemas.openxmlformats.org/officeDocument/2006/relationships/hyperlink" Target="https://portal.ogtr.gov.au/" TargetMode="External"/><Relationship Id="rId5" Type="http://schemas.openxmlformats.org/officeDocument/2006/relationships/webSettings" Target="webSettings.xml"/><Relationship Id="rId15" Type="http://schemas.openxmlformats.org/officeDocument/2006/relationships/hyperlink" Target="https://www.ogtr.gov.au/resources/collections/application-and-reporting-forms" TargetMode="External"/><Relationship Id="rId23" Type="http://schemas.openxmlformats.org/officeDocument/2006/relationships/hyperlink" Target="mailto:" TargetMode="External"/><Relationship Id="rId28" Type="http://schemas.openxmlformats.org/officeDocument/2006/relationships/image" Target="media/image8.jpeg"/><Relationship Id="rId36" Type="http://schemas.openxmlformats.org/officeDocument/2006/relationships/image" Target="media/image11.jpeg"/><Relationship Id="rId49"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www.ogtr.gov.au/sites/default/files/files/2021-06/17_-_handling_an_unintentional_presence_of_genetically_modified_gm_crops.pdf" TargetMode="External"/><Relationship Id="rId31" Type="http://schemas.openxmlformats.org/officeDocument/2006/relationships/hyperlink" Target="https://wellcomecollection.org/works/zfkcg9g3/items?canvas=9" TargetMode="External"/><Relationship Id="rId44" Type="http://schemas.openxmlformats.org/officeDocument/2006/relationships/hyperlink" Target="https://portal.ogtr.gov.a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yperlink" Target="https://www.ogtr.gov.au/resources/publications/accredited-organisation-annual-report-gene-technology-regulator" TargetMode="External"/><Relationship Id="rId27" Type="http://schemas.openxmlformats.org/officeDocument/2006/relationships/hyperlink" Target="https://www.ogtr.gov.au/gmo-dealings/dealings-involving-intentional-release/dir-217" TargetMode="External"/><Relationship Id="rId30" Type="http://schemas.openxmlformats.org/officeDocument/2006/relationships/hyperlink" Target="https://doi.org/10.1126/science.185.4148.303" TargetMode="External"/><Relationship Id="rId35" Type="http://schemas.openxmlformats.org/officeDocument/2006/relationships/hyperlink" Target="https://www.oecd.org/en/publications/oecd-observer/volume-1986/issue-6_observer-v1986-6-en.html" TargetMode="External"/><Relationship Id="rId43" Type="http://schemas.openxmlformats.org/officeDocument/2006/relationships/hyperlink" Target="https://www.ogtr.gov.au/resources/publications/application-surrender-certification-physical-containment-facility" TargetMode="External"/><Relationship Id="rId48" Type="http://schemas.openxmlformats.org/officeDocument/2006/relationships/hyperlink" Target="https://portal.ogtr.gov.au/" TargetMode="Externa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7.jpeg"/><Relationship Id="rId33" Type="http://schemas.openxmlformats.org/officeDocument/2006/relationships/hyperlink" Target="https://www.science.org.au/education/history-australian-science/conversations-australian-scientists/professor-jim-pittard" TargetMode="External"/><Relationship Id="rId38" Type="http://schemas.openxmlformats.org/officeDocument/2006/relationships/hyperlink" Target="https://legalinstruments.oecd.org/public/doc/132/132.en.pdf" TargetMode="External"/><Relationship Id="rId46" Type="http://schemas.openxmlformats.org/officeDocument/2006/relationships/hyperlink" Target="https://www.ogtr.gov.au/resources/publications/application-suspension-certification-physical-containment-facility" TargetMode="External"/><Relationship Id="rId20" Type="http://schemas.openxmlformats.org/officeDocument/2006/relationships/hyperlink" Target="https://www.ogtr.gov.au/resources/publications/current-gm-plants-authorised-release-environment-gmo-register-and-licences-commercial-releases" TargetMode="External"/><Relationship Id="rId41" Type="http://schemas.openxmlformats.org/officeDocument/2006/relationships/hyperlink" Target="https://portal.ogtr.gov.au/"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ogtr@health.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ogtr@health.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3F8B6-C94F-4DC1-85E6-48DDD19A7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1330</Words>
  <Characters>7237</Characters>
  <Application>Microsoft Office Word</Application>
  <DocSecurity>0</DocSecurity>
  <Lines>157</Lines>
  <Paragraphs>60</Paragraphs>
  <ScaleCrop>false</ScaleCrop>
  <HeadingPairs>
    <vt:vector size="2" baseType="variant">
      <vt:variant>
        <vt:lpstr>Title</vt:lpstr>
      </vt:variant>
      <vt:variant>
        <vt:i4>1</vt:i4>
      </vt:variant>
    </vt:vector>
  </HeadingPairs>
  <TitlesOfParts>
    <vt:vector size="1" baseType="lpstr">
      <vt:lpstr>Issue 12 - OGTR Newsletter</vt:lpstr>
    </vt:vector>
  </TitlesOfParts>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12 - OGTR Newsletter</dc:title>
  <dc:subject/>
  <dc:creator>OGTR.Voicemail@health.gov.au</dc:creator>
  <cp:keywords/>
  <dc:description/>
  <cp:lastModifiedBy>SMITH, Justine</cp:lastModifiedBy>
  <cp:revision>4</cp:revision>
  <cp:lastPrinted>2024-10-18T03:53:00Z</cp:lastPrinted>
  <dcterms:created xsi:type="dcterms:W3CDTF">2025-11-25T22:23:00Z</dcterms:created>
  <dcterms:modified xsi:type="dcterms:W3CDTF">2025-11-25T23:45:00Z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449dbac6,7ac5e25c,2853388c</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2d02a534,2655e0e7,6d8fdc76</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2025-10-09T22:24:32Z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6727a9d3-1c97-4b72-8e45-0ccea6cd145b</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