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F794" w14:textId="77777777" w:rsidR="00C315BD" w:rsidRPr="00E12965" w:rsidRDefault="00C315BD" w:rsidP="00C315BD">
      <w:pPr>
        <w:pStyle w:val="CmqTitle1"/>
        <w:spacing w:before="240"/>
        <w:rPr>
          <w:color w:val="auto"/>
        </w:rPr>
      </w:pPr>
      <w:bookmarkStart w:id="0" w:name="_Toc123029785"/>
      <w:r w:rsidRPr="00E12965">
        <w:rPr>
          <w:color w:val="auto"/>
        </w:rPr>
        <w:t>Gene Technology Technical Advisory Committee</w:t>
      </w:r>
      <w:bookmarkEnd w:id="0"/>
    </w:p>
    <w:p w14:paraId="5039BEA2" w14:textId="1EC6479F" w:rsidR="00C315BD" w:rsidRPr="00E12965" w:rsidRDefault="00C315BD" w:rsidP="00C315BD">
      <w:pPr>
        <w:pStyle w:val="CmqTitle1"/>
        <w:rPr>
          <w:color w:val="auto"/>
          <w:szCs w:val="24"/>
        </w:rPr>
      </w:pPr>
      <w:r>
        <w:rPr>
          <w:color w:val="auto"/>
          <w:szCs w:val="24"/>
        </w:rPr>
        <w:t>28 March 2025</w:t>
      </w:r>
    </w:p>
    <w:p w14:paraId="52532CD5" w14:textId="2E7CDF9F" w:rsidR="00C315BD" w:rsidRPr="00E12965" w:rsidRDefault="00C315BD" w:rsidP="00C315BD">
      <w:pPr>
        <w:pStyle w:val="CmqTitle1"/>
        <w:spacing w:after="240"/>
        <w:rPr>
          <w:color w:val="auto"/>
          <w:szCs w:val="24"/>
        </w:rPr>
      </w:pPr>
      <w:r w:rsidRPr="00E12965">
        <w:rPr>
          <w:color w:val="auto"/>
          <w:szCs w:val="24"/>
        </w:rPr>
        <w:t>Communiqué</w:t>
      </w:r>
    </w:p>
    <w:p w14:paraId="5BEBDB5E" w14:textId="7DB467DB" w:rsidR="00C315BD" w:rsidRPr="00E12965" w:rsidRDefault="00C315BD" w:rsidP="00C315BD">
      <w:pPr>
        <w:pStyle w:val="CmqTitle2"/>
        <w:ind w:left="0"/>
      </w:pPr>
      <w:r w:rsidRPr="00E12965">
        <w:t xml:space="preserve">This Communiqué covers matters considered at the </w:t>
      </w:r>
      <w:r>
        <w:t>43</w:t>
      </w:r>
      <w:r w:rsidRPr="00C315BD">
        <w:rPr>
          <w:vertAlign w:val="superscript"/>
        </w:rPr>
        <w:t>rd</w:t>
      </w:r>
      <w:r>
        <w:t xml:space="preserve"> </w:t>
      </w:r>
      <w:r w:rsidRPr="00E12965">
        <w:t xml:space="preserve">videoconference of the </w:t>
      </w:r>
      <w:r w:rsidRPr="00E12965">
        <w:br/>
        <w:t>Gene Technology Technical Advisory Committee (</w:t>
      </w:r>
      <w:r>
        <w:t>28 March</w:t>
      </w:r>
      <w:r w:rsidRPr="00C10B19">
        <w:t xml:space="preserve"> 2025</w:t>
      </w:r>
      <w:r w:rsidRPr="00E12965">
        <w:t>)</w:t>
      </w:r>
    </w:p>
    <w:p w14:paraId="024B85E3" w14:textId="77777777" w:rsidR="00C315BD" w:rsidRPr="00E12965" w:rsidRDefault="00C315BD" w:rsidP="00C315BD">
      <w:pPr>
        <w:pStyle w:val="BodyText"/>
      </w:pPr>
      <w:r w:rsidRPr="00E12965">
        <w:t xml:space="preserve">The Gene Technology Technical Advisory Committee (GTTAC) is a statutory advisory committee established under the </w:t>
      </w:r>
      <w:r w:rsidRPr="00E12965">
        <w:rPr>
          <w:i/>
        </w:rPr>
        <w:t>Gene Technology Act 2000</w:t>
      </w:r>
      <w:r w:rsidRPr="00E12965">
        <w:t xml:space="preserve"> (the Act) to provide scientific and technical advice to the Gene Technology Regulator (the Regulator) and the Gene Technology Ministers’ Meeting. </w:t>
      </w:r>
    </w:p>
    <w:p w14:paraId="265BF5B0" w14:textId="78C948D7" w:rsidR="00C315BD" w:rsidRPr="00E12965" w:rsidRDefault="00C315BD" w:rsidP="00C315BD">
      <w:pPr>
        <w:pStyle w:val="BodyText"/>
      </w:pPr>
      <w:r w:rsidRPr="00E12965">
        <w:t xml:space="preserve">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committee resolutions given to the Regulator. The Communiqué also provides an overview of any other deliberations of the committee. It does not include information </w:t>
      </w:r>
      <w:r w:rsidR="00067232">
        <w:t>that</w:t>
      </w:r>
      <w:r w:rsidRPr="00E12965">
        <w:t xml:space="preserve"> is treated as Confidential Commercial Information in accordance with the Act.</w:t>
      </w:r>
    </w:p>
    <w:p w14:paraId="30ED1877" w14:textId="77777777" w:rsidR="00C315BD" w:rsidRPr="00C315BD" w:rsidRDefault="00C315BD" w:rsidP="00C315BD">
      <w:pPr>
        <w:pStyle w:val="CmqHeading1"/>
      </w:pPr>
      <w:r w:rsidRPr="00C315BD">
        <w:t>Dealings Involving the Intentional Release of a GMO</w:t>
      </w:r>
    </w:p>
    <w:p w14:paraId="12D04834" w14:textId="77777777" w:rsidR="00C315BD" w:rsidRPr="00857464" w:rsidRDefault="00C315BD" w:rsidP="00C315BD">
      <w:pPr>
        <w:pStyle w:val="BodyText"/>
      </w:pPr>
      <w:r w:rsidRPr="00857464">
        <w:t>Dealings involving the Intentional Release (DIR) of a GMO into the environment can involve a limited and controlled release (clinical trial or field trial) or a commercial (general) release.</w:t>
      </w:r>
    </w:p>
    <w:p w14:paraId="5B6EA47E" w14:textId="77777777" w:rsidR="00C315BD" w:rsidRPr="007F3778" w:rsidRDefault="00C315BD" w:rsidP="00C315BD">
      <w:pPr>
        <w:pStyle w:val="BodyText"/>
      </w:pPr>
      <w:r w:rsidRPr="007F3778">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3EA9590E" w14:textId="77777777" w:rsidR="00C315BD" w:rsidRDefault="00C315BD" w:rsidP="00C315BD">
      <w:pPr>
        <w:pStyle w:val="BodyText"/>
      </w:pPr>
      <w:r w:rsidRPr="00857464">
        <w:t>The RARMP for every DIR licence application is issued for public consultation.</w:t>
      </w:r>
    </w:p>
    <w:p w14:paraId="13C7C80D" w14:textId="58B276E0" w:rsidR="00C315BD" w:rsidRPr="005B26D0" w:rsidRDefault="00C315BD" w:rsidP="00C315BD">
      <w:pPr>
        <w:pStyle w:val="Cmqheading2"/>
      </w:pPr>
      <w:r w:rsidRPr="005B26D0">
        <w:t xml:space="preserve">Advice on applications – </w:t>
      </w:r>
      <w:r>
        <w:t>Commercial</w:t>
      </w:r>
      <w:r w:rsidRPr="005B26D0">
        <w:t xml:space="preserve"> release</w:t>
      </w:r>
    </w:p>
    <w:p w14:paraId="64EAEF05" w14:textId="3A191A9B" w:rsidR="00A13D69" w:rsidRDefault="00C315BD" w:rsidP="00A13D69">
      <w:hyperlink r:id="rId7" w:history="1">
        <w:r w:rsidRPr="00A13D69">
          <w:rPr>
            <w:rStyle w:val="Hyperlink"/>
            <w:rFonts w:ascii="Arial" w:hAnsi="Arial" w:cs="Arial"/>
            <w:b/>
            <w:bCs/>
          </w:rPr>
          <w:t>DIR-207</w:t>
        </w:r>
      </w:hyperlink>
      <w:r w:rsidRPr="00A13D69">
        <w:rPr>
          <w:rFonts w:ascii="Arial" w:hAnsi="Arial" w:cs="Arial"/>
          <w:b/>
          <w:bCs/>
        </w:rPr>
        <w:t xml:space="preserve"> </w:t>
      </w:r>
      <w:r w:rsidR="006D4AAD" w:rsidRPr="00A13D69">
        <w:rPr>
          <w:rFonts w:ascii="Arial" w:hAnsi="Arial" w:cs="Arial"/>
          <w:b/>
          <w:bCs/>
        </w:rPr>
        <w:t>Application</w:t>
      </w:r>
      <w:r w:rsidRPr="00A13D69">
        <w:rPr>
          <w:rFonts w:ascii="Arial" w:hAnsi="Arial" w:cs="Arial"/>
          <w:b/>
          <w:bCs/>
        </w:rPr>
        <w:t xml:space="preserve"> </w:t>
      </w:r>
      <w:r w:rsidR="00A13D69" w:rsidRPr="00A13D69">
        <w:rPr>
          <w:rFonts w:ascii="Arial" w:hAnsi="Arial" w:cs="Arial"/>
          <w:b/>
          <w:bCs/>
        </w:rPr>
        <w:t>– Commercial release of a genetically modified (GM) mosquito strain to</w:t>
      </w:r>
      <w:r w:rsidR="00A13D69">
        <w:rPr>
          <w:rFonts w:ascii="Arial" w:hAnsi="Arial" w:cs="Arial"/>
          <w:b/>
          <w:bCs/>
        </w:rPr>
        <w:t xml:space="preserve"> </w:t>
      </w:r>
      <w:r w:rsidR="00A13D69">
        <w:rPr>
          <w:rFonts w:ascii="Arial" w:hAnsi="Arial" w:cs="Arial"/>
          <w:b/>
          <w:bCs/>
        </w:rPr>
        <w:tab/>
        <w:t xml:space="preserve">   help prevent dengue outbreaks</w:t>
      </w:r>
      <w:r w:rsidR="00A13D69">
        <w:tab/>
      </w:r>
    </w:p>
    <w:p w14:paraId="6FA4EB37" w14:textId="315636BC" w:rsidR="00C315BD" w:rsidRDefault="00C315BD" w:rsidP="00C8474D">
      <w:pPr>
        <w:pStyle w:val="BodyText"/>
      </w:pPr>
      <w:r w:rsidRPr="00C10B19">
        <w:t>Licence application DIR</w:t>
      </w:r>
      <w:r w:rsidR="00C43D21">
        <w:t>-</w:t>
      </w:r>
      <w:r w:rsidRPr="00C10B19">
        <w:t>2</w:t>
      </w:r>
      <w:r w:rsidR="00CE11D5">
        <w:t>07</w:t>
      </w:r>
      <w:r w:rsidRPr="00C10B19">
        <w:t xml:space="preserve"> from </w:t>
      </w:r>
      <w:r w:rsidR="00CE11D5" w:rsidRPr="00CE11D5">
        <w:t xml:space="preserve">Oxitec Australia Pty Ltd </w:t>
      </w:r>
      <w:r w:rsidRPr="00C10B19">
        <w:t>is</w:t>
      </w:r>
      <w:r w:rsidR="008B4E7E" w:rsidRPr="008B4E7E">
        <w:t xml:space="preserve"> </w:t>
      </w:r>
      <w:r w:rsidR="00144DB8">
        <w:t>for</w:t>
      </w:r>
      <w:r w:rsidR="008B4E7E">
        <w:t xml:space="preserve"> </w:t>
      </w:r>
      <w:r w:rsidR="00C43D21">
        <w:t xml:space="preserve">the </w:t>
      </w:r>
      <w:r w:rsidR="008B4E7E">
        <w:t xml:space="preserve">commercial release of a GM mosquito strain to reduce the population of </w:t>
      </w:r>
      <w:r w:rsidR="008B4E7E" w:rsidRPr="00645F56">
        <w:rPr>
          <w:i/>
          <w:iCs/>
        </w:rPr>
        <w:t>Aedes aegypti</w:t>
      </w:r>
      <w:r w:rsidR="008B4E7E">
        <w:t xml:space="preserve"> mosquitoes to help prevent</w:t>
      </w:r>
      <w:r w:rsidR="002F093B">
        <w:t xml:space="preserve"> </w:t>
      </w:r>
      <w:r w:rsidR="008B4E7E">
        <w:t>dengue outbreaks in Queensland</w:t>
      </w:r>
      <w:r w:rsidR="002F093B">
        <w:t xml:space="preserve">. </w:t>
      </w:r>
    </w:p>
    <w:p w14:paraId="24E0905F" w14:textId="55627027" w:rsidR="00C315BD" w:rsidRPr="00C10B19" w:rsidRDefault="00226419" w:rsidP="00C315BD">
      <w:pPr>
        <w:pStyle w:val="BodyText"/>
      </w:pPr>
      <w:r>
        <w:t>GTTAC provided advice on the preparation of the RARMP at the 40</w:t>
      </w:r>
      <w:r w:rsidRPr="00A13D69">
        <w:rPr>
          <w:vertAlign w:val="superscript"/>
        </w:rPr>
        <w:t>th</w:t>
      </w:r>
      <w:r>
        <w:t xml:space="preserve"> videoconference on 5</w:t>
      </w:r>
      <w:r w:rsidR="00B908C3">
        <w:t> </w:t>
      </w:r>
      <w:r>
        <w:t>November 2024. At the 43</w:t>
      </w:r>
      <w:r w:rsidRPr="00A13D69">
        <w:rPr>
          <w:vertAlign w:val="superscript"/>
        </w:rPr>
        <w:t>rd</w:t>
      </w:r>
      <w:r>
        <w:t xml:space="preserve"> videoconference further</w:t>
      </w:r>
      <w:r w:rsidRPr="00226419">
        <w:t xml:space="preserve"> advice </w:t>
      </w:r>
      <w:r>
        <w:t xml:space="preserve">was sought </w:t>
      </w:r>
      <w:r w:rsidRPr="00226419">
        <w:t>on the preparation of the consultation RARMP</w:t>
      </w:r>
      <w:r>
        <w:t>, where the following have been identified as key issues:</w:t>
      </w:r>
    </w:p>
    <w:p w14:paraId="0618013F" w14:textId="0B0E9302" w:rsidR="00D74314" w:rsidRDefault="00D74314" w:rsidP="00D74314">
      <w:pPr>
        <w:pStyle w:val="BodyText"/>
        <w:numPr>
          <w:ilvl w:val="0"/>
          <w:numId w:val="5"/>
        </w:numPr>
      </w:pPr>
      <w:r>
        <w:t>Potential for harm due to accidental exposure of humans and animals to the GMO.</w:t>
      </w:r>
    </w:p>
    <w:p w14:paraId="61F4822F" w14:textId="798F9587" w:rsidR="00D74314" w:rsidRDefault="00D74314" w:rsidP="00D74314">
      <w:pPr>
        <w:pStyle w:val="BodyText"/>
        <w:numPr>
          <w:ilvl w:val="0"/>
          <w:numId w:val="5"/>
        </w:numPr>
      </w:pPr>
      <w:r>
        <w:t>Potential for persistence of the GMO in the environment.</w:t>
      </w:r>
    </w:p>
    <w:p w14:paraId="7C333D08" w14:textId="004C09CC" w:rsidR="00D74314" w:rsidRDefault="00D74314" w:rsidP="00D74314">
      <w:pPr>
        <w:pStyle w:val="BodyText"/>
        <w:numPr>
          <w:ilvl w:val="0"/>
          <w:numId w:val="5"/>
        </w:numPr>
      </w:pPr>
      <w:r>
        <w:t>Potential for the introduction of the GMO to increase mosquitoes that can transmit arboviruses.</w:t>
      </w:r>
    </w:p>
    <w:p w14:paraId="54B954B1" w14:textId="79E1E023" w:rsidR="00D74314" w:rsidRDefault="00D74314" w:rsidP="00D74314">
      <w:pPr>
        <w:pStyle w:val="BodyText"/>
        <w:numPr>
          <w:ilvl w:val="0"/>
          <w:numId w:val="5"/>
        </w:numPr>
      </w:pPr>
      <w:r>
        <w:lastRenderedPageBreak/>
        <w:t>Potential for the GMO to have a negative impact on the environment.</w:t>
      </w:r>
    </w:p>
    <w:p w14:paraId="4C1648D7" w14:textId="77777777" w:rsidR="00D74314" w:rsidRDefault="00D74314" w:rsidP="00D74314">
      <w:pPr>
        <w:pStyle w:val="BodyText"/>
        <w:numPr>
          <w:ilvl w:val="0"/>
          <w:numId w:val="5"/>
        </w:numPr>
      </w:pPr>
      <w:r>
        <w:t xml:space="preserve">Potential for the GMO to interbreed with other species of mosquitoes. </w:t>
      </w:r>
    </w:p>
    <w:p w14:paraId="622BB796" w14:textId="1B67041A" w:rsidR="00226419" w:rsidRDefault="00226419" w:rsidP="00D83C35">
      <w:pPr>
        <w:pStyle w:val="BodyText"/>
      </w:pPr>
      <w:r>
        <w:t>The Regulator sought advice on</w:t>
      </w:r>
      <w:r w:rsidR="00D83C35">
        <w:t xml:space="preserve"> </w:t>
      </w:r>
      <w:r>
        <w:t>any additional issues or key literature that should be considered in the preparation of the RARMP for this application.</w:t>
      </w:r>
    </w:p>
    <w:p w14:paraId="43E5DE02" w14:textId="2EEAEBD8" w:rsidR="00B55B6C" w:rsidRDefault="00B55B6C" w:rsidP="00B55B6C">
      <w:pPr>
        <w:pStyle w:val="BodyText"/>
      </w:pPr>
      <w:r>
        <w:t xml:space="preserve">GTTAC discussed possible impacts on animals that consume mosquitoes </w:t>
      </w:r>
      <w:r w:rsidR="00FE0B8D">
        <w:t xml:space="preserve">and </w:t>
      </w:r>
      <w:r w:rsidR="005A5761">
        <w:t xml:space="preserve">concluded </w:t>
      </w:r>
      <w:r>
        <w:t xml:space="preserve">the risk to the environment </w:t>
      </w:r>
      <w:r w:rsidR="0028634C">
        <w:t xml:space="preserve">in general </w:t>
      </w:r>
      <w:r>
        <w:t xml:space="preserve">was minimal or non-existent, which was supported by </w:t>
      </w:r>
      <w:r w:rsidR="00FE0B8D">
        <w:t xml:space="preserve">no deleterious effects </w:t>
      </w:r>
      <w:r w:rsidR="000F072F">
        <w:t xml:space="preserve">being </w:t>
      </w:r>
      <w:r w:rsidR="00DB733C">
        <w:t>observ</w:t>
      </w:r>
      <w:r w:rsidR="000F072F">
        <w:t>ed</w:t>
      </w:r>
      <w:r w:rsidR="00DB733C">
        <w:t xml:space="preserve"> in</w:t>
      </w:r>
      <w:r>
        <w:t xml:space="preserve"> overseas releases of the GM</w:t>
      </w:r>
      <w:r w:rsidR="00B22918">
        <w:t>O</w:t>
      </w:r>
      <w:r>
        <w:t>.</w:t>
      </w:r>
    </w:p>
    <w:p w14:paraId="6482D781" w14:textId="269331C3" w:rsidR="00B55B6C" w:rsidRDefault="00B55B6C" w:rsidP="00B55B6C">
      <w:pPr>
        <w:pStyle w:val="BodyText"/>
      </w:pPr>
      <w:r>
        <w:t xml:space="preserve">GTTAC considered there could be indirect harm to humans if the GMO </w:t>
      </w:r>
      <w:r w:rsidR="005A5761">
        <w:t xml:space="preserve">was </w:t>
      </w:r>
      <w:r w:rsidR="0059058A">
        <w:t xml:space="preserve">to impact </w:t>
      </w:r>
      <w:r>
        <w:t>Wolbachia carrying mosquitoes</w:t>
      </w:r>
      <w:r w:rsidR="003B2805">
        <w:t xml:space="preserve"> in </w:t>
      </w:r>
      <w:r w:rsidR="00670201">
        <w:t>Queensland</w:t>
      </w:r>
      <w:r w:rsidR="00C25443">
        <w:t xml:space="preserve">. </w:t>
      </w:r>
      <w:r w:rsidR="003B2805">
        <w:t xml:space="preserve">GTTAC </w:t>
      </w:r>
      <w:r>
        <w:t xml:space="preserve">affirmed the RARMP should consider </w:t>
      </w:r>
      <w:r w:rsidR="005A5761">
        <w:t>the effect of the GM mosquitoes on Wolbachia carrying mosquitoes</w:t>
      </w:r>
      <w:r>
        <w:t>.</w:t>
      </w:r>
    </w:p>
    <w:p w14:paraId="0A925578" w14:textId="77E8DE7A" w:rsidR="00B55B6C" w:rsidRDefault="00B55B6C" w:rsidP="00B55B6C">
      <w:pPr>
        <w:pStyle w:val="BodyText"/>
      </w:pPr>
      <w:r>
        <w:t xml:space="preserve">GTTAC </w:t>
      </w:r>
      <w:r w:rsidR="00B939EA">
        <w:t>recommended the</w:t>
      </w:r>
      <w:r>
        <w:t xml:space="preserve"> RARMP </w:t>
      </w:r>
      <w:r w:rsidR="009A6B1C">
        <w:t xml:space="preserve">provide more clarity </w:t>
      </w:r>
      <w:r w:rsidR="00B22918">
        <w:t>on</w:t>
      </w:r>
      <w:r w:rsidR="009A6B1C">
        <w:t xml:space="preserve"> the </w:t>
      </w:r>
      <w:r w:rsidR="00A67FE1">
        <w:t>presence of arbovirus</w:t>
      </w:r>
      <w:r w:rsidR="009A6B1C">
        <w:t>es</w:t>
      </w:r>
      <w:r w:rsidR="00A67FE1">
        <w:t xml:space="preserve"> </w:t>
      </w:r>
      <w:r w:rsidR="005A5761">
        <w:t xml:space="preserve">and incidence of disease </w:t>
      </w:r>
      <w:r w:rsidR="00A67FE1">
        <w:t xml:space="preserve">in Australia. </w:t>
      </w:r>
    </w:p>
    <w:p w14:paraId="3436C78E" w14:textId="045805C7" w:rsidR="00C315BD" w:rsidRPr="00716AF0" w:rsidRDefault="00B55B6C" w:rsidP="00285D78">
      <w:pPr>
        <w:pStyle w:val="BodyText"/>
      </w:pPr>
      <w:r>
        <w:t xml:space="preserve">GTTAC </w:t>
      </w:r>
      <w:r w:rsidR="00A26EA8">
        <w:t>recommended the RARMP</w:t>
      </w:r>
      <w:r w:rsidR="00B22918">
        <w:t xml:space="preserve"> use </w:t>
      </w:r>
      <w:r w:rsidRPr="00716AF0">
        <w:t xml:space="preserve">consistent wording </w:t>
      </w:r>
      <w:r w:rsidR="00B22918">
        <w:t>to</w:t>
      </w:r>
      <w:r w:rsidR="00B22918" w:rsidRPr="00716AF0">
        <w:t xml:space="preserve"> </w:t>
      </w:r>
      <w:r w:rsidR="00FE5EF1" w:rsidRPr="00716AF0">
        <w:t>describ</w:t>
      </w:r>
      <w:r w:rsidR="00B22918">
        <w:t>e</w:t>
      </w:r>
      <w:r w:rsidR="008C05DC">
        <w:t xml:space="preserve"> loss</w:t>
      </w:r>
      <w:r w:rsidR="00B22918">
        <w:t xml:space="preserve"> of the transgene in the mosquito population after a certain time</w:t>
      </w:r>
      <w:r w:rsidR="008C05DC">
        <w:t xml:space="preserve"> and non-detection of the transgene</w:t>
      </w:r>
      <w:r w:rsidR="00226419">
        <w:t>.</w:t>
      </w:r>
      <w:r w:rsidR="00B22918">
        <w:t xml:space="preserve"> </w:t>
      </w:r>
      <w:r w:rsidR="00226419">
        <w:t xml:space="preserve">GTTAC </w:t>
      </w:r>
      <w:r w:rsidR="008C05DC">
        <w:t>suggested</w:t>
      </w:r>
      <w:r w:rsidR="00226419">
        <w:t xml:space="preserve"> clarify</w:t>
      </w:r>
      <w:r w:rsidR="008C05DC">
        <w:t>ing</w:t>
      </w:r>
      <w:r w:rsidR="00285D78">
        <w:t xml:space="preserve"> </w:t>
      </w:r>
      <w:r w:rsidRPr="00716AF0">
        <w:t>the reported incidence of dengue in Queensland and across Australia</w:t>
      </w:r>
      <w:r w:rsidR="00B22918">
        <w:t>.</w:t>
      </w:r>
    </w:p>
    <w:tbl>
      <w:tblPr>
        <w:tblStyle w:val="TableGrid"/>
        <w:tblW w:w="0" w:type="auto"/>
        <w:tblLook w:val="04A0" w:firstRow="1" w:lastRow="0" w:firstColumn="1" w:lastColumn="0" w:noHBand="0" w:noVBand="1"/>
      </w:tblPr>
      <w:tblGrid>
        <w:gridCol w:w="9628"/>
      </w:tblGrid>
      <w:tr w:rsidR="00C315BD" w:rsidRPr="00785DC0" w14:paraId="44DBFD00" w14:textId="77777777" w:rsidTr="00F555CE">
        <w:tc>
          <w:tcPr>
            <w:tcW w:w="9628" w:type="dxa"/>
          </w:tcPr>
          <w:p w14:paraId="34926755" w14:textId="77777777" w:rsidR="00C315BD" w:rsidRPr="00C10B19" w:rsidRDefault="00C315BD" w:rsidP="00F555CE">
            <w:pPr>
              <w:pStyle w:val="BodyText"/>
              <w:keepNext/>
              <w:rPr>
                <w:b/>
                <w:bCs/>
              </w:rPr>
            </w:pPr>
            <w:r w:rsidRPr="00C10B19">
              <w:rPr>
                <w:b/>
                <w:bCs/>
              </w:rPr>
              <w:t>Resolutions</w:t>
            </w:r>
          </w:p>
          <w:p w14:paraId="564274B7"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consider the impact of the GM mosquito release on the population of Wolbachia mosquitoes and any subsequent health risks to people from dengue.</w:t>
            </w:r>
          </w:p>
          <w:p w14:paraId="4E847A5B"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consider the incidence of arboviruses in the environment.</w:t>
            </w:r>
          </w:p>
          <w:p w14:paraId="4B56C1C9"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consider consistency of wording around how long the GM mosquitoes will persist in the environment.</w:t>
            </w:r>
          </w:p>
          <w:p w14:paraId="1EABEE26" w14:textId="2EA9DC74"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resolve the number of dengue cases in the different jurisdictions.</w:t>
            </w:r>
          </w:p>
        </w:tc>
      </w:tr>
    </w:tbl>
    <w:p w14:paraId="57D50E3F" w14:textId="1D030619" w:rsidR="00C315BD" w:rsidRDefault="00C315BD" w:rsidP="00C315BD">
      <w:pPr>
        <w:pStyle w:val="Cmqheading2"/>
      </w:pPr>
      <w:r w:rsidRPr="005B26D0">
        <w:t xml:space="preserve">Advice on </w:t>
      </w:r>
      <w:r w:rsidR="005A5761">
        <w:t>consultation rarmps</w:t>
      </w:r>
      <w:r w:rsidR="005A5761" w:rsidRPr="005B26D0">
        <w:t xml:space="preserve"> </w:t>
      </w:r>
      <w:r w:rsidRPr="005B26D0">
        <w:t xml:space="preserve">– </w:t>
      </w:r>
      <w:r>
        <w:t>limited and controlled</w:t>
      </w:r>
      <w:r w:rsidRPr="005B26D0">
        <w:t xml:space="preserve"> release</w:t>
      </w:r>
    </w:p>
    <w:p w14:paraId="330FD099" w14:textId="35E609F0" w:rsidR="00C315BD" w:rsidRDefault="00C315BD" w:rsidP="00C315BD">
      <w:pPr>
        <w:pStyle w:val="BodyText"/>
        <w:rPr>
          <w:rFonts w:eastAsiaTheme="majorEastAsia"/>
          <w:b/>
        </w:rPr>
      </w:pPr>
      <w:hyperlink r:id="rId8" w:history="1">
        <w:r w:rsidRPr="00226419">
          <w:rPr>
            <w:rStyle w:val="Hyperlink"/>
            <w:rFonts w:eastAsiaTheme="majorEastAsia"/>
            <w:b/>
          </w:rPr>
          <w:t>DIR-214</w:t>
        </w:r>
      </w:hyperlink>
      <w:r w:rsidRPr="00C315BD">
        <w:rPr>
          <w:rFonts w:eastAsiaTheme="majorEastAsia"/>
          <w:b/>
        </w:rPr>
        <w:t xml:space="preserve"> RARMP </w:t>
      </w:r>
      <w:r w:rsidR="00526CF2">
        <w:rPr>
          <w:rFonts w:eastAsiaTheme="majorEastAsia"/>
          <w:b/>
        </w:rPr>
        <w:t>–</w:t>
      </w:r>
      <w:r w:rsidRPr="00C315BD">
        <w:rPr>
          <w:rFonts w:eastAsiaTheme="majorEastAsia"/>
          <w:b/>
        </w:rPr>
        <w:t xml:space="preserve"> Trial of a GM vaccine for the prevention of respiratory disease in horses</w:t>
      </w:r>
    </w:p>
    <w:p w14:paraId="5A45BF40" w14:textId="19708C71" w:rsidR="00C315BD" w:rsidRDefault="00C315BD" w:rsidP="00822EFF">
      <w:pPr>
        <w:pStyle w:val="BodyText"/>
      </w:pPr>
      <w:r w:rsidRPr="00C10B19">
        <w:t>Licence application DIR</w:t>
      </w:r>
      <w:r w:rsidR="00526CF2">
        <w:t>-</w:t>
      </w:r>
      <w:r w:rsidRPr="00C10B19">
        <w:t>21</w:t>
      </w:r>
      <w:r w:rsidR="002F4612">
        <w:t>4</w:t>
      </w:r>
      <w:r w:rsidRPr="00C10B19">
        <w:t xml:space="preserve"> from </w:t>
      </w:r>
      <w:r w:rsidR="002F4612">
        <w:t>the</w:t>
      </w:r>
      <w:r w:rsidR="002F4612" w:rsidRPr="002F4612">
        <w:t xml:space="preserve"> University of Queensland </w:t>
      </w:r>
      <w:r w:rsidR="000121CE">
        <w:t>is</w:t>
      </w:r>
      <w:r w:rsidR="00CD5861">
        <w:t xml:space="preserve"> a</w:t>
      </w:r>
      <w:r w:rsidR="00822EFF">
        <w:t xml:space="preserve"> GM vaccine</w:t>
      </w:r>
      <w:r w:rsidR="000121CE">
        <w:t xml:space="preserve"> trial </w:t>
      </w:r>
      <w:r w:rsidR="00822EFF">
        <w:t xml:space="preserve">for the prevention of </w:t>
      </w:r>
      <w:proofErr w:type="spellStart"/>
      <w:r w:rsidR="00822EFF" w:rsidRPr="000121CE">
        <w:rPr>
          <w:i/>
          <w:iCs/>
        </w:rPr>
        <w:t>R</w:t>
      </w:r>
      <w:r w:rsidR="00526CF2">
        <w:rPr>
          <w:i/>
          <w:iCs/>
        </w:rPr>
        <w:t>hodococcus</w:t>
      </w:r>
      <w:proofErr w:type="spellEnd"/>
      <w:r w:rsidR="00822EFF" w:rsidRPr="000121CE">
        <w:rPr>
          <w:i/>
          <w:iCs/>
        </w:rPr>
        <w:t xml:space="preserve"> </w:t>
      </w:r>
      <w:proofErr w:type="spellStart"/>
      <w:r w:rsidR="00822EFF" w:rsidRPr="000121CE">
        <w:rPr>
          <w:i/>
          <w:iCs/>
        </w:rPr>
        <w:t>equi</w:t>
      </w:r>
      <w:proofErr w:type="spellEnd"/>
      <w:r w:rsidR="00526CF2">
        <w:t>-</w:t>
      </w:r>
      <w:r w:rsidR="00822EFF">
        <w:t>induced respiratory disease in foals (</w:t>
      </w:r>
      <w:r w:rsidR="00526CF2">
        <w:t>r</w:t>
      </w:r>
      <w:r w:rsidR="00822EFF">
        <w:t xml:space="preserve">attles). The proposed trial would </w:t>
      </w:r>
      <w:r w:rsidR="00623711">
        <w:t>be</w:t>
      </w:r>
      <w:r w:rsidR="00FC3EAE">
        <w:t xml:space="preserve"> conducted at an animal facility at </w:t>
      </w:r>
      <w:r w:rsidR="005A5761">
        <w:t>the University of Queensland</w:t>
      </w:r>
      <w:r w:rsidR="003B32E6">
        <w:t>,</w:t>
      </w:r>
      <w:r w:rsidR="00FC3EAE">
        <w:t xml:space="preserve"> </w:t>
      </w:r>
      <w:r w:rsidR="00526CF2">
        <w:t xml:space="preserve">treating up to 10 foals </w:t>
      </w:r>
      <w:r w:rsidR="003B32E6">
        <w:t>to</w:t>
      </w:r>
      <w:r w:rsidR="00623711">
        <w:t xml:space="preserve"> </w:t>
      </w:r>
      <w:r w:rsidR="00822EFF">
        <w:t xml:space="preserve">assess the safety and efficacy of the GM vaccine. </w:t>
      </w:r>
    </w:p>
    <w:p w14:paraId="40C6E087" w14:textId="0DC87A09" w:rsidR="00C315BD" w:rsidRPr="00C10B19" w:rsidRDefault="001212C7" w:rsidP="001212C7">
      <w:pPr>
        <w:pStyle w:val="BodyText"/>
      </w:pPr>
      <w:r>
        <w:t xml:space="preserve">GTTAC noted the conclusion of the RARMP that risks to the health and safety of people </w:t>
      </w:r>
      <w:r w:rsidR="005A5761">
        <w:t xml:space="preserve">and </w:t>
      </w:r>
      <w:r>
        <w:t xml:space="preserve">the environment from the proposed trial are negligible. </w:t>
      </w:r>
      <w:bookmarkStart w:id="1" w:name="_Hlk199326220"/>
      <w:r>
        <w:t>The Committee discussed the following key</w:t>
      </w:r>
      <w:r w:rsidR="00526CF2">
        <w:t xml:space="preserve"> </w:t>
      </w:r>
      <w:r>
        <w:t>topics:</w:t>
      </w:r>
    </w:p>
    <w:bookmarkEnd w:id="1"/>
    <w:p w14:paraId="386A1F86" w14:textId="01716AF2" w:rsidR="00A71634" w:rsidRDefault="00A62D98" w:rsidP="00685987">
      <w:pPr>
        <w:pStyle w:val="BodyText"/>
        <w:numPr>
          <w:ilvl w:val="0"/>
          <w:numId w:val="7"/>
        </w:numPr>
      </w:pPr>
      <w:r>
        <w:t xml:space="preserve">potential </w:t>
      </w:r>
      <w:r w:rsidR="001F7C6D">
        <w:t xml:space="preserve">inadvertent exposure of </w:t>
      </w:r>
      <w:r w:rsidR="00794451">
        <w:t>clinical staff</w:t>
      </w:r>
      <w:r w:rsidR="00685987">
        <w:t xml:space="preserve"> administering the </w:t>
      </w:r>
      <w:r w:rsidR="001F7C6D">
        <w:t>GMO</w:t>
      </w:r>
      <w:r w:rsidR="00534AA9">
        <w:t xml:space="preserve"> </w:t>
      </w:r>
    </w:p>
    <w:p w14:paraId="3F7832BA" w14:textId="0F733E36" w:rsidR="001F7C6D" w:rsidRDefault="00A71634" w:rsidP="00685987">
      <w:pPr>
        <w:pStyle w:val="BodyText"/>
        <w:numPr>
          <w:ilvl w:val="0"/>
          <w:numId w:val="7"/>
        </w:numPr>
      </w:pPr>
      <w:r>
        <w:t>considerations</w:t>
      </w:r>
      <w:r w:rsidR="00534AA9">
        <w:t xml:space="preserve"> around the use of antiviral </w:t>
      </w:r>
      <w:r>
        <w:t xml:space="preserve">drugs given the </w:t>
      </w:r>
      <w:r w:rsidR="00817206">
        <w:t xml:space="preserve">GMO </w:t>
      </w:r>
      <w:r w:rsidR="00685987">
        <w:t xml:space="preserve">is </w:t>
      </w:r>
      <w:r w:rsidR="00817206">
        <w:t xml:space="preserve">replication-incompetent </w:t>
      </w:r>
    </w:p>
    <w:p w14:paraId="4291E188" w14:textId="624CB33D" w:rsidR="00C315BD" w:rsidRDefault="00685987" w:rsidP="00685987">
      <w:pPr>
        <w:pStyle w:val="BodyText"/>
        <w:numPr>
          <w:ilvl w:val="0"/>
          <w:numId w:val="7"/>
        </w:numPr>
      </w:pPr>
      <w:r>
        <w:t xml:space="preserve">clarification </w:t>
      </w:r>
      <w:r w:rsidR="00526CF2">
        <w:t>of</w:t>
      </w:r>
      <w:r w:rsidR="001F7C6D">
        <w:t xml:space="preserve"> chemical decontamination</w:t>
      </w:r>
      <w:r w:rsidR="00526CF2" w:rsidRPr="00526CF2">
        <w:t xml:space="preserve"> </w:t>
      </w:r>
      <w:r w:rsidR="00526CF2">
        <w:t>requirements</w:t>
      </w:r>
      <w:r w:rsidR="001F7C6D">
        <w:t>.</w:t>
      </w:r>
    </w:p>
    <w:p w14:paraId="6865B791" w14:textId="77777777" w:rsidR="001F7C6D" w:rsidRPr="00C10B19" w:rsidRDefault="001F7C6D" w:rsidP="00C315BD">
      <w:pPr>
        <w:pStyle w:val="BodyText"/>
        <w:rPr>
          <w:highlight w:val="yellow"/>
        </w:rPr>
      </w:pPr>
    </w:p>
    <w:tbl>
      <w:tblPr>
        <w:tblStyle w:val="TableGrid"/>
        <w:tblW w:w="0" w:type="auto"/>
        <w:tblLook w:val="04A0" w:firstRow="1" w:lastRow="0" w:firstColumn="1" w:lastColumn="0" w:noHBand="0" w:noVBand="1"/>
      </w:tblPr>
      <w:tblGrid>
        <w:gridCol w:w="9628"/>
      </w:tblGrid>
      <w:tr w:rsidR="00C315BD" w:rsidRPr="00785DC0" w14:paraId="4871FA6A" w14:textId="77777777" w:rsidTr="00F555CE">
        <w:tc>
          <w:tcPr>
            <w:tcW w:w="9628" w:type="dxa"/>
          </w:tcPr>
          <w:p w14:paraId="7185FA31" w14:textId="77777777" w:rsidR="00C315BD" w:rsidRPr="00C10B19" w:rsidRDefault="00C315BD" w:rsidP="00F555CE">
            <w:pPr>
              <w:pStyle w:val="BodyText"/>
              <w:keepNext/>
              <w:rPr>
                <w:b/>
                <w:bCs/>
              </w:rPr>
            </w:pPr>
            <w:r w:rsidRPr="00C10B19">
              <w:rPr>
                <w:b/>
                <w:bCs/>
              </w:rPr>
              <w:lastRenderedPageBreak/>
              <w:t>Resolutions</w:t>
            </w:r>
          </w:p>
          <w:p w14:paraId="0D07FAAE"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agrees that the risk assessment identifies all plausible risk scenarios by which the proposed dealings could potentially give rise to risks relating to the health and safety of people or the environment.</w:t>
            </w:r>
          </w:p>
          <w:p w14:paraId="062897B7"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agrees that the limits and controls proposed in the draft licence to prevent the spread of the GM vaccine are appropriate for the trial. </w:t>
            </w:r>
          </w:p>
          <w:p w14:paraId="5E510B4A"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clarify the disinfectants used for decontamination. </w:t>
            </w:r>
          </w:p>
          <w:p w14:paraId="6CE5D6E5" w14:textId="2E711A2F"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agrees with the overall conclusion of the RARMP.</w:t>
            </w:r>
          </w:p>
        </w:tc>
      </w:tr>
    </w:tbl>
    <w:p w14:paraId="029C20FF" w14:textId="77777777" w:rsidR="00C315BD" w:rsidRDefault="00C315BD" w:rsidP="00C315BD">
      <w:pPr>
        <w:pStyle w:val="BodyText"/>
        <w:rPr>
          <w:rFonts w:eastAsiaTheme="majorEastAsia"/>
          <w:b/>
        </w:rPr>
      </w:pPr>
    </w:p>
    <w:p w14:paraId="325D091C" w14:textId="294B5DF8" w:rsidR="00A13D69" w:rsidRDefault="00C315BD" w:rsidP="00C315BD">
      <w:pPr>
        <w:pStyle w:val="BodyText"/>
        <w:rPr>
          <w:rFonts w:eastAsiaTheme="majorEastAsia"/>
          <w:b/>
        </w:rPr>
      </w:pPr>
      <w:hyperlink r:id="rId9" w:history="1">
        <w:r w:rsidRPr="00226419">
          <w:rPr>
            <w:rStyle w:val="Hyperlink"/>
            <w:rFonts w:eastAsiaTheme="majorEastAsia"/>
            <w:b/>
          </w:rPr>
          <w:t>DIR-211</w:t>
        </w:r>
      </w:hyperlink>
      <w:r w:rsidRPr="00C315BD">
        <w:rPr>
          <w:rFonts w:eastAsiaTheme="majorEastAsia"/>
          <w:b/>
        </w:rPr>
        <w:t xml:space="preserve"> </w:t>
      </w:r>
      <w:bookmarkStart w:id="2" w:name="_Hlk201937573"/>
      <w:r w:rsidRPr="00C315BD">
        <w:rPr>
          <w:rFonts w:eastAsiaTheme="majorEastAsia"/>
          <w:b/>
        </w:rPr>
        <w:t xml:space="preserve">RARMP </w:t>
      </w:r>
      <w:r w:rsidR="00526CF2">
        <w:rPr>
          <w:rFonts w:eastAsiaTheme="majorEastAsia"/>
          <w:b/>
        </w:rPr>
        <w:t>–</w:t>
      </w:r>
      <w:r w:rsidRPr="00C315BD">
        <w:rPr>
          <w:rFonts w:eastAsiaTheme="majorEastAsia"/>
          <w:b/>
        </w:rPr>
        <w:t xml:space="preserve"> Limited and controlled release of safflower genetically modified for dairy</w:t>
      </w:r>
      <w:r w:rsidR="00A13D69">
        <w:rPr>
          <w:rFonts w:eastAsiaTheme="majorEastAsia"/>
          <w:b/>
        </w:rPr>
        <w:tab/>
        <w:t xml:space="preserve">   protein production and altered fat composition</w:t>
      </w:r>
    </w:p>
    <w:bookmarkEnd w:id="2"/>
    <w:p w14:paraId="7D90841A" w14:textId="64DD3FDB" w:rsidR="00672A50" w:rsidRDefault="00501210" w:rsidP="00672A50">
      <w:pPr>
        <w:pStyle w:val="BodyText"/>
      </w:pPr>
      <w:r>
        <w:t>Miruku Australia Pty Ltd applied for a licence</w:t>
      </w:r>
      <w:r w:rsidR="009B1311">
        <w:t xml:space="preserve"> </w:t>
      </w:r>
      <w:r w:rsidR="00411BD3">
        <w:t>to conduct</w:t>
      </w:r>
      <w:r w:rsidR="009B1311">
        <w:t xml:space="preserve"> a</w:t>
      </w:r>
      <w:r>
        <w:t xml:space="preserve"> </w:t>
      </w:r>
      <w:r w:rsidR="009B1311">
        <w:t xml:space="preserve">field trial </w:t>
      </w:r>
      <w:r>
        <w:t>of safflower lines genetically modified for dairy protein</w:t>
      </w:r>
      <w:r w:rsidR="009B1311">
        <w:t xml:space="preserve"> </w:t>
      </w:r>
      <w:r>
        <w:t>production and altered fat composition.</w:t>
      </w:r>
      <w:r w:rsidR="009B1311">
        <w:t xml:space="preserve"> </w:t>
      </w:r>
      <w:r w:rsidR="00DF7488">
        <w:t xml:space="preserve">The purpose of the trial is to assess production of dairy protein and altered fat composition under field conditions. </w:t>
      </w:r>
      <w:r w:rsidR="00672A50">
        <w:t>The proposed field trial would be conducted over 4 years and 8 months, at up to 52 trial sites</w:t>
      </w:r>
      <w:r w:rsidR="00F77695">
        <w:t xml:space="preserve"> with</w:t>
      </w:r>
      <w:r w:rsidR="00CA0E32">
        <w:t xml:space="preserve"> </w:t>
      </w:r>
      <w:r w:rsidR="00515AB8">
        <w:t>a</w:t>
      </w:r>
      <w:r w:rsidR="00CA0E32">
        <w:t xml:space="preserve"> total</w:t>
      </w:r>
      <w:r w:rsidR="00DF7488">
        <w:t xml:space="preserve"> maximum area of </w:t>
      </w:r>
      <w:r w:rsidR="00672A50">
        <w:t>981 ha</w:t>
      </w:r>
      <w:r w:rsidR="00DF7488">
        <w:t>.</w:t>
      </w:r>
    </w:p>
    <w:p w14:paraId="1F4FA0F3" w14:textId="0E9145D4" w:rsidR="00C315BD" w:rsidRDefault="00C315BD" w:rsidP="00515AB8">
      <w:pPr>
        <w:pStyle w:val="BodyText"/>
      </w:pPr>
      <w:r>
        <w:t xml:space="preserve">GTTAC noted the conclusion of the RARMP that the proposed </w:t>
      </w:r>
      <w:r w:rsidR="00CA0E32">
        <w:t>field</w:t>
      </w:r>
      <w:r>
        <w:t xml:space="preserve"> trial poses negligible risks to the health and safety of individuals and the environment </w:t>
      </w:r>
      <w:proofErr w:type="gramStart"/>
      <w:r>
        <w:t>as a result of</w:t>
      </w:r>
      <w:proofErr w:type="gramEnd"/>
      <w:r>
        <w:t xml:space="preserve"> gene technology.</w:t>
      </w:r>
      <w:r w:rsidR="00515AB8" w:rsidRPr="00515AB8">
        <w:t xml:space="preserve"> </w:t>
      </w:r>
      <w:r w:rsidR="00515AB8">
        <w:t>The Committee discussed the following key topics:</w:t>
      </w:r>
    </w:p>
    <w:p w14:paraId="475A1455" w14:textId="67864369" w:rsidR="000D5202" w:rsidRDefault="00526CF2" w:rsidP="007341FB">
      <w:pPr>
        <w:pStyle w:val="BodyText"/>
        <w:numPr>
          <w:ilvl w:val="0"/>
          <w:numId w:val="8"/>
        </w:numPr>
      </w:pPr>
      <w:r>
        <w:t xml:space="preserve">requirements for </w:t>
      </w:r>
      <w:r w:rsidR="006F6EB6">
        <w:t xml:space="preserve">cleaning </w:t>
      </w:r>
      <w:r w:rsidR="00622F2C">
        <w:t xml:space="preserve">of harvesting machinery, </w:t>
      </w:r>
      <w:r>
        <w:t xml:space="preserve">given </w:t>
      </w:r>
      <w:r w:rsidR="001B0023">
        <w:t>the difficulty in harvesting safflower</w:t>
      </w:r>
    </w:p>
    <w:p w14:paraId="590CDC7D" w14:textId="648886DA" w:rsidR="000C1B4C" w:rsidRDefault="00917F0A" w:rsidP="007341FB">
      <w:pPr>
        <w:pStyle w:val="BodyText"/>
        <w:numPr>
          <w:ilvl w:val="0"/>
          <w:numId w:val="8"/>
        </w:numPr>
      </w:pPr>
      <w:bookmarkStart w:id="3" w:name="_Hlk202450262"/>
      <w:r>
        <w:t>possible effect</w:t>
      </w:r>
      <w:r w:rsidR="00DA141D">
        <w:t>s</w:t>
      </w:r>
      <w:r>
        <w:t xml:space="preserve"> of the genetic modification on </w:t>
      </w:r>
      <w:r w:rsidR="00EC454E">
        <w:t>dormancy and weediness</w:t>
      </w:r>
    </w:p>
    <w:bookmarkEnd w:id="3"/>
    <w:p w14:paraId="30E545A6" w14:textId="5C9AE245" w:rsidR="000D5202" w:rsidRPr="007341FB" w:rsidRDefault="00AD4917" w:rsidP="007341FB">
      <w:pPr>
        <w:pStyle w:val="BodyText"/>
        <w:numPr>
          <w:ilvl w:val="0"/>
          <w:numId w:val="8"/>
        </w:numPr>
      </w:pPr>
      <w:r>
        <w:t xml:space="preserve">the potential for </w:t>
      </w:r>
      <w:r w:rsidR="0082466E">
        <w:t>ingestion during</w:t>
      </w:r>
      <w:r w:rsidR="006972D7" w:rsidRPr="007341FB">
        <w:t xml:space="preserve"> </w:t>
      </w:r>
      <w:r w:rsidR="000D5202" w:rsidRPr="007341FB">
        <w:t>sensory testing</w:t>
      </w:r>
      <w:r w:rsidR="007C55FB" w:rsidRPr="007341FB">
        <w:t xml:space="preserve">, noting that </w:t>
      </w:r>
      <w:r w:rsidR="008A33A8" w:rsidRPr="007341FB">
        <w:t>sensory</w:t>
      </w:r>
      <w:r w:rsidR="009E33C4" w:rsidRPr="007341FB">
        <w:t xml:space="preserve"> testing</w:t>
      </w:r>
      <w:r w:rsidR="007C55FB" w:rsidRPr="007341FB">
        <w:t xml:space="preserve"> would also require approval </w:t>
      </w:r>
      <w:r w:rsidR="000D5202" w:rsidRPr="007341FB">
        <w:t xml:space="preserve">by a human research ethics committee </w:t>
      </w:r>
    </w:p>
    <w:p w14:paraId="0239D19F" w14:textId="77350306" w:rsidR="00C315BD" w:rsidRPr="007341FB" w:rsidRDefault="000D5202" w:rsidP="00C315BD">
      <w:pPr>
        <w:pStyle w:val="BodyText"/>
        <w:numPr>
          <w:ilvl w:val="0"/>
          <w:numId w:val="8"/>
        </w:numPr>
        <w:autoSpaceDE w:val="0"/>
        <w:autoSpaceDN w:val="0"/>
        <w:adjustRightInd w:val="0"/>
      </w:pPr>
      <w:r w:rsidRPr="007341FB">
        <w:t>distance require</w:t>
      </w:r>
      <w:r w:rsidR="007341FB" w:rsidRPr="007341FB">
        <w:t>ments</w:t>
      </w:r>
      <w:r w:rsidRPr="007341FB">
        <w:t xml:space="preserve"> between the field trial and watercourses</w:t>
      </w:r>
      <w:r w:rsidR="00AD4917">
        <w:t xml:space="preserve"> </w:t>
      </w:r>
      <w:r w:rsidR="00C0007C">
        <w:t xml:space="preserve">and </w:t>
      </w:r>
      <w:r w:rsidR="00AD4917">
        <w:t xml:space="preserve">the meaning of </w:t>
      </w:r>
      <w:r w:rsidR="00287350">
        <w:t>‘</w:t>
      </w:r>
      <w:r w:rsidR="00010537">
        <w:t>flood prone</w:t>
      </w:r>
      <w:r w:rsidR="00287350">
        <w:t>’</w:t>
      </w:r>
      <w:r w:rsidR="007341FB">
        <w:t>.</w:t>
      </w:r>
    </w:p>
    <w:tbl>
      <w:tblPr>
        <w:tblStyle w:val="TableGrid"/>
        <w:tblW w:w="0" w:type="auto"/>
        <w:tblLook w:val="04A0" w:firstRow="1" w:lastRow="0" w:firstColumn="1" w:lastColumn="0" w:noHBand="0" w:noVBand="1"/>
      </w:tblPr>
      <w:tblGrid>
        <w:gridCol w:w="9628"/>
      </w:tblGrid>
      <w:tr w:rsidR="00C315BD" w:rsidRPr="00A40F5B" w14:paraId="135DCCDC" w14:textId="77777777" w:rsidTr="00F555CE">
        <w:trPr>
          <w:trHeight w:val="699"/>
        </w:trPr>
        <w:tc>
          <w:tcPr>
            <w:tcW w:w="9628" w:type="dxa"/>
          </w:tcPr>
          <w:p w14:paraId="7F2B60FA" w14:textId="77777777" w:rsidR="00C315BD" w:rsidRPr="00C10B19" w:rsidRDefault="00C315BD" w:rsidP="00F555CE">
            <w:pPr>
              <w:pStyle w:val="BodyText"/>
              <w:rPr>
                <w:b/>
                <w:bCs/>
              </w:rPr>
            </w:pPr>
            <w:r w:rsidRPr="00C10B19">
              <w:rPr>
                <w:b/>
                <w:bCs/>
              </w:rPr>
              <w:t>Resolutions</w:t>
            </w:r>
          </w:p>
          <w:p w14:paraId="785C2C2B"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agrees that the risk assessment identifies all plausible risk scenarios by which the proposed release could give rise to risks relating to the health and safety of people or the environment.</w:t>
            </w:r>
          </w:p>
          <w:p w14:paraId="03175C12"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further consider risks associated with the potential for increased dormancy and increased weediness </w:t>
            </w:r>
            <w:proofErr w:type="gramStart"/>
            <w:r w:rsidRPr="00C315BD">
              <w:rPr>
                <w:rFonts w:ascii="Arial" w:eastAsia="Times New Roman" w:hAnsi="Arial" w:cs="Arial"/>
              </w:rPr>
              <w:t>as a result of</w:t>
            </w:r>
            <w:proofErr w:type="gramEnd"/>
            <w:r w:rsidRPr="00C315BD">
              <w:rPr>
                <w:rFonts w:ascii="Arial" w:eastAsia="Times New Roman" w:hAnsi="Arial" w:cs="Arial"/>
              </w:rPr>
              <w:t xml:space="preserve"> the fusion protein and changed fat profile. </w:t>
            </w:r>
          </w:p>
          <w:p w14:paraId="3233C820"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further consider controls </w:t>
            </w:r>
            <w:proofErr w:type="gramStart"/>
            <w:r w:rsidRPr="00C315BD">
              <w:rPr>
                <w:rFonts w:ascii="Arial" w:eastAsia="Times New Roman" w:hAnsi="Arial" w:cs="Arial"/>
              </w:rPr>
              <w:t>in regard to</w:t>
            </w:r>
            <w:proofErr w:type="gramEnd"/>
            <w:r w:rsidRPr="00C315BD">
              <w:rPr>
                <w:rFonts w:ascii="Arial" w:eastAsia="Times New Roman" w:hAnsi="Arial" w:cs="Arial"/>
              </w:rPr>
              <w:t xml:space="preserve"> cleaning of equipment and verification of the cleaning process.</w:t>
            </w:r>
          </w:p>
          <w:p w14:paraId="07914634"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seek more detail about the sensory testing, and whether further controls around the testing are required. </w:t>
            </w:r>
          </w:p>
          <w:p w14:paraId="6B3EE373"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reconsider the distance of the trial sites from waterways.</w:t>
            </w:r>
          </w:p>
          <w:p w14:paraId="66A89335"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consider clarifying what is considered flood prone.</w:t>
            </w:r>
          </w:p>
          <w:p w14:paraId="24CE2492" w14:textId="7569B4BC"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agrees with the overall conclusion of the RARMP.</w:t>
            </w:r>
          </w:p>
        </w:tc>
      </w:tr>
    </w:tbl>
    <w:p w14:paraId="69A9ED7C" w14:textId="77777777" w:rsidR="00C315BD" w:rsidRDefault="00C315BD" w:rsidP="00C315BD">
      <w:pPr>
        <w:pStyle w:val="BodyText"/>
        <w:rPr>
          <w:rFonts w:eastAsiaTheme="majorEastAsia"/>
          <w:b/>
        </w:rPr>
      </w:pPr>
    </w:p>
    <w:p w14:paraId="53398C81" w14:textId="49F38B73" w:rsidR="00A13D69" w:rsidRDefault="00C315BD" w:rsidP="00A13D69">
      <w:pPr>
        <w:pStyle w:val="BodyText"/>
        <w:ind w:left="720" w:hanging="720"/>
        <w:rPr>
          <w:rFonts w:eastAsiaTheme="majorEastAsia"/>
          <w:b/>
        </w:rPr>
      </w:pPr>
      <w:hyperlink r:id="rId10" w:history="1">
        <w:r w:rsidRPr="00226419">
          <w:rPr>
            <w:rStyle w:val="Hyperlink"/>
            <w:rFonts w:eastAsiaTheme="majorEastAsia"/>
            <w:b/>
          </w:rPr>
          <w:t>DIR-215</w:t>
        </w:r>
      </w:hyperlink>
      <w:r w:rsidRPr="00C315BD">
        <w:rPr>
          <w:rFonts w:eastAsiaTheme="majorEastAsia"/>
          <w:b/>
        </w:rPr>
        <w:t xml:space="preserve"> </w:t>
      </w:r>
      <w:r w:rsidR="00A13D69" w:rsidRPr="00C315BD">
        <w:rPr>
          <w:rFonts w:eastAsiaTheme="majorEastAsia"/>
          <w:b/>
        </w:rPr>
        <w:t xml:space="preserve">RARMP </w:t>
      </w:r>
      <w:r w:rsidR="00A13D69">
        <w:rPr>
          <w:rFonts w:eastAsiaTheme="majorEastAsia"/>
          <w:b/>
        </w:rPr>
        <w:t>–</w:t>
      </w:r>
      <w:r w:rsidR="00A13D69" w:rsidRPr="00C315BD">
        <w:rPr>
          <w:rFonts w:eastAsiaTheme="majorEastAsia"/>
          <w:b/>
        </w:rPr>
        <w:t xml:space="preserve"> Limited and controlled release of </w:t>
      </w:r>
      <w:r w:rsidR="00A13D69">
        <w:rPr>
          <w:rFonts w:eastAsiaTheme="majorEastAsia"/>
          <w:b/>
        </w:rPr>
        <w:t>canola</w:t>
      </w:r>
      <w:r w:rsidR="00A13D69" w:rsidRPr="00C315BD">
        <w:rPr>
          <w:rFonts w:eastAsiaTheme="majorEastAsia"/>
          <w:b/>
        </w:rPr>
        <w:t xml:space="preserve"> genetically modified for dairy</w:t>
      </w:r>
      <w:r w:rsidR="00A13D69">
        <w:rPr>
          <w:rFonts w:eastAsiaTheme="majorEastAsia"/>
          <w:b/>
        </w:rPr>
        <w:t xml:space="preserve"> protein production </w:t>
      </w:r>
    </w:p>
    <w:p w14:paraId="3621FD56" w14:textId="6009042C" w:rsidR="00614714" w:rsidRDefault="00614714" w:rsidP="00084161">
      <w:pPr>
        <w:pStyle w:val="BodyText"/>
      </w:pPr>
      <w:r>
        <w:t xml:space="preserve">Miruku Australia Pty Ltd applied for a licence </w:t>
      </w:r>
      <w:r w:rsidR="00411BD3">
        <w:t>to conduct</w:t>
      </w:r>
      <w:r>
        <w:t xml:space="preserve"> a field trial of </w:t>
      </w:r>
      <w:r w:rsidR="000478EE">
        <w:t>canola</w:t>
      </w:r>
      <w:r>
        <w:t xml:space="preserve"> lines genetically modified for dairy protein production. The purpose of the trial is to assess production of dairy protein in GM </w:t>
      </w:r>
      <w:r w:rsidR="000478EE">
        <w:t>canola</w:t>
      </w:r>
      <w:r>
        <w:t xml:space="preserve"> under field conditions. The proposed field trial would be conducted over 4 years and 8 months, at up to 52 trial sites with a total maximum area of </w:t>
      </w:r>
      <w:r w:rsidR="00B476FC">
        <w:t>436</w:t>
      </w:r>
      <w:r>
        <w:t xml:space="preserve"> ha.</w:t>
      </w:r>
    </w:p>
    <w:p w14:paraId="510095E5" w14:textId="5C0D5D08" w:rsidR="00614714" w:rsidRDefault="00614714" w:rsidP="00084161">
      <w:pPr>
        <w:pStyle w:val="BodyText"/>
      </w:pPr>
      <w:r>
        <w:t xml:space="preserve">GTTAC noted the conclusion of the RARMP that the proposed field trial poses negligible risks to the health and safety of individuals and the environment </w:t>
      </w:r>
      <w:proofErr w:type="gramStart"/>
      <w:r>
        <w:t>as a result of</w:t>
      </w:r>
      <w:proofErr w:type="gramEnd"/>
      <w:r>
        <w:t xml:space="preserve"> gene technology.</w:t>
      </w:r>
      <w:r w:rsidRPr="00515AB8">
        <w:t xml:space="preserve"> </w:t>
      </w:r>
      <w:r>
        <w:t>The Committee discussed the following key topics:</w:t>
      </w:r>
    </w:p>
    <w:p w14:paraId="1E83613D" w14:textId="77F08983" w:rsidR="00614714" w:rsidRDefault="00DA141D" w:rsidP="00084161">
      <w:pPr>
        <w:pStyle w:val="BodyText"/>
        <w:numPr>
          <w:ilvl w:val="0"/>
          <w:numId w:val="8"/>
        </w:numPr>
      </w:pPr>
      <w:r>
        <w:t>requirements for</w:t>
      </w:r>
      <w:r w:rsidR="00614714">
        <w:t xml:space="preserve"> cleaning of harvesting machinery</w:t>
      </w:r>
      <w:r w:rsidR="00A13D69">
        <w:t>,</w:t>
      </w:r>
      <w:r w:rsidR="00A13D69" w:rsidRPr="00A13D69">
        <w:t xml:space="preserve"> </w:t>
      </w:r>
      <w:r w:rsidR="00A13D69">
        <w:t xml:space="preserve">given that </w:t>
      </w:r>
      <w:r w:rsidR="00A13D69" w:rsidRPr="00A13D69">
        <w:t>canola seeds are small</w:t>
      </w:r>
    </w:p>
    <w:p w14:paraId="31361BFB" w14:textId="5273ADBC" w:rsidR="00614714" w:rsidRDefault="00614714" w:rsidP="00084161">
      <w:pPr>
        <w:pStyle w:val="BodyText"/>
        <w:numPr>
          <w:ilvl w:val="0"/>
          <w:numId w:val="8"/>
        </w:numPr>
      </w:pPr>
      <w:r>
        <w:t>possible effect</w:t>
      </w:r>
      <w:r w:rsidR="00DA141D">
        <w:t>s</w:t>
      </w:r>
      <w:r>
        <w:t xml:space="preserve"> of the genetic modification on </w:t>
      </w:r>
      <w:r w:rsidR="007D1B9B">
        <w:t>development</w:t>
      </w:r>
    </w:p>
    <w:p w14:paraId="03DC3637" w14:textId="2FA1A460" w:rsidR="00614714" w:rsidRPr="007341FB" w:rsidRDefault="00344D90" w:rsidP="00084161">
      <w:pPr>
        <w:pStyle w:val="BodyText"/>
        <w:numPr>
          <w:ilvl w:val="0"/>
          <w:numId w:val="8"/>
        </w:numPr>
      </w:pPr>
      <w:r>
        <w:t xml:space="preserve">the potential for </w:t>
      </w:r>
      <w:r w:rsidR="007D1B9B">
        <w:t>ingestion during</w:t>
      </w:r>
      <w:r w:rsidR="00614714" w:rsidRPr="007341FB">
        <w:t xml:space="preserve"> sensory testing, noting that sensory testing would also require approval by a human research ethics committee </w:t>
      </w:r>
    </w:p>
    <w:p w14:paraId="3218A124" w14:textId="01BFE457" w:rsidR="00614714" w:rsidRPr="007341FB" w:rsidRDefault="00614714" w:rsidP="00614714">
      <w:pPr>
        <w:pStyle w:val="BodyText"/>
        <w:numPr>
          <w:ilvl w:val="0"/>
          <w:numId w:val="8"/>
        </w:numPr>
        <w:autoSpaceDE w:val="0"/>
        <w:autoSpaceDN w:val="0"/>
        <w:adjustRightInd w:val="0"/>
      </w:pPr>
      <w:r w:rsidRPr="007341FB">
        <w:t xml:space="preserve">clarification </w:t>
      </w:r>
      <w:r>
        <w:t>of</w:t>
      </w:r>
      <w:r w:rsidRPr="007341FB">
        <w:t xml:space="preserve"> distance requirements between the field trial and watercourses</w:t>
      </w:r>
      <w:r w:rsidR="007D1B9B">
        <w:t xml:space="preserve"> in relation to topography</w:t>
      </w:r>
      <w:r>
        <w:t xml:space="preserve">, and </w:t>
      </w:r>
      <w:r w:rsidR="00344D90">
        <w:t xml:space="preserve">the meaning of </w:t>
      </w:r>
      <w:r>
        <w:t>‘flood prone’.</w:t>
      </w:r>
    </w:p>
    <w:tbl>
      <w:tblPr>
        <w:tblStyle w:val="TableGrid"/>
        <w:tblW w:w="0" w:type="auto"/>
        <w:tblLook w:val="04A0" w:firstRow="1" w:lastRow="0" w:firstColumn="1" w:lastColumn="0" w:noHBand="0" w:noVBand="1"/>
      </w:tblPr>
      <w:tblGrid>
        <w:gridCol w:w="9628"/>
      </w:tblGrid>
      <w:tr w:rsidR="00C315BD" w:rsidRPr="00A40F5B" w14:paraId="473A8F7F" w14:textId="77777777" w:rsidTr="00F555CE">
        <w:trPr>
          <w:trHeight w:val="699"/>
        </w:trPr>
        <w:tc>
          <w:tcPr>
            <w:tcW w:w="9628" w:type="dxa"/>
          </w:tcPr>
          <w:p w14:paraId="72B2ED17" w14:textId="77777777" w:rsidR="00C315BD" w:rsidRPr="00C10B19" w:rsidRDefault="00C315BD" w:rsidP="00F555CE">
            <w:pPr>
              <w:pStyle w:val="BodyText"/>
              <w:rPr>
                <w:b/>
                <w:bCs/>
              </w:rPr>
            </w:pPr>
            <w:r w:rsidRPr="00C10B19">
              <w:rPr>
                <w:b/>
                <w:bCs/>
              </w:rPr>
              <w:t>Resolutions</w:t>
            </w:r>
          </w:p>
          <w:p w14:paraId="32FF3941"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agrees that the risk assessment identifies all plausible risk scenarios by which the proposed release could give rise to risks relating to the health and safety of people or the environment.</w:t>
            </w:r>
          </w:p>
          <w:p w14:paraId="044437DA"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further consider risks associated with the potential for increased dormancy and increased weediness </w:t>
            </w:r>
            <w:proofErr w:type="gramStart"/>
            <w:r w:rsidRPr="00C315BD">
              <w:rPr>
                <w:rFonts w:ascii="Arial" w:eastAsia="Times New Roman" w:hAnsi="Arial" w:cs="Arial"/>
              </w:rPr>
              <w:t>as a result of</w:t>
            </w:r>
            <w:proofErr w:type="gramEnd"/>
            <w:r w:rsidRPr="00C315BD">
              <w:rPr>
                <w:rFonts w:ascii="Arial" w:eastAsia="Times New Roman" w:hAnsi="Arial" w:cs="Arial"/>
              </w:rPr>
              <w:t xml:space="preserve"> the fusion protein. </w:t>
            </w:r>
          </w:p>
          <w:p w14:paraId="481F5360"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further consider controls </w:t>
            </w:r>
            <w:proofErr w:type="gramStart"/>
            <w:r w:rsidRPr="00C315BD">
              <w:rPr>
                <w:rFonts w:ascii="Arial" w:eastAsia="Times New Roman" w:hAnsi="Arial" w:cs="Arial"/>
              </w:rPr>
              <w:t>in regard to</w:t>
            </w:r>
            <w:proofErr w:type="gramEnd"/>
            <w:r w:rsidRPr="00C315BD">
              <w:rPr>
                <w:rFonts w:ascii="Arial" w:eastAsia="Times New Roman" w:hAnsi="Arial" w:cs="Arial"/>
              </w:rPr>
              <w:t xml:space="preserve"> cleaning of equipment and verification of the cleaning process.</w:t>
            </w:r>
          </w:p>
          <w:p w14:paraId="74CE7804"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 xml:space="preserve">The committee advises that the Regulator should seek more detail about the sensory testing, and whether further controls around the testing are required. </w:t>
            </w:r>
          </w:p>
          <w:p w14:paraId="2FDF321B"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reconsider the distance of the trial sites from waterways.</w:t>
            </w:r>
          </w:p>
          <w:p w14:paraId="20920B01" w14:textId="77777777"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advises that the Regulator should consider clarifying what is considered flood prone.</w:t>
            </w:r>
          </w:p>
          <w:p w14:paraId="5DDB7594" w14:textId="5BDF035F" w:rsidR="00C315BD" w:rsidRPr="00C315BD" w:rsidRDefault="00C315BD" w:rsidP="00C315BD">
            <w:pPr>
              <w:numPr>
                <w:ilvl w:val="0"/>
                <w:numId w:val="1"/>
              </w:numPr>
              <w:autoSpaceDE w:val="0"/>
              <w:autoSpaceDN w:val="0"/>
              <w:adjustRightInd w:val="0"/>
              <w:spacing w:before="120" w:after="120" w:line="240" w:lineRule="auto"/>
              <w:rPr>
                <w:rFonts w:ascii="Arial" w:eastAsia="Times New Roman" w:hAnsi="Arial" w:cs="Arial"/>
              </w:rPr>
            </w:pPr>
            <w:r w:rsidRPr="00C315BD">
              <w:rPr>
                <w:rFonts w:ascii="Arial" w:eastAsia="Times New Roman" w:hAnsi="Arial" w:cs="Arial"/>
              </w:rPr>
              <w:t>The committee agrees with the overall conclusion of the RARMP.</w:t>
            </w:r>
          </w:p>
        </w:tc>
      </w:tr>
    </w:tbl>
    <w:p w14:paraId="2C9FE815" w14:textId="77777777" w:rsidR="00C315BD" w:rsidRPr="00BA20C7" w:rsidRDefault="00C315BD" w:rsidP="00C315BD">
      <w:pPr>
        <w:pStyle w:val="CmqHeading1"/>
      </w:pPr>
      <w:r w:rsidRPr="00BA20C7">
        <w:t>Enquiries</w:t>
      </w:r>
    </w:p>
    <w:p w14:paraId="0D974B84" w14:textId="77777777" w:rsidR="00C315BD" w:rsidRPr="00E12965" w:rsidRDefault="00C315BD" w:rsidP="00C315BD">
      <w:pPr>
        <w:pStyle w:val="BodyText"/>
      </w:pPr>
      <w:r w:rsidRPr="00E12965">
        <w:t xml:space="preserve">For all enquiries, please call the OGTR on 1800 181 030 or email </w:t>
      </w:r>
      <w:hyperlink r:id="rId11" w:history="1">
        <w:r w:rsidRPr="002E084A">
          <w:rPr>
            <w:rStyle w:val="Hyperlink"/>
          </w:rPr>
          <w:t>ogtr@health.gov.au</w:t>
        </w:r>
      </w:hyperlink>
      <w:r w:rsidRPr="00E12965">
        <w:t>.</w:t>
      </w:r>
    </w:p>
    <w:p w14:paraId="2178C631" w14:textId="77777777" w:rsidR="00280050" w:rsidRDefault="00280050"/>
    <w:sectPr w:rsidR="00280050" w:rsidSect="00C315BD">
      <w:footerReference w:type="even" r:id="rId12"/>
      <w:footerReference w:type="default" r:id="rId13"/>
      <w:headerReference w:type="first" r:id="rId14"/>
      <w:footerReference w:type="first" r:id="rId15"/>
      <w:pgSz w:w="11906" w:h="16838" w:code="9"/>
      <w:pgMar w:top="1134" w:right="1134" w:bottom="1134" w:left="1134" w:header="567"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8228C" w14:textId="77777777" w:rsidR="00AF58A0" w:rsidRDefault="00AF58A0" w:rsidP="00C315BD">
      <w:pPr>
        <w:spacing w:after="0" w:line="240" w:lineRule="auto"/>
      </w:pPr>
      <w:r>
        <w:separator/>
      </w:r>
    </w:p>
  </w:endnote>
  <w:endnote w:type="continuationSeparator" w:id="0">
    <w:p w14:paraId="151C6710" w14:textId="77777777" w:rsidR="00AF58A0" w:rsidRDefault="00AF58A0" w:rsidP="00C3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D149" w14:textId="77777777" w:rsidR="00C315BD" w:rsidRDefault="00C315BD" w:rsidP="002723BB">
    <w:pPr>
      <w:pStyle w:val="Footer"/>
      <w:framePr w:w="106" w:h="286" w:hRule="exact" w:wrap="around" w:vAnchor="text" w:hAnchor="page" w:x="1065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C19831" w14:textId="77777777" w:rsidR="00C315BD" w:rsidRDefault="00C315BD" w:rsidP="002723BB">
    <w:pPr>
      <w:pStyle w:val="Foote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6BFA" w14:textId="4BCC24C7" w:rsidR="00C315BD" w:rsidRPr="006224A0" w:rsidRDefault="00C315BD"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Pr>
        <w:rFonts w:ascii="Arial" w:hAnsi="Arial" w:cs="Arial"/>
        <w:sz w:val="20"/>
        <w:szCs w:val="20"/>
      </w:rPr>
      <w:t>28 March 2025</w:t>
    </w:r>
    <w:r w:rsidRPr="006224A0">
      <w:rPr>
        <w:rFonts w:ascii="Arial" w:hAnsi="Arial" w:cs="Arial"/>
        <w:sz w:val="20"/>
        <w:szCs w:val="20"/>
      </w:rPr>
      <w:tab/>
    </w:r>
    <w:r w:rsidRPr="006224A0">
      <w:rPr>
        <w:rFonts w:ascii="Arial" w:hAnsi="Arial" w:cs="Arial"/>
        <w:sz w:val="20"/>
        <w:szCs w:val="20"/>
      </w:rPr>
      <w:tab/>
      <w:t xml:space="preserve">Page </w:t>
    </w:r>
    <w:sdt>
      <w:sdtPr>
        <w:rPr>
          <w:rFonts w:ascii="Arial" w:hAnsi="Arial" w:cs="Arial"/>
          <w:sz w:val="20"/>
          <w:szCs w:val="20"/>
        </w:rPr>
        <w:id w:val="-52394294"/>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Pr>
            <w:rFonts w:ascii="Arial" w:hAnsi="Arial" w:cs="Arial"/>
            <w:sz w:val="20"/>
            <w:szCs w:val="20"/>
          </w:rPr>
          <w:t>1</w:t>
        </w:r>
        <w:r w:rsidRPr="006224A0">
          <w:rPr>
            <w:rFonts w:ascii="Arial" w:hAnsi="Arial" w:cs="Arial"/>
            <w:noProof/>
            <w:sz w:val="20"/>
            <w:szCs w:val="20"/>
          </w:rPr>
          <w:fldChar w:fldCharType="end"/>
        </w:r>
        <w:r w:rsidRPr="006224A0">
          <w:rPr>
            <w:rFonts w:ascii="Arial" w:hAnsi="Arial" w:cs="Arial"/>
            <w:noProof/>
            <w:sz w:val="20"/>
            <w:szCs w:val="20"/>
          </w:rPr>
          <w:t xml:space="preserve"> of </w:t>
        </w:r>
        <w:r w:rsidRPr="006224A0">
          <w:rPr>
            <w:rFonts w:ascii="Arial" w:hAnsi="Arial" w:cs="Arial"/>
            <w:noProof/>
            <w:sz w:val="20"/>
            <w:szCs w:val="20"/>
          </w:rPr>
          <w:fldChar w:fldCharType="begin"/>
        </w:r>
        <w:r w:rsidRPr="006224A0">
          <w:rPr>
            <w:rFonts w:ascii="Arial" w:hAnsi="Arial" w:cs="Arial"/>
            <w:noProof/>
            <w:sz w:val="20"/>
            <w:szCs w:val="20"/>
          </w:rPr>
          <w:instrText xml:space="preserve"> NUMPAGES   \* MERGEFORMAT </w:instrText>
        </w:r>
        <w:r w:rsidRPr="006224A0">
          <w:rPr>
            <w:rFonts w:ascii="Arial" w:hAnsi="Arial" w:cs="Arial"/>
            <w:noProof/>
            <w:sz w:val="20"/>
            <w:szCs w:val="20"/>
          </w:rPr>
          <w:fldChar w:fldCharType="separate"/>
        </w:r>
        <w:r>
          <w:rPr>
            <w:rFonts w:ascii="Arial" w:hAnsi="Arial" w:cs="Arial"/>
            <w:noProof/>
            <w:sz w:val="20"/>
            <w:szCs w:val="20"/>
          </w:rPr>
          <w:t>3</w:t>
        </w:r>
        <w:r w:rsidRPr="006224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F6D3" w14:textId="71CE8B4F" w:rsidR="00C315BD" w:rsidRPr="006224A0" w:rsidRDefault="00C315BD"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Pr>
        <w:rFonts w:ascii="Arial" w:hAnsi="Arial" w:cs="Arial"/>
        <w:sz w:val="20"/>
        <w:szCs w:val="20"/>
      </w:rPr>
      <w:t>28 March 2025</w:t>
    </w:r>
    <w:r w:rsidRPr="006224A0">
      <w:rPr>
        <w:rFonts w:ascii="Arial" w:hAnsi="Arial" w:cs="Arial"/>
        <w:sz w:val="20"/>
        <w:szCs w:val="20"/>
      </w:rPr>
      <w:tab/>
    </w:r>
    <w:r w:rsidRPr="006224A0">
      <w:rPr>
        <w:rFonts w:ascii="Arial" w:hAnsi="Arial" w:cs="Arial"/>
        <w:sz w:val="20"/>
        <w:szCs w:val="20"/>
      </w:rPr>
      <w:tab/>
      <w:t xml:space="preserve">Page </w:t>
    </w:r>
    <w:sdt>
      <w:sdtPr>
        <w:rPr>
          <w:rFonts w:ascii="Arial" w:hAnsi="Arial" w:cs="Arial"/>
          <w:sz w:val="20"/>
          <w:szCs w:val="20"/>
        </w:rPr>
        <w:id w:val="1937241287"/>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sidRPr="006224A0">
          <w:rPr>
            <w:rFonts w:ascii="Arial" w:hAnsi="Arial" w:cs="Arial"/>
            <w:noProof/>
            <w:sz w:val="20"/>
            <w:szCs w:val="20"/>
          </w:rPr>
          <w:t>2</w:t>
        </w:r>
        <w:r w:rsidRPr="006224A0">
          <w:rPr>
            <w:rFonts w:ascii="Arial" w:hAnsi="Arial" w:cs="Arial"/>
            <w:noProof/>
            <w:sz w:val="20"/>
            <w:szCs w:val="20"/>
          </w:rPr>
          <w:fldChar w:fldCharType="end"/>
        </w:r>
        <w:r w:rsidRPr="006224A0">
          <w:rPr>
            <w:rFonts w:ascii="Arial" w:hAnsi="Arial" w:cs="Arial"/>
            <w:noProof/>
            <w:sz w:val="20"/>
            <w:szCs w:val="20"/>
          </w:rPr>
          <w:t xml:space="preserve"> of </w:t>
        </w:r>
        <w:r w:rsidRPr="006224A0">
          <w:rPr>
            <w:rFonts w:ascii="Arial" w:hAnsi="Arial" w:cs="Arial"/>
            <w:noProof/>
            <w:sz w:val="20"/>
            <w:szCs w:val="20"/>
          </w:rPr>
          <w:fldChar w:fldCharType="begin"/>
        </w:r>
        <w:r w:rsidRPr="006224A0">
          <w:rPr>
            <w:rFonts w:ascii="Arial" w:hAnsi="Arial" w:cs="Arial"/>
            <w:noProof/>
            <w:sz w:val="20"/>
            <w:szCs w:val="20"/>
          </w:rPr>
          <w:instrText xml:space="preserve"> NUMPAGES   \* MERGEFORMAT </w:instrText>
        </w:r>
        <w:r w:rsidRPr="006224A0">
          <w:rPr>
            <w:rFonts w:ascii="Arial" w:hAnsi="Arial" w:cs="Arial"/>
            <w:noProof/>
            <w:sz w:val="20"/>
            <w:szCs w:val="20"/>
          </w:rPr>
          <w:fldChar w:fldCharType="separate"/>
        </w:r>
        <w:r w:rsidRPr="006224A0">
          <w:rPr>
            <w:rFonts w:ascii="Arial" w:hAnsi="Arial" w:cs="Arial"/>
            <w:noProof/>
            <w:sz w:val="20"/>
            <w:szCs w:val="20"/>
          </w:rPr>
          <w:t>3</w:t>
        </w:r>
        <w:r w:rsidRPr="006224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2F7B" w14:textId="77777777" w:rsidR="00AF58A0" w:rsidRDefault="00AF58A0" w:rsidP="00C315BD">
      <w:pPr>
        <w:spacing w:after="0" w:line="240" w:lineRule="auto"/>
      </w:pPr>
      <w:r>
        <w:separator/>
      </w:r>
    </w:p>
  </w:footnote>
  <w:footnote w:type="continuationSeparator" w:id="0">
    <w:p w14:paraId="31486B78" w14:textId="77777777" w:rsidR="00AF58A0" w:rsidRDefault="00AF58A0" w:rsidP="00C3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7650" w14:textId="62820E64" w:rsidR="00C315BD" w:rsidRDefault="00285D78" w:rsidP="00091301">
    <w:pPr>
      <w:pStyle w:val="Header"/>
      <w:tabs>
        <w:tab w:val="clear" w:pos="4153"/>
        <w:tab w:val="clear" w:pos="8306"/>
        <w:tab w:val="left" w:pos="5245"/>
        <w:tab w:val="right" w:pos="9498"/>
      </w:tabs>
      <w:spacing w:after="0"/>
      <w:jc w:val="center"/>
      <w:rPr>
        <w:b/>
        <w:lang w:val="en-AU"/>
      </w:rPr>
    </w:pPr>
    <w:r>
      <w:rPr>
        <w:noProof/>
      </w:rPr>
      <w:drawing>
        <wp:anchor distT="0" distB="0" distL="114300" distR="114300" simplePos="0" relativeHeight="251659264" behindDoc="1" locked="0" layoutInCell="1" allowOverlap="1" wp14:anchorId="326F04E5" wp14:editId="43FE69C4">
          <wp:simplePos x="0" y="0"/>
          <wp:positionH relativeFrom="margin">
            <wp:align>center</wp:align>
          </wp:positionH>
          <wp:positionV relativeFrom="page">
            <wp:posOffset>189673</wp:posOffset>
          </wp:positionV>
          <wp:extent cx="2361600" cy="1022400"/>
          <wp:effectExtent l="0" t="0" r="635" b="6350"/>
          <wp:wrapTopAndBottom/>
          <wp:docPr id="2" name="Picture 2" descr="Department of Health, Disability and Ageing Office of the Gene Technolgo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Disability and Ageing Office of the Gene Technolgoy Regulato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16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06FA"/>
    <w:multiLevelType w:val="hybridMultilevel"/>
    <w:tmpl w:val="C240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A337C"/>
    <w:multiLevelType w:val="hybridMultilevel"/>
    <w:tmpl w:val="F7E6D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C2B83"/>
    <w:multiLevelType w:val="hybridMultilevel"/>
    <w:tmpl w:val="0BDC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97144"/>
    <w:multiLevelType w:val="hybridMultilevel"/>
    <w:tmpl w:val="312E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36263A"/>
    <w:multiLevelType w:val="hybridMultilevel"/>
    <w:tmpl w:val="BA94499C"/>
    <w:lvl w:ilvl="0" w:tplc="0C090003">
      <w:start w:val="1"/>
      <w:numFmt w:val="bullet"/>
      <w:lvlText w:val="o"/>
      <w:lvlJc w:val="left"/>
      <w:pPr>
        <w:ind w:left="1352" w:hanging="360"/>
      </w:pPr>
      <w:rPr>
        <w:rFonts w:ascii="Courier New" w:hAnsi="Courier New" w:cs="Courier New"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5" w15:restartNumberingAfterBreak="0">
    <w:nsid w:val="3B950E9B"/>
    <w:multiLevelType w:val="hybridMultilevel"/>
    <w:tmpl w:val="F5240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AD25C9"/>
    <w:multiLevelType w:val="hybridMultilevel"/>
    <w:tmpl w:val="ADC02D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512326"/>
    <w:multiLevelType w:val="hybridMultilevel"/>
    <w:tmpl w:val="CF08030C"/>
    <w:lvl w:ilvl="0" w:tplc="0C090003">
      <w:start w:val="1"/>
      <w:numFmt w:val="bullet"/>
      <w:lvlText w:val="o"/>
      <w:lvlJc w:val="left"/>
      <w:pPr>
        <w:ind w:left="1352" w:hanging="360"/>
      </w:pPr>
      <w:rPr>
        <w:rFonts w:ascii="Courier New" w:hAnsi="Courier New" w:cs="Courier New"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8" w15:restartNumberingAfterBreak="0">
    <w:nsid w:val="7C580173"/>
    <w:multiLevelType w:val="hybridMultilevel"/>
    <w:tmpl w:val="73C4C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6929471">
    <w:abstractNumId w:val="1"/>
  </w:num>
  <w:num w:numId="2" w16cid:durableId="729693773">
    <w:abstractNumId w:val="4"/>
  </w:num>
  <w:num w:numId="3" w16cid:durableId="768044715">
    <w:abstractNumId w:val="7"/>
  </w:num>
  <w:num w:numId="4" w16cid:durableId="1116221598">
    <w:abstractNumId w:val="6"/>
  </w:num>
  <w:num w:numId="5" w16cid:durableId="1918594719">
    <w:abstractNumId w:val="2"/>
  </w:num>
  <w:num w:numId="6" w16cid:durableId="883255008">
    <w:abstractNumId w:val="8"/>
  </w:num>
  <w:num w:numId="7" w16cid:durableId="1297637100">
    <w:abstractNumId w:val="5"/>
  </w:num>
  <w:num w:numId="8" w16cid:durableId="40440956">
    <w:abstractNumId w:val="3"/>
  </w:num>
  <w:num w:numId="9" w16cid:durableId="162758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BD"/>
    <w:rsid w:val="00010537"/>
    <w:rsid w:val="000121CE"/>
    <w:rsid w:val="00047280"/>
    <w:rsid w:val="000478EE"/>
    <w:rsid w:val="00067232"/>
    <w:rsid w:val="000910A8"/>
    <w:rsid w:val="0009378A"/>
    <w:rsid w:val="000C1B4C"/>
    <w:rsid w:val="000C774B"/>
    <w:rsid w:val="000D5202"/>
    <w:rsid w:val="000F072F"/>
    <w:rsid w:val="0011089C"/>
    <w:rsid w:val="001212C7"/>
    <w:rsid w:val="00133879"/>
    <w:rsid w:val="00144DB8"/>
    <w:rsid w:val="00192805"/>
    <w:rsid w:val="001B0023"/>
    <w:rsid w:val="001F3620"/>
    <w:rsid w:val="001F7C6D"/>
    <w:rsid w:val="00204528"/>
    <w:rsid w:val="002072FA"/>
    <w:rsid w:val="00210B13"/>
    <w:rsid w:val="00226419"/>
    <w:rsid w:val="00235325"/>
    <w:rsid w:val="00245C6C"/>
    <w:rsid w:val="00272A12"/>
    <w:rsid w:val="00280050"/>
    <w:rsid w:val="00285D78"/>
    <w:rsid w:val="0028634C"/>
    <w:rsid w:val="00287350"/>
    <w:rsid w:val="002F093B"/>
    <w:rsid w:val="002F4612"/>
    <w:rsid w:val="00313D81"/>
    <w:rsid w:val="003239B6"/>
    <w:rsid w:val="00344D90"/>
    <w:rsid w:val="00361C46"/>
    <w:rsid w:val="003B2805"/>
    <w:rsid w:val="003B32E6"/>
    <w:rsid w:val="004065EF"/>
    <w:rsid w:val="00411BD3"/>
    <w:rsid w:val="00447CCF"/>
    <w:rsid w:val="004A2882"/>
    <w:rsid w:val="004E19EC"/>
    <w:rsid w:val="004E5C9C"/>
    <w:rsid w:val="00501210"/>
    <w:rsid w:val="00505BC4"/>
    <w:rsid w:val="00515AB8"/>
    <w:rsid w:val="00526CF2"/>
    <w:rsid w:val="00534AA9"/>
    <w:rsid w:val="00537D85"/>
    <w:rsid w:val="00544B5B"/>
    <w:rsid w:val="00566DB7"/>
    <w:rsid w:val="0059058A"/>
    <w:rsid w:val="005A5761"/>
    <w:rsid w:val="005A763A"/>
    <w:rsid w:val="005E7AFB"/>
    <w:rsid w:val="005F0B80"/>
    <w:rsid w:val="005F6E98"/>
    <w:rsid w:val="00614714"/>
    <w:rsid w:val="006160F7"/>
    <w:rsid w:val="00622F2C"/>
    <w:rsid w:val="00623711"/>
    <w:rsid w:val="00645F56"/>
    <w:rsid w:val="00664A9B"/>
    <w:rsid w:val="00670201"/>
    <w:rsid w:val="00672A50"/>
    <w:rsid w:val="00685987"/>
    <w:rsid w:val="006972D7"/>
    <w:rsid w:val="006B47C0"/>
    <w:rsid w:val="006D4AAD"/>
    <w:rsid w:val="006F6EB6"/>
    <w:rsid w:val="00716AF0"/>
    <w:rsid w:val="00724FCE"/>
    <w:rsid w:val="007341FB"/>
    <w:rsid w:val="00777C62"/>
    <w:rsid w:val="00794451"/>
    <w:rsid w:val="007B4FCE"/>
    <w:rsid w:val="007C55FB"/>
    <w:rsid w:val="007D1683"/>
    <w:rsid w:val="007D1B9B"/>
    <w:rsid w:val="007E33B3"/>
    <w:rsid w:val="007E5389"/>
    <w:rsid w:val="007F753D"/>
    <w:rsid w:val="00817206"/>
    <w:rsid w:val="00821E24"/>
    <w:rsid w:val="00822EFF"/>
    <w:rsid w:val="0082466E"/>
    <w:rsid w:val="008349C6"/>
    <w:rsid w:val="00852D7D"/>
    <w:rsid w:val="0086769D"/>
    <w:rsid w:val="00887CBA"/>
    <w:rsid w:val="00891455"/>
    <w:rsid w:val="008A33A8"/>
    <w:rsid w:val="008A34C4"/>
    <w:rsid w:val="008B4E7E"/>
    <w:rsid w:val="008C05DC"/>
    <w:rsid w:val="008C074A"/>
    <w:rsid w:val="008C769B"/>
    <w:rsid w:val="00917F0A"/>
    <w:rsid w:val="00921FEA"/>
    <w:rsid w:val="009549E0"/>
    <w:rsid w:val="009867CF"/>
    <w:rsid w:val="009A3ADF"/>
    <w:rsid w:val="009A6B1C"/>
    <w:rsid w:val="009B1311"/>
    <w:rsid w:val="009E0B35"/>
    <w:rsid w:val="009E313F"/>
    <w:rsid w:val="009E33C4"/>
    <w:rsid w:val="009F101B"/>
    <w:rsid w:val="00A13D69"/>
    <w:rsid w:val="00A26EA8"/>
    <w:rsid w:val="00A3131E"/>
    <w:rsid w:val="00A51353"/>
    <w:rsid w:val="00A62D98"/>
    <w:rsid w:val="00A67FE1"/>
    <w:rsid w:val="00A71634"/>
    <w:rsid w:val="00A9772A"/>
    <w:rsid w:val="00AD4917"/>
    <w:rsid w:val="00AF58A0"/>
    <w:rsid w:val="00B07A33"/>
    <w:rsid w:val="00B22918"/>
    <w:rsid w:val="00B321B5"/>
    <w:rsid w:val="00B34091"/>
    <w:rsid w:val="00B35BBC"/>
    <w:rsid w:val="00B476FC"/>
    <w:rsid w:val="00B55B6C"/>
    <w:rsid w:val="00B908C3"/>
    <w:rsid w:val="00B939EA"/>
    <w:rsid w:val="00BA19B0"/>
    <w:rsid w:val="00BA1E0A"/>
    <w:rsid w:val="00BA2930"/>
    <w:rsid w:val="00BE2EBE"/>
    <w:rsid w:val="00C0007C"/>
    <w:rsid w:val="00C22579"/>
    <w:rsid w:val="00C2462E"/>
    <w:rsid w:val="00C25315"/>
    <w:rsid w:val="00C25443"/>
    <w:rsid w:val="00C315BD"/>
    <w:rsid w:val="00C43D21"/>
    <w:rsid w:val="00C60F51"/>
    <w:rsid w:val="00C8474D"/>
    <w:rsid w:val="00C87F18"/>
    <w:rsid w:val="00CA0647"/>
    <w:rsid w:val="00CA0E32"/>
    <w:rsid w:val="00CB39AA"/>
    <w:rsid w:val="00CD5861"/>
    <w:rsid w:val="00CE11D5"/>
    <w:rsid w:val="00CE37F2"/>
    <w:rsid w:val="00CE5917"/>
    <w:rsid w:val="00D74314"/>
    <w:rsid w:val="00D83C35"/>
    <w:rsid w:val="00DA141D"/>
    <w:rsid w:val="00DA3228"/>
    <w:rsid w:val="00DA7278"/>
    <w:rsid w:val="00DB733C"/>
    <w:rsid w:val="00DF7488"/>
    <w:rsid w:val="00E6486F"/>
    <w:rsid w:val="00E71B92"/>
    <w:rsid w:val="00E8293F"/>
    <w:rsid w:val="00EC454E"/>
    <w:rsid w:val="00EE650F"/>
    <w:rsid w:val="00F0479B"/>
    <w:rsid w:val="00F12665"/>
    <w:rsid w:val="00F14D6C"/>
    <w:rsid w:val="00F30978"/>
    <w:rsid w:val="00F77695"/>
    <w:rsid w:val="00F777C9"/>
    <w:rsid w:val="00FA77D3"/>
    <w:rsid w:val="00FB219C"/>
    <w:rsid w:val="00FC3EAE"/>
    <w:rsid w:val="00FC6A4B"/>
    <w:rsid w:val="00FE0B8D"/>
    <w:rsid w:val="00FE4625"/>
    <w:rsid w:val="00FE5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2747"/>
  <w15:chartTrackingRefBased/>
  <w15:docId w15:val="{3EF41C8C-3DB9-447E-B1DE-D3BD0B0F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BD"/>
    <w:pPr>
      <w:spacing w:after="200" w:line="276" w:lineRule="auto"/>
    </w:pPr>
    <w:rPr>
      <w:rFonts w:asciiTheme="minorHAnsi" w:eastAsiaTheme="minorEastAsia" w:hAnsiTheme="minorHAnsi" w:cstheme="minorBidi"/>
      <w:kern w:val="0"/>
      <w:sz w:val="22"/>
      <w:szCs w:val="22"/>
      <w:lang w:eastAsia="en-AU"/>
      <w14:ligatures w14:val="none"/>
    </w:rPr>
  </w:style>
  <w:style w:type="paragraph" w:styleId="Heading1">
    <w:name w:val="heading 1"/>
    <w:basedOn w:val="Normal"/>
    <w:next w:val="Normal"/>
    <w:link w:val="Heading1Char"/>
    <w:uiPriority w:val="9"/>
    <w:qFormat/>
    <w:rsid w:val="00C31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15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15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15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15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15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1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15BD"/>
    <w:pPr>
      <w:spacing w:before="160"/>
      <w:jc w:val="center"/>
    </w:pPr>
    <w:rPr>
      <w:i/>
      <w:iCs/>
      <w:color w:val="404040" w:themeColor="text1" w:themeTint="BF"/>
    </w:rPr>
  </w:style>
  <w:style w:type="character" w:customStyle="1" w:styleId="QuoteChar">
    <w:name w:val="Quote Char"/>
    <w:basedOn w:val="DefaultParagraphFont"/>
    <w:link w:val="Quote"/>
    <w:uiPriority w:val="29"/>
    <w:rsid w:val="00C315BD"/>
    <w:rPr>
      <w:i/>
      <w:iCs/>
      <w:color w:val="404040" w:themeColor="text1" w:themeTint="BF"/>
    </w:rPr>
  </w:style>
  <w:style w:type="paragraph" w:styleId="ListParagraph">
    <w:name w:val="List Paragraph"/>
    <w:basedOn w:val="Normal"/>
    <w:uiPriority w:val="34"/>
    <w:qFormat/>
    <w:rsid w:val="00C315BD"/>
    <w:pPr>
      <w:ind w:left="720"/>
      <w:contextualSpacing/>
    </w:pPr>
  </w:style>
  <w:style w:type="character" w:styleId="IntenseEmphasis">
    <w:name w:val="Intense Emphasis"/>
    <w:basedOn w:val="DefaultParagraphFont"/>
    <w:uiPriority w:val="21"/>
    <w:qFormat/>
    <w:rsid w:val="00C315BD"/>
    <w:rPr>
      <w:i/>
      <w:iCs/>
      <w:color w:val="0F4761" w:themeColor="accent1" w:themeShade="BF"/>
    </w:rPr>
  </w:style>
  <w:style w:type="paragraph" w:styleId="IntenseQuote">
    <w:name w:val="Intense Quote"/>
    <w:basedOn w:val="Normal"/>
    <w:next w:val="Normal"/>
    <w:link w:val="IntenseQuoteChar"/>
    <w:uiPriority w:val="30"/>
    <w:qFormat/>
    <w:rsid w:val="00C31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BD"/>
    <w:rPr>
      <w:i/>
      <w:iCs/>
      <w:color w:val="0F4761" w:themeColor="accent1" w:themeShade="BF"/>
    </w:rPr>
  </w:style>
  <w:style w:type="character" w:styleId="IntenseReference">
    <w:name w:val="Intense Reference"/>
    <w:basedOn w:val="DefaultParagraphFont"/>
    <w:uiPriority w:val="32"/>
    <w:qFormat/>
    <w:rsid w:val="00C315BD"/>
    <w:rPr>
      <w:b/>
      <w:bCs/>
      <w:smallCaps/>
      <w:color w:val="0F4761" w:themeColor="accent1" w:themeShade="BF"/>
      <w:spacing w:val="5"/>
    </w:rPr>
  </w:style>
  <w:style w:type="paragraph" w:styleId="Header">
    <w:name w:val="header"/>
    <w:basedOn w:val="Normal"/>
    <w:link w:val="HeaderChar"/>
    <w:rsid w:val="00C315BD"/>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C315BD"/>
    <w:rPr>
      <w:rFonts w:asciiTheme="minorHAnsi" w:eastAsiaTheme="minorEastAsia" w:hAnsiTheme="minorHAnsi" w:cstheme="minorBidi"/>
      <w:snapToGrid w:val="0"/>
      <w:kern w:val="0"/>
      <w:sz w:val="22"/>
      <w:szCs w:val="22"/>
      <w:lang w:val="en-US"/>
      <w14:ligatures w14:val="none"/>
    </w:rPr>
  </w:style>
  <w:style w:type="paragraph" w:styleId="Footer">
    <w:name w:val="footer"/>
    <w:basedOn w:val="Normal"/>
    <w:link w:val="FooterChar"/>
    <w:uiPriority w:val="99"/>
    <w:rsid w:val="00C315BD"/>
    <w:pPr>
      <w:tabs>
        <w:tab w:val="center" w:pos="4153"/>
        <w:tab w:val="right" w:pos="8306"/>
      </w:tabs>
    </w:pPr>
  </w:style>
  <w:style w:type="character" w:customStyle="1" w:styleId="FooterChar">
    <w:name w:val="Footer Char"/>
    <w:basedOn w:val="DefaultParagraphFont"/>
    <w:link w:val="Footer"/>
    <w:uiPriority w:val="99"/>
    <w:rsid w:val="00C315BD"/>
    <w:rPr>
      <w:rFonts w:asciiTheme="minorHAnsi" w:eastAsiaTheme="minorEastAsia" w:hAnsiTheme="minorHAnsi" w:cstheme="minorBidi"/>
      <w:kern w:val="0"/>
      <w:sz w:val="22"/>
      <w:szCs w:val="22"/>
      <w:lang w:eastAsia="en-AU"/>
      <w14:ligatures w14:val="none"/>
    </w:rPr>
  </w:style>
  <w:style w:type="character" w:styleId="PageNumber">
    <w:name w:val="page number"/>
    <w:basedOn w:val="DefaultParagraphFont"/>
    <w:rsid w:val="00C315BD"/>
  </w:style>
  <w:style w:type="paragraph" w:styleId="BodyText">
    <w:name w:val="Body Text"/>
    <w:basedOn w:val="Normal"/>
    <w:link w:val="BodyTextChar"/>
    <w:rsid w:val="00C315BD"/>
    <w:pPr>
      <w:spacing w:before="120" w:after="120" w:line="264" w:lineRule="auto"/>
    </w:pPr>
    <w:rPr>
      <w:rFonts w:ascii="Arial" w:hAnsi="Arial" w:cs="Arial"/>
    </w:rPr>
  </w:style>
  <w:style w:type="character" w:customStyle="1" w:styleId="BodyTextChar">
    <w:name w:val="Body Text Char"/>
    <w:basedOn w:val="DefaultParagraphFont"/>
    <w:link w:val="BodyText"/>
    <w:rsid w:val="00C315BD"/>
    <w:rPr>
      <w:rFonts w:ascii="Arial" w:eastAsiaTheme="minorEastAsia" w:hAnsi="Arial" w:cs="Arial"/>
      <w:kern w:val="0"/>
      <w:sz w:val="22"/>
      <w:szCs w:val="22"/>
      <w:lang w:eastAsia="en-AU"/>
      <w14:ligatures w14:val="none"/>
    </w:rPr>
  </w:style>
  <w:style w:type="paragraph" w:customStyle="1" w:styleId="CmqHeading1">
    <w:name w:val="Cmq Heading 1"/>
    <w:basedOn w:val="Heading3"/>
    <w:link w:val="CmqHeading1Char"/>
    <w:autoRedefine/>
    <w:qFormat/>
    <w:rsid w:val="00C315BD"/>
    <w:pPr>
      <w:keepLines w:val="0"/>
      <w:spacing w:before="360" w:after="120" w:line="240" w:lineRule="auto"/>
    </w:pPr>
    <w:rPr>
      <w:rFonts w:ascii="Arial Bold" w:eastAsia="Times" w:hAnsi="Arial Bold" w:cs="Arial"/>
      <w:b/>
      <w:caps/>
      <w:color w:val="auto"/>
      <w:sz w:val="26"/>
      <w:szCs w:val="26"/>
    </w:rPr>
  </w:style>
  <w:style w:type="paragraph" w:customStyle="1" w:styleId="Cmqheading2">
    <w:name w:val="Cmq heading 2"/>
    <w:basedOn w:val="BodyText"/>
    <w:link w:val="Cmqheading2Char"/>
    <w:qFormat/>
    <w:rsid w:val="00C315BD"/>
    <w:pPr>
      <w:keepNext/>
      <w:spacing w:before="360" w:after="240" w:line="240" w:lineRule="auto"/>
    </w:pPr>
    <w:rPr>
      <w:rFonts w:eastAsia="Times"/>
      <w:b/>
      <w:bCs/>
      <w:i/>
      <w:caps/>
      <w:color w:val="000000"/>
    </w:rPr>
  </w:style>
  <w:style w:type="character" w:customStyle="1" w:styleId="CmqHeading1Char">
    <w:name w:val="Cmq Heading 1 Char"/>
    <w:basedOn w:val="Heading3Char"/>
    <w:link w:val="CmqHeading1"/>
    <w:rsid w:val="00C315BD"/>
    <w:rPr>
      <w:rFonts w:ascii="Arial Bold" w:eastAsia="Times" w:hAnsi="Arial Bold" w:cs="Arial"/>
      <w:b/>
      <w:caps/>
      <w:color w:val="0F4761" w:themeColor="accent1" w:themeShade="BF"/>
      <w:kern w:val="0"/>
      <w:sz w:val="26"/>
      <w:szCs w:val="26"/>
      <w:lang w:eastAsia="en-AU"/>
      <w14:ligatures w14:val="none"/>
    </w:rPr>
  </w:style>
  <w:style w:type="paragraph" w:customStyle="1" w:styleId="Cmqheading3">
    <w:name w:val="Cmq heading 3"/>
    <w:basedOn w:val="Heading3"/>
    <w:link w:val="Cmqheading3Char"/>
    <w:qFormat/>
    <w:rsid w:val="00C315BD"/>
    <w:pPr>
      <w:keepNext w:val="0"/>
      <w:keepLines w:val="0"/>
      <w:spacing w:before="240" w:after="120" w:line="23" w:lineRule="atLeast"/>
      <w:ind w:left="1191" w:hanging="1191"/>
      <w:contextualSpacing/>
      <w:outlineLvl w:val="9"/>
    </w:pPr>
    <w:rPr>
      <w:rFonts w:ascii="Arial" w:hAnsi="Arial" w:cs="Arial"/>
      <w:b/>
      <w:color w:val="0A2F40" w:themeColor="accent1" w:themeShade="7F"/>
      <w:sz w:val="22"/>
      <w:szCs w:val="22"/>
    </w:rPr>
  </w:style>
  <w:style w:type="character" w:customStyle="1" w:styleId="Cmqheading2Char">
    <w:name w:val="Cmq heading 2 Char"/>
    <w:basedOn w:val="BodyTextChar"/>
    <w:link w:val="Cmqheading2"/>
    <w:rsid w:val="00C315BD"/>
    <w:rPr>
      <w:rFonts w:ascii="Arial" w:eastAsia="Times" w:hAnsi="Arial" w:cs="Arial"/>
      <w:b/>
      <w:bCs/>
      <w:i/>
      <w:caps/>
      <w:color w:val="000000"/>
      <w:kern w:val="0"/>
      <w:sz w:val="22"/>
      <w:szCs w:val="22"/>
      <w:lang w:eastAsia="en-AU"/>
      <w14:ligatures w14:val="none"/>
    </w:rPr>
  </w:style>
  <w:style w:type="paragraph" w:customStyle="1" w:styleId="CmqTitle1">
    <w:name w:val="Cmq Title 1"/>
    <w:basedOn w:val="Normal"/>
    <w:qFormat/>
    <w:rsid w:val="00C315BD"/>
    <w:pPr>
      <w:spacing w:before="120" w:after="120" w:line="260" w:lineRule="exact"/>
      <w:jc w:val="center"/>
    </w:pPr>
    <w:rPr>
      <w:rFonts w:ascii="Arial" w:eastAsiaTheme="minorHAnsi" w:hAnsi="Arial" w:cs="Arial"/>
      <w:b/>
      <w:bCs/>
      <w:color w:val="000000"/>
      <w:sz w:val="24"/>
      <w:szCs w:val="28"/>
      <w:lang w:eastAsia="en-US"/>
    </w:rPr>
  </w:style>
  <w:style w:type="character" w:customStyle="1" w:styleId="Cmqheading3Char">
    <w:name w:val="Cmq heading 3 Char"/>
    <w:basedOn w:val="Heading3Char"/>
    <w:link w:val="Cmqheading3"/>
    <w:rsid w:val="00C315BD"/>
    <w:rPr>
      <w:rFonts w:ascii="Arial" w:eastAsiaTheme="majorEastAsia" w:hAnsi="Arial" w:cs="Arial"/>
      <w:b/>
      <w:color w:val="0A2F40" w:themeColor="accent1" w:themeShade="7F"/>
      <w:kern w:val="0"/>
      <w:sz w:val="22"/>
      <w:szCs w:val="22"/>
      <w:lang w:eastAsia="en-AU"/>
      <w14:ligatures w14:val="none"/>
    </w:rPr>
  </w:style>
  <w:style w:type="paragraph" w:customStyle="1" w:styleId="CmqTitle2">
    <w:name w:val="Cmq Title 2"/>
    <w:basedOn w:val="Normal"/>
    <w:qFormat/>
    <w:rsid w:val="00C315BD"/>
    <w:pPr>
      <w:pBdr>
        <w:top w:val="single" w:sz="4" w:space="12" w:color="auto"/>
        <w:bottom w:val="single" w:sz="4" w:space="12" w:color="auto"/>
      </w:pBdr>
      <w:spacing w:after="0" w:line="240" w:lineRule="auto"/>
      <w:ind w:left="360"/>
      <w:jc w:val="center"/>
    </w:pPr>
    <w:rPr>
      <w:rFonts w:ascii="Arial" w:eastAsia="Times" w:hAnsi="Arial" w:cs="Arial"/>
      <w:b/>
      <w:i/>
      <w:iCs/>
      <w:lang w:eastAsia="en-US"/>
    </w:rPr>
  </w:style>
  <w:style w:type="character" w:styleId="Hyperlink">
    <w:name w:val="Hyperlink"/>
    <w:basedOn w:val="DefaultParagraphFont"/>
    <w:uiPriority w:val="99"/>
    <w:unhideWhenUsed/>
    <w:rsid w:val="00C315BD"/>
    <w:rPr>
      <w:color w:val="467886" w:themeColor="hyperlink"/>
      <w:u w:val="single"/>
    </w:rPr>
  </w:style>
  <w:style w:type="table" w:styleId="TableGrid">
    <w:name w:val="Table Grid"/>
    <w:basedOn w:val="TableNormal"/>
    <w:uiPriority w:val="59"/>
    <w:rsid w:val="00C315BD"/>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os">
    <w:name w:val="folios"/>
    <w:basedOn w:val="Normal"/>
    <w:link w:val="foliosChar"/>
    <w:rsid w:val="00C315BD"/>
    <w:pPr>
      <w:spacing w:after="360" w:line="240" w:lineRule="auto"/>
      <w:contextualSpacing/>
      <w:jc w:val="right"/>
    </w:pPr>
    <w:rPr>
      <w:rFonts w:ascii="Calibri" w:eastAsia="Times New Roman" w:hAnsi="Calibri" w:cs="Times New Roman"/>
      <w:sz w:val="18"/>
    </w:rPr>
  </w:style>
  <w:style w:type="character" w:customStyle="1" w:styleId="foliosChar">
    <w:name w:val="folios Char"/>
    <w:basedOn w:val="DefaultParagraphFont"/>
    <w:link w:val="folios"/>
    <w:rsid w:val="00C315BD"/>
    <w:rPr>
      <w:rFonts w:ascii="Calibri" w:eastAsia="Times New Roman" w:hAnsi="Calibri"/>
      <w:kern w:val="0"/>
      <w:sz w:val="18"/>
      <w:szCs w:val="22"/>
      <w:lang w:eastAsia="en-AU"/>
      <w14:ligatures w14:val="none"/>
    </w:rPr>
  </w:style>
  <w:style w:type="character" w:styleId="CommentReference">
    <w:name w:val="annotation reference"/>
    <w:basedOn w:val="DefaultParagraphFont"/>
    <w:uiPriority w:val="99"/>
    <w:semiHidden/>
    <w:unhideWhenUsed/>
    <w:rsid w:val="00C43D21"/>
    <w:rPr>
      <w:sz w:val="16"/>
      <w:szCs w:val="16"/>
    </w:rPr>
  </w:style>
  <w:style w:type="paragraph" w:styleId="CommentText">
    <w:name w:val="annotation text"/>
    <w:basedOn w:val="Normal"/>
    <w:link w:val="CommentTextChar"/>
    <w:uiPriority w:val="99"/>
    <w:unhideWhenUsed/>
    <w:rsid w:val="00C43D21"/>
    <w:pPr>
      <w:spacing w:line="240" w:lineRule="auto"/>
    </w:pPr>
    <w:rPr>
      <w:sz w:val="20"/>
      <w:szCs w:val="20"/>
    </w:rPr>
  </w:style>
  <w:style w:type="character" w:customStyle="1" w:styleId="CommentTextChar">
    <w:name w:val="Comment Text Char"/>
    <w:basedOn w:val="DefaultParagraphFont"/>
    <w:link w:val="CommentText"/>
    <w:uiPriority w:val="99"/>
    <w:rsid w:val="00C43D21"/>
    <w:rPr>
      <w:rFonts w:asciiTheme="minorHAnsi" w:eastAsiaTheme="minorEastAsia" w:hAnsiTheme="minorHAnsi" w:cstheme="minorBidi"/>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C43D21"/>
    <w:rPr>
      <w:b/>
      <w:bCs/>
    </w:rPr>
  </w:style>
  <w:style w:type="character" w:customStyle="1" w:styleId="CommentSubjectChar">
    <w:name w:val="Comment Subject Char"/>
    <w:basedOn w:val="CommentTextChar"/>
    <w:link w:val="CommentSubject"/>
    <w:uiPriority w:val="99"/>
    <w:semiHidden/>
    <w:rsid w:val="00C43D21"/>
    <w:rPr>
      <w:rFonts w:asciiTheme="minorHAnsi" w:eastAsiaTheme="minorEastAsia" w:hAnsiTheme="minorHAnsi" w:cstheme="minorBidi"/>
      <w:b/>
      <w:bCs/>
      <w:kern w:val="0"/>
      <w:sz w:val="20"/>
      <w:szCs w:val="20"/>
      <w:lang w:eastAsia="en-AU"/>
      <w14:ligatures w14:val="none"/>
    </w:rPr>
  </w:style>
  <w:style w:type="paragraph" w:styleId="Revision">
    <w:name w:val="Revision"/>
    <w:hidden/>
    <w:uiPriority w:val="99"/>
    <w:semiHidden/>
    <w:rsid w:val="00C43D21"/>
    <w:pPr>
      <w:spacing w:after="0" w:line="240" w:lineRule="auto"/>
    </w:pPr>
    <w:rPr>
      <w:rFonts w:asciiTheme="minorHAnsi" w:eastAsiaTheme="minorEastAsia" w:hAnsiTheme="minorHAnsi" w:cstheme="minorBidi"/>
      <w:kern w:val="0"/>
      <w:sz w:val="22"/>
      <w:szCs w:val="22"/>
      <w:lang w:eastAsia="en-AU"/>
      <w14:ligatures w14:val="none"/>
    </w:rPr>
  </w:style>
  <w:style w:type="character" w:styleId="UnresolvedMention">
    <w:name w:val="Unresolved Mention"/>
    <w:basedOn w:val="DefaultParagraphFont"/>
    <w:uiPriority w:val="99"/>
    <w:semiHidden/>
    <w:unhideWhenUsed/>
    <w:rsid w:val="0022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gtr.gov.au/gmo-dealings/dealings-involving-intentional-release/dir-20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tr@health.gov.a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ogtr.gov.au/gmo-dealings/dealings-involving-intentional-release/dir-215" TargetMode="External"/><Relationship Id="rId4" Type="http://schemas.openxmlformats.org/officeDocument/2006/relationships/webSettings" Target="webSettings.xml"/><Relationship Id="rId9" Type="http://schemas.openxmlformats.org/officeDocument/2006/relationships/hyperlink" Target="https://www.ogtr.gov.au/gmo-dealings/dealings-involving-intentional-release/dir-21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Technical Advisory Committee 28 March 2025 Communiqué</dc:title>
  <dc:subject/>
  <dc:creator>OGTR.Voicemail@health.gov.au</dc:creator>
  <cp:keywords/>
  <dc:description/>
  <cp:lastModifiedBy>SMITH, Justine</cp:lastModifiedBy>
  <cp:revision>3</cp:revision>
  <cp:lastPrinted>2025-07-04T06:49:00Z</cp:lastPrinted>
  <dcterms:created xsi:type="dcterms:W3CDTF">2025-07-04T06:49:00Z</dcterms:created>
  <dcterms:modified xsi:type="dcterms:W3CDTF">2025-07-04T06:49:00Z</dcterms:modified>
</cp:coreProperties>
</file>