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A3E565" w14:textId="7C0F2459" w:rsidR="0048793C" w:rsidRPr="00E12965" w:rsidRDefault="0048793C" w:rsidP="0048793C">
      <w:pPr>
        <w:pStyle w:val="CmqTitle1"/>
        <w:spacing w:before="240"/>
        <w:rPr>
          <w:color w:val="auto"/>
        </w:rPr>
      </w:pPr>
      <w:bookmarkStart w:id="0" w:name="_Toc123029785"/>
      <w:r w:rsidRPr="00E12965">
        <w:rPr>
          <w:color w:val="auto"/>
        </w:rPr>
        <w:t>Gene Technology Technical Advisory Committee</w:t>
      </w:r>
      <w:bookmarkEnd w:id="0"/>
    </w:p>
    <w:p w14:paraId="7AA410FB" w14:textId="5269DA40" w:rsidR="0048793C" w:rsidRPr="00E12965" w:rsidRDefault="0048793C" w:rsidP="0048793C">
      <w:pPr>
        <w:pStyle w:val="CmqTitle1"/>
        <w:rPr>
          <w:color w:val="auto"/>
          <w:szCs w:val="24"/>
        </w:rPr>
      </w:pPr>
      <w:r>
        <w:rPr>
          <w:color w:val="auto"/>
          <w:szCs w:val="24"/>
        </w:rPr>
        <w:t>16 December 2024</w:t>
      </w:r>
    </w:p>
    <w:p w14:paraId="032C5D5B" w14:textId="21719918" w:rsidR="0048793C" w:rsidRPr="00E12965" w:rsidRDefault="0048793C" w:rsidP="0048793C">
      <w:pPr>
        <w:pStyle w:val="CmqTitle1"/>
        <w:spacing w:after="240"/>
        <w:rPr>
          <w:color w:val="auto"/>
          <w:szCs w:val="24"/>
        </w:rPr>
      </w:pPr>
      <w:r w:rsidRPr="00E12965">
        <w:rPr>
          <w:color w:val="auto"/>
          <w:szCs w:val="24"/>
        </w:rPr>
        <w:t>Communiqué</w:t>
      </w:r>
    </w:p>
    <w:p w14:paraId="58061C63" w14:textId="625D4827" w:rsidR="0048793C" w:rsidRPr="00E12965" w:rsidRDefault="0048793C" w:rsidP="0048793C">
      <w:pPr>
        <w:pStyle w:val="CmqTitle2"/>
        <w:ind w:left="0"/>
      </w:pPr>
      <w:r w:rsidRPr="00E12965">
        <w:t xml:space="preserve">This Communiqué covers matters considered at the </w:t>
      </w:r>
      <w:r>
        <w:t>41</w:t>
      </w:r>
      <w:r w:rsidRPr="0048793C">
        <w:rPr>
          <w:vertAlign w:val="superscript"/>
        </w:rPr>
        <w:t>st</w:t>
      </w:r>
      <w:r>
        <w:rPr>
          <w:vertAlign w:val="superscript"/>
        </w:rPr>
        <w:t xml:space="preserve"> </w:t>
      </w:r>
      <w:r>
        <w:t xml:space="preserve">videoconference </w:t>
      </w:r>
      <w:r w:rsidRPr="00E12965">
        <w:t xml:space="preserve">of the </w:t>
      </w:r>
      <w:r w:rsidRPr="00E12965">
        <w:br/>
        <w:t>Gene Technology Technical Advisory Committee (</w:t>
      </w:r>
      <w:r>
        <w:t>16 December 2024</w:t>
      </w:r>
      <w:r w:rsidRPr="00E12965">
        <w:t>)</w:t>
      </w:r>
    </w:p>
    <w:p w14:paraId="7D7BE1DF" w14:textId="77777777" w:rsidR="0048793C" w:rsidRPr="00E12965" w:rsidRDefault="0048793C" w:rsidP="0048793C">
      <w:pPr>
        <w:pStyle w:val="BodyText"/>
      </w:pPr>
      <w:r w:rsidRPr="00E12965">
        <w:t xml:space="preserve">The Gene Technology Technical Advisory Committee (GTTAC) is a statutory advisory committee established under the </w:t>
      </w:r>
      <w:r w:rsidRPr="00E12965">
        <w:rPr>
          <w:i/>
        </w:rPr>
        <w:t>Gene Technology Act 2000</w:t>
      </w:r>
      <w:r w:rsidRPr="00E12965">
        <w:t xml:space="preserve"> (the Act) to provide scientific and technical advice to the Gene Technology Regulator (the Regulator) and the Gene Technology Ministers’ Meeting. </w:t>
      </w:r>
    </w:p>
    <w:p w14:paraId="14952C0A" w14:textId="77777777" w:rsidR="0048793C" w:rsidRPr="00E12965" w:rsidRDefault="0048793C" w:rsidP="0048793C">
      <w:pPr>
        <w:pStyle w:val="BodyText"/>
      </w:pPr>
      <w:r w:rsidRPr="00E12965">
        <w:t xml:space="preserve">The Regulator seeks advice from GTTAC on licence applications to work with Genetically Modified Organisms (GMOs) and on Risk Assessment and Risk Management Plans (RARMPs) prepared for applications. The purpose of this Communiqué is to provide a brief overview of GTTAC’s consideration of applications and RARMPs and, in accordance with the Gene Technology Regulations 2001, to publish committee resolutions given to the Regulator. The Communiqué also provides an overview of any other deliberations of the committee. It does not include information </w:t>
      </w:r>
      <w:r>
        <w:t>that</w:t>
      </w:r>
      <w:r w:rsidRPr="00E12965">
        <w:t xml:space="preserve"> is treated as Confidential Commercial Information in accordance with the Act.</w:t>
      </w:r>
    </w:p>
    <w:p w14:paraId="39C73135" w14:textId="77777777" w:rsidR="0048793C" w:rsidRPr="0048793C" w:rsidRDefault="0048793C" w:rsidP="0048793C">
      <w:pPr>
        <w:pStyle w:val="CmqHeading1"/>
      </w:pPr>
      <w:r w:rsidRPr="0048793C">
        <w:t>Dealings Involving the Intentional Release of a GMO</w:t>
      </w:r>
    </w:p>
    <w:p w14:paraId="29B79339" w14:textId="77777777" w:rsidR="0048793C" w:rsidRPr="00857464" w:rsidRDefault="0048793C" w:rsidP="0048793C">
      <w:pPr>
        <w:pStyle w:val="BodyText"/>
      </w:pPr>
      <w:r w:rsidRPr="00857464">
        <w:t>Dealings involving the Intentional Release (DIR) of a GMO into the environment can involve a limited and controlled release (clinical trial or field trial) or a commercial (general) release.</w:t>
      </w:r>
    </w:p>
    <w:p w14:paraId="0297CACD" w14:textId="77777777" w:rsidR="0048793C" w:rsidRPr="007F3778" w:rsidRDefault="0048793C" w:rsidP="0048793C">
      <w:pPr>
        <w:pStyle w:val="BodyText"/>
      </w:pPr>
      <w:r w:rsidRPr="007F3778">
        <w:t>For commercial releases, the Regulator must seek GTTAC advice twice. The first consultation is on matters to consider when preparing the RARMP and the second is on the RARMP itself. For limited and controlled releases, the Regulator must seek GTTAC advice only once on the RARMP.</w:t>
      </w:r>
    </w:p>
    <w:p w14:paraId="144BCCD4" w14:textId="77777777" w:rsidR="0048793C" w:rsidRDefault="0048793C" w:rsidP="0048793C">
      <w:pPr>
        <w:pStyle w:val="BodyText"/>
      </w:pPr>
      <w:r w:rsidRPr="00857464">
        <w:t>The RARMP for every DIR licence application is issued for public consultation.</w:t>
      </w:r>
    </w:p>
    <w:p w14:paraId="07B99395" w14:textId="77777777" w:rsidR="0048793C" w:rsidRPr="005B26D0" w:rsidRDefault="0048793C" w:rsidP="0048793C">
      <w:pPr>
        <w:pStyle w:val="Cmqheading2"/>
      </w:pPr>
      <w:r w:rsidRPr="005B26D0">
        <w:t xml:space="preserve">Advice on </w:t>
      </w:r>
      <w:r>
        <w:t>CONSULTATION RARMPS</w:t>
      </w:r>
      <w:r w:rsidRPr="005B26D0">
        <w:t xml:space="preserve"> – </w:t>
      </w:r>
      <w:r>
        <w:t>limited and controlled</w:t>
      </w:r>
      <w:r w:rsidRPr="005B26D0">
        <w:t xml:space="preserve"> release</w:t>
      </w:r>
    </w:p>
    <w:p w14:paraId="2B4D9C6B" w14:textId="5B768C63" w:rsidR="0048793C" w:rsidRDefault="0048793C" w:rsidP="0048793C">
      <w:pPr>
        <w:pStyle w:val="BodyText"/>
        <w:rPr>
          <w:rFonts w:eastAsiaTheme="majorEastAsia"/>
          <w:b/>
        </w:rPr>
      </w:pPr>
      <w:r w:rsidRPr="0048793C">
        <w:rPr>
          <w:rFonts w:eastAsiaTheme="majorEastAsia"/>
          <w:b/>
        </w:rPr>
        <w:t xml:space="preserve">DIR-208 – RARMP – Clinical trial of GM vaccinia virus for the treatment of solid tumours </w:t>
      </w:r>
    </w:p>
    <w:p w14:paraId="6A5F33C1" w14:textId="748F30F7" w:rsidR="0048793C" w:rsidRPr="0048793C" w:rsidRDefault="0048793C" w:rsidP="0048793C">
      <w:pPr>
        <w:pStyle w:val="BodyText"/>
        <w:rPr>
          <w:highlight w:val="lightGray"/>
        </w:rPr>
      </w:pPr>
      <w:r w:rsidRPr="0048793C">
        <w:t xml:space="preserve">Licence application DIR-208 from </w:t>
      </w:r>
      <w:proofErr w:type="spellStart"/>
      <w:r w:rsidRPr="0048793C">
        <w:t>Novotech</w:t>
      </w:r>
      <w:proofErr w:type="spellEnd"/>
      <w:r>
        <w:t xml:space="preserve"> (Australia) Pty Ltd</w:t>
      </w:r>
      <w:r w:rsidRPr="0048793C">
        <w:t xml:space="preserve"> is for a clinical trial </w:t>
      </w:r>
      <w:r w:rsidR="00C751B1">
        <w:t>in subjects with</w:t>
      </w:r>
      <w:r w:rsidRPr="0048793C">
        <w:t xml:space="preserve"> solid tumours. The trial would </w:t>
      </w:r>
      <w:r w:rsidR="00AB2098">
        <w:t>involve</w:t>
      </w:r>
      <w:r w:rsidRPr="0048793C">
        <w:t xml:space="preserve"> up to 40 participants at clinical trial sites and hospitals within Australia over a period of 5 years.</w:t>
      </w:r>
    </w:p>
    <w:p w14:paraId="6151538B" w14:textId="2AD66F10" w:rsidR="0048793C" w:rsidRPr="0048793C" w:rsidRDefault="0048793C" w:rsidP="0048793C">
      <w:pPr>
        <w:pStyle w:val="BodyText"/>
      </w:pPr>
      <w:r w:rsidRPr="0048793C">
        <w:t>GTTAC noted the conclusion of the RARMP that</w:t>
      </w:r>
      <w:r w:rsidR="003710D5">
        <w:t xml:space="preserve"> the </w:t>
      </w:r>
      <w:r w:rsidR="00530D7C">
        <w:t>proposed GMO dealings pose negli</w:t>
      </w:r>
      <w:r w:rsidR="009F0EA2">
        <w:t xml:space="preserve">gible risk to </w:t>
      </w:r>
      <w:r w:rsidRPr="0048793C">
        <w:t xml:space="preserve">the health and safety of people </w:t>
      </w:r>
      <w:r w:rsidR="003029ED">
        <w:t>and</w:t>
      </w:r>
      <w:r w:rsidRPr="0048793C">
        <w:t xml:space="preserve"> the environment</w:t>
      </w:r>
      <w:r w:rsidR="009F0EA2">
        <w:t>.</w:t>
      </w:r>
      <w:r w:rsidR="00FB102F">
        <w:t xml:space="preserve"> </w:t>
      </w:r>
      <w:r w:rsidRPr="0048793C">
        <w:t xml:space="preserve">The </w:t>
      </w:r>
      <w:r w:rsidR="0053214E">
        <w:t>C</w:t>
      </w:r>
      <w:r w:rsidRPr="0048793C">
        <w:t>ommittee discussed</w:t>
      </w:r>
      <w:r w:rsidR="0053214E">
        <w:t xml:space="preserve"> the following key topics</w:t>
      </w:r>
      <w:r w:rsidRPr="0048793C">
        <w:t>:</w:t>
      </w:r>
    </w:p>
    <w:p w14:paraId="47D0E46D" w14:textId="5CD4BD32" w:rsidR="0048793C" w:rsidRPr="0048793C" w:rsidRDefault="00EA1972" w:rsidP="0048793C">
      <w:pPr>
        <w:pStyle w:val="ListParagraph"/>
        <w:numPr>
          <w:ilvl w:val="0"/>
          <w:numId w:val="1"/>
        </w:numPr>
        <w:rPr>
          <w:rFonts w:ascii="Arial" w:hAnsi="Arial" w:cs="Arial"/>
        </w:rPr>
      </w:pPr>
      <w:r>
        <w:rPr>
          <w:rFonts w:ascii="Arial" w:hAnsi="Arial" w:cs="Arial"/>
        </w:rPr>
        <w:t>the descri</w:t>
      </w:r>
      <w:r w:rsidR="0053214E">
        <w:rPr>
          <w:rFonts w:ascii="Arial" w:hAnsi="Arial" w:cs="Arial"/>
        </w:rPr>
        <w:t>ption of enriched replication</w:t>
      </w:r>
      <w:r w:rsidR="00AB2098">
        <w:rPr>
          <w:rFonts w:ascii="Arial" w:hAnsi="Arial" w:cs="Arial"/>
        </w:rPr>
        <w:t xml:space="preserve"> of the GMO</w:t>
      </w:r>
      <w:r w:rsidR="0048793C" w:rsidRPr="0048793C">
        <w:rPr>
          <w:rFonts w:ascii="Arial" w:hAnsi="Arial" w:cs="Arial"/>
        </w:rPr>
        <w:t xml:space="preserve"> </w:t>
      </w:r>
      <w:r w:rsidR="0053214E">
        <w:rPr>
          <w:rFonts w:ascii="Arial" w:hAnsi="Arial" w:cs="Arial"/>
        </w:rPr>
        <w:t xml:space="preserve">in </w:t>
      </w:r>
      <w:r w:rsidR="00AB2098">
        <w:rPr>
          <w:rFonts w:ascii="Arial" w:hAnsi="Arial" w:cs="Arial"/>
        </w:rPr>
        <w:t>tumour cells</w:t>
      </w:r>
      <w:r>
        <w:rPr>
          <w:rFonts w:ascii="Arial" w:hAnsi="Arial" w:cs="Arial"/>
        </w:rPr>
        <w:t>.</w:t>
      </w:r>
    </w:p>
    <w:p w14:paraId="33D80D54" w14:textId="6FE0C931" w:rsidR="0048793C" w:rsidRPr="0048793C" w:rsidRDefault="0053214E" w:rsidP="0048793C">
      <w:pPr>
        <w:pStyle w:val="ListParagraph"/>
        <w:numPr>
          <w:ilvl w:val="0"/>
          <w:numId w:val="1"/>
        </w:numPr>
        <w:rPr>
          <w:rFonts w:ascii="Arial" w:hAnsi="Arial" w:cs="Arial"/>
        </w:rPr>
      </w:pPr>
      <w:r>
        <w:rPr>
          <w:rFonts w:ascii="Arial" w:hAnsi="Arial" w:cs="Arial"/>
        </w:rPr>
        <w:t>c</w:t>
      </w:r>
      <w:r w:rsidR="00AB2098">
        <w:rPr>
          <w:rFonts w:ascii="Arial" w:hAnsi="Arial" w:cs="Arial"/>
        </w:rPr>
        <w:t>larif</w:t>
      </w:r>
      <w:r>
        <w:rPr>
          <w:rFonts w:ascii="Arial" w:hAnsi="Arial" w:cs="Arial"/>
        </w:rPr>
        <w:t>ying language</w:t>
      </w:r>
      <w:r w:rsidR="00AB2098">
        <w:rPr>
          <w:rFonts w:ascii="Arial" w:hAnsi="Arial" w:cs="Arial"/>
        </w:rPr>
        <w:t xml:space="preserve"> around the use of barrier contraception </w:t>
      </w:r>
      <w:r w:rsidR="00EA1972">
        <w:rPr>
          <w:rFonts w:ascii="Arial" w:hAnsi="Arial" w:cs="Arial"/>
        </w:rPr>
        <w:t>in the context of potential</w:t>
      </w:r>
      <w:r w:rsidR="00AB2098">
        <w:rPr>
          <w:rFonts w:ascii="Arial" w:hAnsi="Arial" w:cs="Arial"/>
        </w:rPr>
        <w:t xml:space="preserve"> inadvertent exposure</w:t>
      </w:r>
      <w:r w:rsidR="0048793C" w:rsidRPr="0048793C">
        <w:rPr>
          <w:rFonts w:ascii="Arial" w:hAnsi="Arial" w:cs="Arial"/>
        </w:rPr>
        <w:t>.</w:t>
      </w:r>
    </w:p>
    <w:p w14:paraId="0284204B" w14:textId="1D934C99" w:rsidR="0048793C" w:rsidRPr="0048793C" w:rsidRDefault="00EA1972" w:rsidP="0048793C">
      <w:pPr>
        <w:pStyle w:val="ListParagraph"/>
        <w:numPr>
          <w:ilvl w:val="0"/>
          <w:numId w:val="1"/>
        </w:numPr>
        <w:rPr>
          <w:rFonts w:ascii="Arial" w:hAnsi="Arial" w:cs="Arial"/>
        </w:rPr>
      </w:pPr>
      <w:r>
        <w:rPr>
          <w:rFonts w:ascii="Arial" w:hAnsi="Arial" w:cs="Arial"/>
        </w:rPr>
        <w:lastRenderedPageBreak/>
        <w:t>considerations around potential inadvertent exposure to</w:t>
      </w:r>
      <w:r w:rsidR="0048793C" w:rsidRPr="0048793C">
        <w:rPr>
          <w:rFonts w:ascii="Arial" w:hAnsi="Arial" w:cs="Arial"/>
        </w:rPr>
        <w:t xml:space="preserve"> lab staff handling </w:t>
      </w:r>
      <w:r>
        <w:rPr>
          <w:rFonts w:ascii="Arial" w:hAnsi="Arial" w:cs="Arial"/>
        </w:rPr>
        <w:t xml:space="preserve">and analysing biological specimens from the trial. </w:t>
      </w:r>
      <w:r w:rsidR="0048793C" w:rsidRPr="0048793C">
        <w:rPr>
          <w:rFonts w:ascii="Arial" w:hAnsi="Arial" w:cs="Arial"/>
        </w:rPr>
        <w:t xml:space="preserve"> </w:t>
      </w:r>
    </w:p>
    <w:tbl>
      <w:tblPr>
        <w:tblStyle w:val="TableGrid"/>
        <w:tblpPr w:leftFromText="180" w:rightFromText="180" w:vertAnchor="text" w:horzAnchor="margin" w:tblpY="100"/>
        <w:tblW w:w="9644" w:type="dxa"/>
        <w:tblLook w:val="04A0" w:firstRow="1" w:lastRow="0" w:firstColumn="1" w:lastColumn="0" w:noHBand="0" w:noVBand="1"/>
      </w:tblPr>
      <w:tblGrid>
        <w:gridCol w:w="9644"/>
      </w:tblGrid>
      <w:tr w:rsidR="0048793C" w:rsidRPr="00785DC0" w14:paraId="27616DDB" w14:textId="77777777" w:rsidTr="0048793C">
        <w:trPr>
          <w:trHeight w:val="3084"/>
        </w:trPr>
        <w:tc>
          <w:tcPr>
            <w:tcW w:w="9644" w:type="dxa"/>
          </w:tcPr>
          <w:p w14:paraId="3A4B6179" w14:textId="77777777" w:rsidR="0048793C" w:rsidRPr="00626291" w:rsidRDefault="0048793C" w:rsidP="0048793C">
            <w:pPr>
              <w:pStyle w:val="BodyText"/>
              <w:keepNext/>
              <w:rPr>
                <w:b/>
                <w:bCs/>
              </w:rPr>
            </w:pPr>
            <w:r w:rsidRPr="00626291">
              <w:rPr>
                <w:b/>
                <w:bCs/>
              </w:rPr>
              <w:t>Resolutions</w:t>
            </w:r>
          </w:p>
          <w:p w14:paraId="78E739EB" w14:textId="77777777" w:rsidR="0048793C" w:rsidRPr="0048793C" w:rsidRDefault="0048793C" w:rsidP="0048793C">
            <w:pPr>
              <w:numPr>
                <w:ilvl w:val="0"/>
                <w:numId w:val="1"/>
              </w:numPr>
              <w:autoSpaceDE w:val="0"/>
              <w:autoSpaceDN w:val="0"/>
              <w:adjustRightInd w:val="0"/>
              <w:spacing w:before="120" w:after="120" w:line="240" w:lineRule="auto"/>
              <w:rPr>
                <w:rFonts w:ascii="Arial" w:eastAsia="Times New Roman" w:hAnsi="Arial" w:cs="Arial"/>
              </w:rPr>
            </w:pPr>
            <w:r w:rsidRPr="0048793C">
              <w:rPr>
                <w:rFonts w:ascii="Arial" w:eastAsia="Times New Roman" w:hAnsi="Arial" w:cs="Arial"/>
              </w:rPr>
              <w:t>The committee agrees that the risk assessment identifies all plausible risk scenarios by which the proposed dealings could potentially give rise to risks relating to the health and safety of people or the environment.</w:t>
            </w:r>
          </w:p>
          <w:p w14:paraId="59A5D9D7" w14:textId="77777777" w:rsidR="0048793C" w:rsidRPr="0048793C" w:rsidRDefault="0048793C" w:rsidP="0048793C">
            <w:pPr>
              <w:numPr>
                <w:ilvl w:val="0"/>
                <w:numId w:val="1"/>
              </w:numPr>
              <w:autoSpaceDE w:val="0"/>
              <w:autoSpaceDN w:val="0"/>
              <w:adjustRightInd w:val="0"/>
              <w:spacing w:before="120" w:after="120" w:line="240" w:lineRule="auto"/>
              <w:rPr>
                <w:rFonts w:ascii="Arial" w:eastAsia="Times New Roman" w:hAnsi="Arial" w:cs="Arial"/>
              </w:rPr>
            </w:pPr>
            <w:r w:rsidRPr="0048793C">
              <w:rPr>
                <w:rFonts w:ascii="Arial" w:eastAsia="Times New Roman" w:hAnsi="Arial" w:cs="Arial"/>
              </w:rPr>
              <w:t>The committee agrees that the limits and controls proposed in the draft licence to prevent the spread of the GMO are appropriate for the clinical trial.</w:t>
            </w:r>
          </w:p>
          <w:p w14:paraId="4AA2F57B" w14:textId="77777777" w:rsidR="0048793C" w:rsidRPr="0048793C" w:rsidRDefault="0048793C" w:rsidP="0048793C">
            <w:pPr>
              <w:numPr>
                <w:ilvl w:val="0"/>
                <w:numId w:val="1"/>
              </w:numPr>
              <w:autoSpaceDE w:val="0"/>
              <w:autoSpaceDN w:val="0"/>
              <w:adjustRightInd w:val="0"/>
              <w:spacing w:before="120" w:after="120" w:line="240" w:lineRule="auto"/>
              <w:rPr>
                <w:rFonts w:ascii="Arial" w:eastAsia="Times New Roman" w:hAnsi="Arial" w:cs="Arial"/>
              </w:rPr>
            </w:pPr>
            <w:r w:rsidRPr="0048793C">
              <w:rPr>
                <w:rFonts w:ascii="Arial" w:eastAsia="Times New Roman" w:hAnsi="Arial" w:cs="Arial"/>
              </w:rPr>
              <w:t>The Regulator should consider rewording text around selective replication in tumours.</w:t>
            </w:r>
          </w:p>
          <w:p w14:paraId="68B04A7F" w14:textId="77777777" w:rsidR="0048793C" w:rsidRPr="0048793C" w:rsidRDefault="0048793C" w:rsidP="0048793C">
            <w:pPr>
              <w:numPr>
                <w:ilvl w:val="0"/>
                <w:numId w:val="1"/>
              </w:numPr>
              <w:autoSpaceDE w:val="0"/>
              <w:autoSpaceDN w:val="0"/>
              <w:adjustRightInd w:val="0"/>
              <w:spacing w:before="120" w:after="120" w:line="240" w:lineRule="auto"/>
              <w:rPr>
                <w:rFonts w:ascii="Arial" w:eastAsia="Times New Roman" w:hAnsi="Arial" w:cs="Arial"/>
              </w:rPr>
            </w:pPr>
            <w:r w:rsidRPr="0048793C">
              <w:rPr>
                <w:rFonts w:ascii="Arial" w:eastAsia="Times New Roman" w:hAnsi="Arial" w:cs="Arial"/>
              </w:rPr>
              <w:t>The Regulator should further consider broadening controls associated with exposure to seminal and vaginal fluids.</w:t>
            </w:r>
          </w:p>
          <w:p w14:paraId="4E26C9AB" w14:textId="77777777" w:rsidR="0048793C" w:rsidRPr="0048793C" w:rsidRDefault="0048793C" w:rsidP="0048793C">
            <w:pPr>
              <w:numPr>
                <w:ilvl w:val="0"/>
                <w:numId w:val="1"/>
              </w:numPr>
              <w:autoSpaceDE w:val="0"/>
              <w:autoSpaceDN w:val="0"/>
              <w:adjustRightInd w:val="0"/>
              <w:spacing w:before="120" w:after="120" w:line="240" w:lineRule="auto"/>
              <w:rPr>
                <w:rFonts w:ascii="Arial" w:eastAsia="Times New Roman" w:hAnsi="Arial" w:cs="Arial"/>
              </w:rPr>
            </w:pPr>
            <w:r w:rsidRPr="0048793C">
              <w:rPr>
                <w:rFonts w:ascii="Arial" w:eastAsia="Times New Roman" w:hAnsi="Arial" w:cs="Arial"/>
              </w:rPr>
              <w:t>The Regulator should further consider risks to lab staff handling biospecimens from the participants.</w:t>
            </w:r>
          </w:p>
          <w:p w14:paraId="411395AA" w14:textId="77777777" w:rsidR="0048793C" w:rsidRPr="0048793C" w:rsidRDefault="0048793C" w:rsidP="0048793C">
            <w:pPr>
              <w:numPr>
                <w:ilvl w:val="0"/>
                <w:numId w:val="1"/>
              </w:numPr>
              <w:autoSpaceDE w:val="0"/>
              <w:autoSpaceDN w:val="0"/>
              <w:adjustRightInd w:val="0"/>
              <w:spacing w:before="120" w:after="120" w:line="240" w:lineRule="auto"/>
              <w:rPr>
                <w:rFonts w:ascii="Arial" w:eastAsia="Times New Roman" w:hAnsi="Arial" w:cs="Arial"/>
              </w:rPr>
            </w:pPr>
            <w:r w:rsidRPr="0048793C">
              <w:rPr>
                <w:rFonts w:ascii="Arial" w:eastAsia="Times New Roman" w:hAnsi="Arial" w:cs="Arial"/>
              </w:rPr>
              <w:t>The committee agrees with the overall conclusion of the RARMP.</w:t>
            </w:r>
          </w:p>
        </w:tc>
      </w:tr>
    </w:tbl>
    <w:p w14:paraId="4AFC6826" w14:textId="77777777" w:rsidR="0048793C" w:rsidRDefault="0048793C" w:rsidP="0048793C">
      <w:pPr>
        <w:rPr>
          <w:rFonts w:ascii="Arial" w:hAnsi="Arial" w:cs="Arial"/>
          <w:highlight w:val="lightGray"/>
        </w:rPr>
      </w:pPr>
    </w:p>
    <w:p w14:paraId="42D1A2F8" w14:textId="243A1D9E" w:rsidR="0048793C" w:rsidRDefault="0048793C" w:rsidP="0048793C">
      <w:pPr>
        <w:rPr>
          <w:rFonts w:ascii="Arial" w:hAnsi="Arial" w:cs="Arial"/>
          <w:b/>
          <w:bCs/>
        </w:rPr>
      </w:pPr>
      <w:r w:rsidRPr="0048793C">
        <w:rPr>
          <w:rFonts w:ascii="Arial" w:hAnsi="Arial" w:cs="Arial"/>
          <w:b/>
          <w:bCs/>
        </w:rPr>
        <w:t xml:space="preserve">DIR-209 – RARMP – Limited and controlled release of </w:t>
      </w:r>
      <w:r w:rsidRPr="00FF64A2">
        <w:rPr>
          <w:rFonts w:ascii="Arial" w:hAnsi="Arial" w:cs="Arial"/>
          <w:b/>
          <w:bCs/>
          <w:i/>
          <w:iCs/>
        </w:rPr>
        <w:t>Sorghum</w:t>
      </w:r>
      <w:r w:rsidRPr="0048793C">
        <w:rPr>
          <w:rFonts w:ascii="Arial" w:hAnsi="Arial" w:cs="Arial"/>
          <w:b/>
          <w:bCs/>
        </w:rPr>
        <w:t xml:space="preserve"> genetically modified for altered reproduction from sexual to asexual</w:t>
      </w:r>
    </w:p>
    <w:p w14:paraId="286DA575" w14:textId="3F0F5B98" w:rsidR="0048793C" w:rsidRPr="0048793C" w:rsidRDefault="0048793C" w:rsidP="0048793C">
      <w:pPr>
        <w:pStyle w:val="BodyText"/>
        <w:rPr>
          <w:highlight w:val="lightGray"/>
        </w:rPr>
      </w:pPr>
      <w:r w:rsidRPr="0048793C">
        <w:t xml:space="preserve">Licence application DIR-209 from the University of Queensland is for a field trial of sorghum lines </w:t>
      </w:r>
      <w:r w:rsidR="00D140F4">
        <w:t>genetically modified to</w:t>
      </w:r>
      <w:r>
        <w:t xml:space="preserve"> </w:t>
      </w:r>
      <w:r w:rsidRPr="0048793C">
        <w:t>produc</w:t>
      </w:r>
      <w:r w:rsidR="00D140F4">
        <w:t>e</w:t>
      </w:r>
      <w:r w:rsidRPr="0048793C">
        <w:t xml:space="preserve"> clonal seed</w:t>
      </w:r>
      <w:r>
        <w:t>. The trial would be conducted over 3 years</w:t>
      </w:r>
      <w:r w:rsidRPr="0048793C">
        <w:t xml:space="preserve"> </w:t>
      </w:r>
      <w:r>
        <w:t xml:space="preserve">at </w:t>
      </w:r>
      <w:r w:rsidR="001172A7">
        <w:t>the University of Queensland</w:t>
      </w:r>
      <w:r>
        <w:t>, covering a maximum planting area of 1 hectare per year.</w:t>
      </w:r>
      <w:r w:rsidR="00D140F4">
        <w:t xml:space="preserve"> </w:t>
      </w:r>
      <w:r>
        <w:t>The purpose of the trial is to assess agronomic and genetic characteristics of the GM sorghum plants under field conditions.</w:t>
      </w:r>
    </w:p>
    <w:p w14:paraId="11714A5B" w14:textId="05B50444" w:rsidR="0048793C" w:rsidRPr="0048793C" w:rsidRDefault="0048793C" w:rsidP="0048793C">
      <w:pPr>
        <w:pStyle w:val="BodyText"/>
        <w:rPr>
          <w:highlight w:val="lightGray"/>
        </w:rPr>
      </w:pPr>
      <w:r w:rsidRPr="00EA1972">
        <w:t xml:space="preserve">GTTAC noted the conclusion of the RARMP is that </w:t>
      </w:r>
      <w:r w:rsidR="003029ED">
        <w:t xml:space="preserve">the proposed field trial poses negligible risks to people and </w:t>
      </w:r>
      <w:r w:rsidR="00C751B1">
        <w:t xml:space="preserve">that </w:t>
      </w:r>
      <w:r w:rsidR="003029ED">
        <w:t>the identified</w:t>
      </w:r>
      <w:r w:rsidRPr="00EA1972">
        <w:t xml:space="preserve"> low risk</w:t>
      </w:r>
      <w:r w:rsidR="003029ED">
        <w:t>s</w:t>
      </w:r>
      <w:r w:rsidRPr="00EA1972">
        <w:t xml:space="preserve"> to the environment </w:t>
      </w:r>
      <w:r w:rsidR="003029ED">
        <w:t>can be</w:t>
      </w:r>
      <w:r w:rsidR="00EA1972" w:rsidRPr="00EA1972">
        <w:t xml:space="preserve"> manage</w:t>
      </w:r>
      <w:r w:rsidR="003029ED">
        <w:t>d</w:t>
      </w:r>
      <w:r w:rsidR="00EA1972" w:rsidRPr="00EA1972">
        <w:t>.</w:t>
      </w:r>
      <w:r w:rsidRPr="0048793C">
        <w:t xml:space="preserve"> The committee </w:t>
      </w:r>
      <w:r w:rsidR="00EA1972">
        <w:t>further noted that</w:t>
      </w:r>
      <w:r w:rsidRPr="0048793C">
        <w:t>:</w:t>
      </w:r>
    </w:p>
    <w:p w14:paraId="4B7B38B6" w14:textId="57B36967" w:rsidR="00EA1972" w:rsidRPr="00EA1972" w:rsidRDefault="00EA1972" w:rsidP="00EA1972">
      <w:pPr>
        <w:pStyle w:val="ListParagraph"/>
        <w:numPr>
          <w:ilvl w:val="0"/>
          <w:numId w:val="1"/>
        </w:numPr>
        <w:rPr>
          <w:rFonts w:ascii="Arial" w:hAnsi="Arial" w:cs="Arial"/>
        </w:rPr>
      </w:pPr>
      <w:r w:rsidRPr="00EA1972">
        <w:rPr>
          <w:rFonts w:ascii="Arial" w:hAnsi="Arial" w:cs="Arial"/>
        </w:rPr>
        <w:t xml:space="preserve">pollen bags are designed to facilitate controlled pollination </w:t>
      </w:r>
      <w:r w:rsidR="008A3DCD">
        <w:rPr>
          <w:rFonts w:ascii="Arial" w:hAnsi="Arial" w:cs="Arial"/>
        </w:rPr>
        <w:t>rather than</w:t>
      </w:r>
      <w:r w:rsidRPr="00EA1972">
        <w:rPr>
          <w:rFonts w:ascii="Arial" w:hAnsi="Arial" w:cs="Arial"/>
        </w:rPr>
        <w:t xml:space="preserve"> prevent pollen dispersal</w:t>
      </w:r>
      <w:r w:rsidR="00265837">
        <w:rPr>
          <w:rFonts w:ascii="Arial" w:hAnsi="Arial" w:cs="Arial"/>
        </w:rPr>
        <w:t>.</w:t>
      </w:r>
    </w:p>
    <w:p w14:paraId="513B6F60" w14:textId="52D9268B" w:rsidR="00EA1972" w:rsidRPr="00EA1972" w:rsidRDefault="00EA1972" w:rsidP="00EA1972">
      <w:pPr>
        <w:pStyle w:val="ListParagraph"/>
        <w:numPr>
          <w:ilvl w:val="0"/>
          <w:numId w:val="1"/>
        </w:numPr>
        <w:rPr>
          <w:rFonts w:ascii="Arial" w:hAnsi="Arial" w:cs="Arial"/>
        </w:rPr>
      </w:pPr>
      <w:r w:rsidRPr="00EA1972">
        <w:rPr>
          <w:rFonts w:ascii="Arial" w:hAnsi="Arial" w:cs="Arial"/>
        </w:rPr>
        <w:t xml:space="preserve">the licence proposes </w:t>
      </w:r>
      <w:r w:rsidR="002710C7">
        <w:rPr>
          <w:rFonts w:ascii="Arial" w:hAnsi="Arial" w:cs="Arial"/>
        </w:rPr>
        <w:t>a</w:t>
      </w:r>
      <w:r w:rsidRPr="00EA1972">
        <w:rPr>
          <w:rFonts w:ascii="Arial" w:hAnsi="Arial" w:cs="Arial"/>
        </w:rPr>
        <w:t xml:space="preserve"> monitoring zone to reduce the likelihood of outcrossing to sexually compatible plants</w:t>
      </w:r>
      <w:r w:rsidR="00B47000">
        <w:rPr>
          <w:rFonts w:ascii="Arial" w:hAnsi="Arial" w:cs="Arial"/>
        </w:rPr>
        <w:t xml:space="preserve"> </w:t>
      </w:r>
      <w:r w:rsidRPr="00EA1972">
        <w:rPr>
          <w:rFonts w:ascii="Arial" w:hAnsi="Arial" w:cs="Arial"/>
        </w:rPr>
        <w:t>outside the trial</w:t>
      </w:r>
      <w:r w:rsidR="00265837">
        <w:rPr>
          <w:rFonts w:ascii="Arial" w:hAnsi="Arial" w:cs="Arial"/>
        </w:rPr>
        <w:t>.</w:t>
      </w:r>
    </w:p>
    <w:p w14:paraId="702CA285" w14:textId="2563E96C" w:rsidR="00EA1972" w:rsidRPr="00EA1972" w:rsidRDefault="00EA1972" w:rsidP="00EA1972">
      <w:pPr>
        <w:pStyle w:val="ListParagraph"/>
        <w:numPr>
          <w:ilvl w:val="0"/>
          <w:numId w:val="1"/>
        </w:numPr>
        <w:rPr>
          <w:rFonts w:ascii="Arial" w:hAnsi="Arial" w:cs="Arial"/>
        </w:rPr>
      </w:pPr>
      <w:r w:rsidRPr="00EA1972">
        <w:rPr>
          <w:rFonts w:ascii="Arial" w:hAnsi="Arial" w:cs="Arial"/>
        </w:rPr>
        <w:t>the specified distance</w:t>
      </w:r>
      <w:r>
        <w:rPr>
          <w:rFonts w:ascii="Arial" w:hAnsi="Arial" w:cs="Arial"/>
        </w:rPr>
        <w:t xml:space="preserve"> between the trial site</w:t>
      </w:r>
      <w:r w:rsidRPr="00EA1972">
        <w:rPr>
          <w:rFonts w:ascii="Arial" w:hAnsi="Arial" w:cs="Arial"/>
        </w:rPr>
        <w:t xml:space="preserve"> </w:t>
      </w:r>
      <w:r>
        <w:rPr>
          <w:rFonts w:ascii="Arial" w:hAnsi="Arial" w:cs="Arial"/>
        </w:rPr>
        <w:t>and</w:t>
      </w:r>
      <w:r w:rsidRPr="00EA1972">
        <w:rPr>
          <w:rFonts w:ascii="Arial" w:hAnsi="Arial" w:cs="Arial"/>
        </w:rPr>
        <w:t xml:space="preserve"> waterways </w:t>
      </w:r>
      <w:r w:rsidR="008A3DCD">
        <w:rPr>
          <w:rFonts w:ascii="Arial" w:hAnsi="Arial" w:cs="Arial"/>
        </w:rPr>
        <w:t xml:space="preserve">is intended to </w:t>
      </w:r>
      <w:r>
        <w:rPr>
          <w:rFonts w:ascii="Arial" w:hAnsi="Arial" w:cs="Arial"/>
        </w:rPr>
        <w:t>reduce the likelihood of</w:t>
      </w:r>
      <w:r w:rsidRPr="00EA1972">
        <w:rPr>
          <w:rFonts w:ascii="Arial" w:hAnsi="Arial" w:cs="Arial"/>
        </w:rPr>
        <w:t xml:space="preserve"> seed dispersal </w:t>
      </w:r>
      <w:r>
        <w:rPr>
          <w:rFonts w:ascii="Arial" w:hAnsi="Arial" w:cs="Arial"/>
        </w:rPr>
        <w:t>in the event of</w:t>
      </w:r>
      <w:r w:rsidRPr="00EA1972">
        <w:rPr>
          <w:rFonts w:ascii="Arial" w:hAnsi="Arial" w:cs="Arial"/>
        </w:rPr>
        <w:t xml:space="preserve"> flooding</w:t>
      </w:r>
      <w:r w:rsidR="00265837">
        <w:rPr>
          <w:rFonts w:ascii="Arial" w:hAnsi="Arial" w:cs="Arial"/>
        </w:rPr>
        <w:t>.</w:t>
      </w:r>
    </w:p>
    <w:p w14:paraId="5AE63FA2" w14:textId="5F97C1EE" w:rsidR="00B47000" w:rsidRPr="00EA1972" w:rsidRDefault="00B47000" w:rsidP="00B47000">
      <w:pPr>
        <w:pStyle w:val="ListParagraph"/>
        <w:numPr>
          <w:ilvl w:val="0"/>
          <w:numId w:val="1"/>
        </w:numPr>
        <w:rPr>
          <w:rFonts w:ascii="Arial" w:hAnsi="Arial" w:cs="Arial"/>
        </w:rPr>
      </w:pPr>
      <w:r w:rsidRPr="00EA1972">
        <w:rPr>
          <w:rFonts w:ascii="Arial" w:hAnsi="Arial" w:cs="Arial"/>
        </w:rPr>
        <w:t>the licence conditions specify other limits and control measures to restrict potential spread and persistence of GM sorghum outside the trial site</w:t>
      </w:r>
      <w:r w:rsidR="005B48D1">
        <w:rPr>
          <w:rFonts w:ascii="Arial" w:hAnsi="Arial" w:cs="Arial"/>
        </w:rPr>
        <w:t>, as well as adverse event notifications</w:t>
      </w:r>
      <w:r w:rsidRPr="00EA1972">
        <w:rPr>
          <w:rFonts w:ascii="Arial" w:hAnsi="Arial" w:cs="Arial"/>
        </w:rPr>
        <w:t>.</w:t>
      </w:r>
    </w:p>
    <w:p w14:paraId="1E7BEE76" w14:textId="4595620E" w:rsidR="0048793C" w:rsidRPr="00EA1972" w:rsidRDefault="0048793C" w:rsidP="00944686">
      <w:pPr>
        <w:pStyle w:val="ListParagraph"/>
        <w:rPr>
          <w:rFonts w:ascii="Arial" w:hAnsi="Arial" w:cs="Arial"/>
        </w:rPr>
      </w:pPr>
    </w:p>
    <w:tbl>
      <w:tblPr>
        <w:tblStyle w:val="TableGrid"/>
        <w:tblpPr w:leftFromText="180" w:rightFromText="180" w:vertAnchor="text" w:horzAnchor="margin" w:tblpY="100"/>
        <w:tblW w:w="9644" w:type="dxa"/>
        <w:tblLook w:val="04A0" w:firstRow="1" w:lastRow="0" w:firstColumn="1" w:lastColumn="0" w:noHBand="0" w:noVBand="1"/>
      </w:tblPr>
      <w:tblGrid>
        <w:gridCol w:w="9644"/>
      </w:tblGrid>
      <w:tr w:rsidR="0048793C" w:rsidRPr="00785DC0" w14:paraId="0D1BB869" w14:textId="77777777" w:rsidTr="00EA1972">
        <w:trPr>
          <w:trHeight w:val="2825"/>
        </w:trPr>
        <w:tc>
          <w:tcPr>
            <w:tcW w:w="9644" w:type="dxa"/>
          </w:tcPr>
          <w:p w14:paraId="773DBE14" w14:textId="77777777" w:rsidR="0048793C" w:rsidRPr="00626291" w:rsidRDefault="0048793C" w:rsidP="001049F9">
            <w:pPr>
              <w:pStyle w:val="BodyText"/>
              <w:keepNext/>
              <w:rPr>
                <w:b/>
                <w:bCs/>
              </w:rPr>
            </w:pPr>
            <w:r w:rsidRPr="00626291">
              <w:rPr>
                <w:b/>
                <w:bCs/>
              </w:rPr>
              <w:lastRenderedPageBreak/>
              <w:t>Resolutions</w:t>
            </w:r>
          </w:p>
          <w:p w14:paraId="23082A43" w14:textId="77777777" w:rsidR="0048793C" w:rsidRPr="0048793C" w:rsidRDefault="0048793C" w:rsidP="0048793C">
            <w:pPr>
              <w:numPr>
                <w:ilvl w:val="0"/>
                <w:numId w:val="1"/>
              </w:numPr>
              <w:autoSpaceDE w:val="0"/>
              <w:autoSpaceDN w:val="0"/>
              <w:adjustRightInd w:val="0"/>
              <w:spacing w:before="120" w:after="120" w:line="240" w:lineRule="auto"/>
              <w:rPr>
                <w:rFonts w:ascii="Arial" w:eastAsia="Times New Roman" w:hAnsi="Arial" w:cs="Arial"/>
              </w:rPr>
            </w:pPr>
            <w:r w:rsidRPr="0048793C">
              <w:rPr>
                <w:rFonts w:ascii="Arial" w:eastAsia="Times New Roman" w:hAnsi="Arial" w:cs="Arial"/>
              </w:rPr>
              <w:t>The committee agrees that the risk assessment identifies all plausible risk scenarios by which the proposed dealings could potentially give rise to risks relating to the health and safety of people or the environment.</w:t>
            </w:r>
          </w:p>
          <w:p w14:paraId="0B4A1C84" w14:textId="77777777" w:rsidR="0048793C" w:rsidRPr="0048793C" w:rsidRDefault="0048793C" w:rsidP="0048793C">
            <w:pPr>
              <w:numPr>
                <w:ilvl w:val="0"/>
                <w:numId w:val="1"/>
              </w:numPr>
              <w:autoSpaceDE w:val="0"/>
              <w:autoSpaceDN w:val="0"/>
              <w:adjustRightInd w:val="0"/>
              <w:spacing w:before="120" w:after="120" w:line="240" w:lineRule="auto"/>
              <w:rPr>
                <w:rFonts w:ascii="Arial" w:eastAsia="Times New Roman" w:hAnsi="Arial" w:cs="Arial"/>
              </w:rPr>
            </w:pPr>
            <w:r w:rsidRPr="0048793C">
              <w:rPr>
                <w:rFonts w:ascii="Arial" w:eastAsia="Times New Roman" w:hAnsi="Arial" w:cs="Arial"/>
              </w:rPr>
              <w:t>The committee agrees that the proposed risk treatment measures to restrict pollen flow are appropriate to manage the identified risk.</w:t>
            </w:r>
          </w:p>
          <w:p w14:paraId="3534B511" w14:textId="77777777" w:rsidR="0048793C" w:rsidRPr="0048793C" w:rsidRDefault="0048793C" w:rsidP="0048793C">
            <w:pPr>
              <w:numPr>
                <w:ilvl w:val="0"/>
                <w:numId w:val="1"/>
              </w:numPr>
              <w:autoSpaceDE w:val="0"/>
              <w:autoSpaceDN w:val="0"/>
              <w:adjustRightInd w:val="0"/>
              <w:spacing w:before="120" w:after="120" w:line="240" w:lineRule="auto"/>
              <w:rPr>
                <w:rFonts w:ascii="Arial" w:eastAsia="Times New Roman" w:hAnsi="Arial" w:cs="Arial"/>
              </w:rPr>
            </w:pPr>
            <w:r w:rsidRPr="0048793C">
              <w:rPr>
                <w:rFonts w:ascii="Arial" w:eastAsia="Times New Roman" w:hAnsi="Arial" w:cs="Arial"/>
              </w:rPr>
              <w:t>The committee agrees that the other limits and controls are appropriate for the field trial.</w:t>
            </w:r>
          </w:p>
          <w:p w14:paraId="543B96F9" w14:textId="64B234BD" w:rsidR="0048793C" w:rsidRPr="0048793C" w:rsidRDefault="0048793C" w:rsidP="0048793C">
            <w:pPr>
              <w:numPr>
                <w:ilvl w:val="0"/>
                <w:numId w:val="1"/>
              </w:numPr>
              <w:autoSpaceDE w:val="0"/>
              <w:autoSpaceDN w:val="0"/>
              <w:adjustRightInd w:val="0"/>
              <w:spacing w:before="120" w:after="120" w:line="240" w:lineRule="auto"/>
              <w:rPr>
                <w:rFonts w:ascii="Arial" w:eastAsia="Times New Roman" w:hAnsi="Arial" w:cs="Arial"/>
              </w:rPr>
            </w:pPr>
            <w:r w:rsidRPr="0048793C">
              <w:rPr>
                <w:rFonts w:ascii="Arial" w:eastAsia="Times New Roman" w:hAnsi="Arial" w:cs="Arial"/>
              </w:rPr>
              <w:t>The committee agrees with the overall conclusion of the RARMP.</w:t>
            </w:r>
          </w:p>
        </w:tc>
      </w:tr>
    </w:tbl>
    <w:p w14:paraId="3DB67D99" w14:textId="77777777" w:rsidR="0048793C" w:rsidRDefault="0048793C" w:rsidP="0048793C">
      <w:pPr>
        <w:rPr>
          <w:rFonts w:ascii="Arial" w:hAnsi="Arial" w:cs="Arial"/>
          <w:b/>
          <w:bCs/>
        </w:rPr>
      </w:pPr>
    </w:p>
    <w:p w14:paraId="329347B7" w14:textId="76761413" w:rsidR="0048793C" w:rsidRDefault="0048793C" w:rsidP="00267EB5">
      <w:pPr>
        <w:keepNext/>
        <w:rPr>
          <w:rFonts w:ascii="Arial" w:hAnsi="Arial" w:cs="Arial"/>
          <w:b/>
          <w:bCs/>
        </w:rPr>
      </w:pPr>
      <w:r w:rsidRPr="0048793C">
        <w:rPr>
          <w:rFonts w:ascii="Arial" w:hAnsi="Arial" w:cs="Arial"/>
          <w:b/>
          <w:bCs/>
        </w:rPr>
        <w:t xml:space="preserve">DIR-210 – RARMP – Clinical trials of controlled infection with seasonal Influenza viruses </w:t>
      </w:r>
    </w:p>
    <w:p w14:paraId="5FE2578C" w14:textId="3492E533" w:rsidR="0048793C" w:rsidRDefault="0048793C" w:rsidP="0048793C">
      <w:pPr>
        <w:rPr>
          <w:rFonts w:ascii="Arial" w:hAnsi="Arial" w:cs="Arial"/>
        </w:rPr>
      </w:pPr>
      <w:r w:rsidRPr="0048793C">
        <w:rPr>
          <w:rFonts w:ascii="Arial" w:hAnsi="Arial" w:cs="Arial"/>
        </w:rPr>
        <w:t>Licence application DIR-2</w:t>
      </w:r>
      <w:r w:rsidR="00EA1972">
        <w:rPr>
          <w:rFonts w:ascii="Arial" w:hAnsi="Arial" w:cs="Arial"/>
        </w:rPr>
        <w:t>10</w:t>
      </w:r>
      <w:r w:rsidRPr="0048793C">
        <w:rPr>
          <w:rFonts w:ascii="Arial" w:hAnsi="Arial" w:cs="Arial"/>
        </w:rPr>
        <w:t xml:space="preserve"> </w:t>
      </w:r>
      <w:r>
        <w:rPr>
          <w:rFonts w:ascii="Arial" w:hAnsi="Arial" w:cs="Arial"/>
        </w:rPr>
        <w:t xml:space="preserve">from </w:t>
      </w:r>
      <w:r w:rsidRPr="0048793C">
        <w:rPr>
          <w:rFonts w:ascii="Arial" w:hAnsi="Arial" w:cs="Arial"/>
        </w:rPr>
        <w:t>Doherty Clinical Trials Ltd</w:t>
      </w:r>
      <w:r>
        <w:rPr>
          <w:rFonts w:ascii="Arial" w:hAnsi="Arial" w:cs="Arial"/>
        </w:rPr>
        <w:t xml:space="preserve"> is a </w:t>
      </w:r>
      <w:r w:rsidRPr="0048793C">
        <w:rPr>
          <w:rFonts w:ascii="Arial" w:hAnsi="Arial" w:cs="Arial"/>
        </w:rPr>
        <w:t xml:space="preserve">clinical trial </w:t>
      </w:r>
      <w:r>
        <w:rPr>
          <w:rFonts w:ascii="Arial" w:hAnsi="Arial" w:cs="Arial"/>
        </w:rPr>
        <w:t xml:space="preserve">to </w:t>
      </w:r>
      <w:r w:rsidRPr="0048793C">
        <w:rPr>
          <w:rFonts w:ascii="Arial" w:hAnsi="Arial" w:cs="Arial"/>
        </w:rPr>
        <w:t xml:space="preserve">better understand influenza infections and to test the efficacy of potential vaccines and therapeutic drugs. </w:t>
      </w:r>
      <w:r>
        <w:rPr>
          <w:rFonts w:ascii="Arial" w:hAnsi="Arial" w:cs="Arial"/>
        </w:rPr>
        <w:t xml:space="preserve">The trial will be conducted over a </w:t>
      </w:r>
      <w:r w:rsidRPr="0048793C">
        <w:rPr>
          <w:rFonts w:ascii="Arial" w:hAnsi="Arial" w:cs="Arial"/>
        </w:rPr>
        <w:t>period of five years</w:t>
      </w:r>
      <w:r>
        <w:rPr>
          <w:rFonts w:ascii="Arial" w:hAnsi="Arial" w:cs="Arial"/>
        </w:rPr>
        <w:t xml:space="preserve"> at a </w:t>
      </w:r>
      <w:r w:rsidR="00BC77B8">
        <w:rPr>
          <w:rFonts w:ascii="Arial" w:hAnsi="Arial" w:cs="Arial"/>
        </w:rPr>
        <w:t>Doherty Clinical Trials</w:t>
      </w:r>
      <w:r w:rsidR="008A3DCD" w:rsidRPr="0048793C">
        <w:rPr>
          <w:rFonts w:ascii="Arial" w:hAnsi="Arial" w:cs="Arial"/>
        </w:rPr>
        <w:t xml:space="preserve"> </w:t>
      </w:r>
      <w:r w:rsidRPr="0048793C">
        <w:rPr>
          <w:rFonts w:ascii="Arial" w:hAnsi="Arial" w:cs="Arial"/>
        </w:rPr>
        <w:t>clinical facility</w:t>
      </w:r>
      <w:r>
        <w:rPr>
          <w:rFonts w:ascii="Arial" w:hAnsi="Arial" w:cs="Arial"/>
        </w:rPr>
        <w:t xml:space="preserve">, involving </w:t>
      </w:r>
      <w:r w:rsidRPr="0048793C">
        <w:rPr>
          <w:rFonts w:ascii="Arial" w:hAnsi="Arial" w:cs="Arial"/>
        </w:rPr>
        <w:t>up to 150 healthy trial participants</w:t>
      </w:r>
      <w:r>
        <w:rPr>
          <w:rFonts w:ascii="Arial" w:hAnsi="Arial" w:cs="Arial"/>
        </w:rPr>
        <w:t>.</w:t>
      </w:r>
    </w:p>
    <w:p w14:paraId="2748B46B" w14:textId="775E568E" w:rsidR="0048793C" w:rsidRDefault="00BF5768" w:rsidP="0048793C">
      <w:pPr>
        <w:rPr>
          <w:rFonts w:ascii="Arial" w:hAnsi="Arial" w:cs="Arial"/>
        </w:rPr>
      </w:pPr>
      <w:r w:rsidRPr="00BF5768">
        <w:rPr>
          <w:rFonts w:ascii="Arial" w:hAnsi="Arial" w:cs="Arial"/>
        </w:rPr>
        <w:t xml:space="preserve">GTTAC noted that in assessing potential risks to human health and the environment, the conclusion of the RARMP is that the proposed clinical trial poses negligible to moderate risks to the health and safety of individuals </w:t>
      </w:r>
      <w:proofErr w:type="gramStart"/>
      <w:r w:rsidRPr="00BF5768">
        <w:rPr>
          <w:rFonts w:ascii="Arial" w:hAnsi="Arial" w:cs="Arial"/>
        </w:rPr>
        <w:t>as a result of</w:t>
      </w:r>
      <w:proofErr w:type="gramEnd"/>
      <w:r w:rsidRPr="00BF5768">
        <w:rPr>
          <w:rFonts w:ascii="Arial" w:hAnsi="Arial" w:cs="Arial"/>
        </w:rPr>
        <w:t xml:space="preserve"> gene technology.</w:t>
      </w:r>
      <w:r w:rsidR="00EA1972">
        <w:rPr>
          <w:rFonts w:ascii="Arial" w:hAnsi="Arial" w:cs="Arial"/>
        </w:rPr>
        <w:t xml:space="preserve"> </w:t>
      </w:r>
      <w:r w:rsidR="0048793C" w:rsidRPr="0048793C">
        <w:rPr>
          <w:rFonts w:ascii="Arial" w:hAnsi="Arial" w:cs="Arial"/>
        </w:rPr>
        <w:t xml:space="preserve">The </w:t>
      </w:r>
      <w:r w:rsidR="008A3DCD">
        <w:rPr>
          <w:rFonts w:ascii="Arial" w:hAnsi="Arial" w:cs="Arial"/>
        </w:rPr>
        <w:t>C</w:t>
      </w:r>
      <w:r w:rsidR="0048793C" w:rsidRPr="0048793C">
        <w:rPr>
          <w:rFonts w:ascii="Arial" w:hAnsi="Arial" w:cs="Arial"/>
        </w:rPr>
        <w:t>ommittee discussed</w:t>
      </w:r>
      <w:r w:rsidR="008A3DCD">
        <w:rPr>
          <w:rFonts w:ascii="Arial" w:hAnsi="Arial" w:cs="Arial"/>
        </w:rPr>
        <w:t xml:space="preserve"> the following key topics</w:t>
      </w:r>
      <w:r w:rsidR="0048793C" w:rsidRPr="0048793C">
        <w:rPr>
          <w:rFonts w:ascii="Arial" w:hAnsi="Arial" w:cs="Arial"/>
        </w:rPr>
        <w:t>:</w:t>
      </w:r>
    </w:p>
    <w:p w14:paraId="74F29851" w14:textId="501DF378" w:rsidR="0048793C" w:rsidRDefault="00EA1972" w:rsidP="0048793C">
      <w:pPr>
        <w:pStyle w:val="ListParagraph"/>
        <w:numPr>
          <w:ilvl w:val="0"/>
          <w:numId w:val="5"/>
        </w:numPr>
        <w:rPr>
          <w:rFonts w:ascii="Arial" w:hAnsi="Arial" w:cs="Arial"/>
        </w:rPr>
      </w:pPr>
      <w:r w:rsidRPr="00EA1972">
        <w:rPr>
          <w:rFonts w:ascii="Arial" w:hAnsi="Arial" w:cs="Arial"/>
        </w:rPr>
        <w:t>the low pathogenicity of the wild-type strain upon which the GMO is based and its high sensitivity to antivirals</w:t>
      </w:r>
      <w:r w:rsidR="00265837">
        <w:rPr>
          <w:rFonts w:ascii="Arial" w:hAnsi="Arial" w:cs="Arial"/>
        </w:rPr>
        <w:t>.</w:t>
      </w:r>
    </w:p>
    <w:p w14:paraId="6F33B512" w14:textId="754D7C4E" w:rsidR="0048793C" w:rsidRDefault="008A3DCD" w:rsidP="0048793C">
      <w:pPr>
        <w:pStyle w:val="ListParagraph"/>
        <w:numPr>
          <w:ilvl w:val="0"/>
          <w:numId w:val="5"/>
        </w:numPr>
        <w:rPr>
          <w:rFonts w:ascii="Arial" w:hAnsi="Arial" w:cs="Arial"/>
        </w:rPr>
      </w:pPr>
      <w:r>
        <w:rPr>
          <w:rFonts w:ascii="Arial" w:hAnsi="Arial" w:cs="Arial"/>
        </w:rPr>
        <w:t xml:space="preserve">isolation </w:t>
      </w:r>
      <w:r w:rsidR="00EA1972">
        <w:rPr>
          <w:rFonts w:ascii="Arial" w:hAnsi="Arial" w:cs="Arial"/>
        </w:rPr>
        <w:t xml:space="preserve">requirements for </w:t>
      </w:r>
      <w:r w:rsidR="00EA1972" w:rsidRPr="00EA1972">
        <w:rPr>
          <w:rFonts w:ascii="Arial" w:hAnsi="Arial" w:cs="Arial"/>
        </w:rPr>
        <w:t xml:space="preserve">trial participants </w:t>
      </w:r>
      <w:r>
        <w:rPr>
          <w:rFonts w:ascii="Arial" w:hAnsi="Arial" w:cs="Arial"/>
        </w:rPr>
        <w:t xml:space="preserve">following </w:t>
      </w:r>
      <w:r w:rsidR="00EA1972">
        <w:rPr>
          <w:rFonts w:ascii="Arial" w:hAnsi="Arial" w:cs="Arial"/>
        </w:rPr>
        <w:t>administration of the</w:t>
      </w:r>
      <w:r w:rsidR="00EA1972" w:rsidRPr="00EA1972">
        <w:rPr>
          <w:rFonts w:ascii="Arial" w:hAnsi="Arial" w:cs="Arial"/>
        </w:rPr>
        <w:t xml:space="preserve"> GMO</w:t>
      </w:r>
      <w:r w:rsidR="00265837">
        <w:rPr>
          <w:rFonts w:ascii="Arial" w:hAnsi="Arial" w:cs="Arial"/>
        </w:rPr>
        <w:t>.</w:t>
      </w:r>
    </w:p>
    <w:p w14:paraId="1F51C17F" w14:textId="5CFE7BC9" w:rsidR="0048793C" w:rsidRDefault="00EA1972" w:rsidP="0048793C">
      <w:pPr>
        <w:pStyle w:val="ListParagraph"/>
        <w:numPr>
          <w:ilvl w:val="0"/>
          <w:numId w:val="5"/>
        </w:numPr>
        <w:rPr>
          <w:rFonts w:ascii="Arial" w:hAnsi="Arial" w:cs="Arial"/>
        </w:rPr>
      </w:pPr>
      <w:r>
        <w:rPr>
          <w:rFonts w:ascii="Arial" w:hAnsi="Arial" w:cs="Arial"/>
        </w:rPr>
        <w:t xml:space="preserve">consistency in the </w:t>
      </w:r>
      <w:r w:rsidRPr="00EA1972">
        <w:rPr>
          <w:rFonts w:ascii="Arial" w:hAnsi="Arial" w:cs="Arial"/>
        </w:rPr>
        <w:t>RARMP and licence</w:t>
      </w:r>
      <w:r>
        <w:rPr>
          <w:rFonts w:ascii="Arial" w:hAnsi="Arial" w:cs="Arial"/>
        </w:rPr>
        <w:t xml:space="preserve"> conditions</w:t>
      </w:r>
      <w:r w:rsidRPr="00EA1972">
        <w:rPr>
          <w:rFonts w:ascii="Arial" w:hAnsi="Arial" w:cs="Arial"/>
        </w:rPr>
        <w:t xml:space="preserve"> </w:t>
      </w:r>
      <w:r>
        <w:rPr>
          <w:rFonts w:ascii="Arial" w:hAnsi="Arial" w:cs="Arial"/>
        </w:rPr>
        <w:t xml:space="preserve">with respect to </w:t>
      </w:r>
      <w:r w:rsidRPr="00EA1972">
        <w:rPr>
          <w:rFonts w:ascii="Arial" w:hAnsi="Arial" w:cs="Arial"/>
        </w:rPr>
        <w:t>transportation and disposal requirements</w:t>
      </w:r>
      <w:r w:rsidR="00265837">
        <w:rPr>
          <w:rFonts w:ascii="Arial" w:hAnsi="Arial" w:cs="Arial"/>
        </w:rPr>
        <w:t>.</w:t>
      </w:r>
    </w:p>
    <w:p w14:paraId="36A65A60" w14:textId="29DFA46A" w:rsidR="0048793C" w:rsidRDefault="00EA1972" w:rsidP="0048793C">
      <w:pPr>
        <w:pStyle w:val="ListParagraph"/>
        <w:numPr>
          <w:ilvl w:val="0"/>
          <w:numId w:val="5"/>
        </w:numPr>
        <w:rPr>
          <w:rFonts w:ascii="Arial" w:hAnsi="Arial" w:cs="Arial"/>
        </w:rPr>
      </w:pPr>
      <w:r>
        <w:rPr>
          <w:rFonts w:ascii="Arial" w:hAnsi="Arial" w:cs="Arial"/>
        </w:rPr>
        <w:t>clarification around</w:t>
      </w:r>
      <w:r w:rsidRPr="00EA1972">
        <w:rPr>
          <w:rFonts w:ascii="Arial" w:hAnsi="Arial" w:cs="Arial"/>
        </w:rPr>
        <w:t xml:space="preserve"> donning and doffing procedures for personal protective equipment</w:t>
      </w:r>
      <w:r w:rsidR="00265837">
        <w:rPr>
          <w:rFonts w:ascii="Arial" w:hAnsi="Arial" w:cs="Arial"/>
        </w:rPr>
        <w:t>.</w:t>
      </w:r>
    </w:p>
    <w:p w14:paraId="3A61AC7E" w14:textId="6E489B23" w:rsidR="0048793C" w:rsidRPr="00EA1972" w:rsidRDefault="008A3DCD" w:rsidP="0048793C">
      <w:pPr>
        <w:pStyle w:val="ListParagraph"/>
        <w:numPr>
          <w:ilvl w:val="0"/>
          <w:numId w:val="5"/>
        </w:numPr>
        <w:rPr>
          <w:rFonts w:ascii="Arial" w:hAnsi="Arial" w:cs="Arial"/>
        </w:rPr>
      </w:pPr>
      <w:r>
        <w:rPr>
          <w:rFonts w:ascii="Arial" w:hAnsi="Arial" w:cs="Arial"/>
        </w:rPr>
        <w:t xml:space="preserve">the </w:t>
      </w:r>
      <w:r w:rsidR="00EA1972" w:rsidRPr="00EA1972">
        <w:rPr>
          <w:rFonts w:ascii="Arial" w:hAnsi="Arial" w:cs="Arial"/>
        </w:rPr>
        <w:t xml:space="preserve">access, layout and ventilation system </w:t>
      </w:r>
      <w:r>
        <w:rPr>
          <w:rFonts w:ascii="Arial" w:hAnsi="Arial" w:cs="Arial"/>
        </w:rPr>
        <w:t>of</w:t>
      </w:r>
      <w:r w:rsidRPr="00EA1972">
        <w:rPr>
          <w:rFonts w:ascii="Arial" w:hAnsi="Arial" w:cs="Arial"/>
        </w:rPr>
        <w:t xml:space="preserve"> </w:t>
      </w:r>
      <w:r w:rsidR="00EA1972" w:rsidRPr="00EA1972">
        <w:rPr>
          <w:rFonts w:ascii="Arial" w:hAnsi="Arial" w:cs="Arial"/>
        </w:rPr>
        <w:t>the isolation room.</w:t>
      </w:r>
    </w:p>
    <w:tbl>
      <w:tblPr>
        <w:tblStyle w:val="TableGrid"/>
        <w:tblpPr w:leftFromText="180" w:rightFromText="180" w:vertAnchor="text" w:horzAnchor="margin" w:tblpY="100"/>
        <w:tblW w:w="9644" w:type="dxa"/>
        <w:tblLook w:val="04A0" w:firstRow="1" w:lastRow="0" w:firstColumn="1" w:lastColumn="0" w:noHBand="0" w:noVBand="1"/>
      </w:tblPr>
      <w:tblGrid>
        <w:gridCol w:w="9644"/>
      </w:tblGrid>
      <w:tr w:rsidR="0048793C" w:rsidRPr="00785DC0" w14:paraId="35D97DF8" w14:textId="77777777" w:rsidTr="001049F9">
        <w:trPr>
          <w:trHeight w:val="3084"/>
        </w:trPr>
        <w:tc>
          <w:tcPr>
            <w:tcW w:w="9644" w:type="dxa"/>
          </w:tcPr>
          <w:p w14:paraId="3A5489F2" w14:textId="77777777" w:rsidR="0048793C" w:rsidRPr="00626291" w:rsidRDefault="0048793C" w:rsidP="001049F9">
            <w:pPr>
              <w:pStyle w:val="BodyText"/>
              <w:keepNext/>
              <w:rPr>
                <w:b/>
                <w:bCs/>
              </w:rPr>
            </w:pPr>
            <w:r w:rsidRPr="00626291">
              <w:rPr>
                <w:b/>
                <w:bCs/>
              </w:rPr>
              <w:t>Resolutions</w:t>
            </w:r>
          </w:p>
          <w:p w14:paraId="4A2C55C1" w14:textId="77777777" w:rsidR="0048793C" w:rsidRPr="0048793C" w:rsidRDefault="0048793C" w:rsidP="0048793C">
            <w:pPr>
              <w:numPr>
                <w:ilvl w:val="0"/>
                <w:numId w:val="1"/>
              </w:numPr>
              <w:autoSpaceDE w:val="0"/>
              <w:autoSpaceDN w:val="0"/>
              <w:adjustRightInd w:val="0"/>
              <w:spacing w:before="120" w:after="120" w:line="240" w:lineRule="auto"/>
              <w:rPr>
                <w:rFonts w:ascii="Arial" w:eastAsia="Times New Roman" w:hAnsi="Arial" w:cs="Arial"/>
              </w:rPr>
            </w:pPr>
            <w:r w:rsidRPr="0048793C">
              <w:rPr>
                <w:rFonts w:ascii="Arial" w:eastAsia="Times New Roman" w:hAnsi="Arial" w:cs="Arial"/>
              </w:rPr>
              <w:t>The committee agrees that the risk assessment identifies all plausible risk scenarios by which the proposed dealings could potentially give rise to risks relating to the health and safety of people or the environment.</w:t>
            </w:r>
          </w:p>
          <w:p w14:paraId="21E2A921" w14:textId="77777777" w:rsidR="0048793C" w:rsidRPr="0048793C" w:rsidRDefault="0048793C" w:rsidP="0048793C">
            <w:pPr>
              <w:numPr>
                <w:ilvl w:val="0"/>
                <w:numId w:val="1"/>
              </w:numPr>
              <w:autoSpaceDE w:val="0"/>
              <w:autoSpaceDN w:val="0"/>
              <w:adjustRightInd w:val="0"/>
              <w:spacing w:before="120" w:after="120" w:line="240" w:lineRule="auto"/>
              <w:rPr>
                <w:rFonts w:ascii="Arial" w:eastAsia="Times New Roman" w:hAnsi="Arial" w:cs="Arial"/>
              </w:rPr>
            </w:pPr>
            <w:r w:rsidRPr="0048793C">
              <w:rPr>
                <w:rFonts w:ascii="Arial" w:eastAsia="Times New Roman" w:hAnsi="Arial" w:cs="Arial"/>
              </w:rPr>
              <w:t>The committee agrees that the limits and controls proposed in the draft licence to prevent the spread of the GMO are appropriate for the clinical trial.</w:t>
            </w:r>
          </w:p>
          <w:p w14:paraId="0F7F2391" w14:textId="77777777" w:rsidR="0048793C" w:rsidRPr="0048793C" w:rsidRDefault="0048793C" w:rsidP="0048793C">
            <w:pPr>
              <w:numPr>
                <w:ilvl w:val="0"/>
                <w:numId w:val="1"/>
              </w:numPr>
              <w:autoSpaceDE w:val="0"/>
              <w:autoSpaceDN w:val="0"/>
              <w:adjustRightInd w:val="0"/>
              <w:spacing w:before="120" w:after="120" w:line="240" w:lineRule="auto"/>
              <w:rPr>
                <w:rFonts w:ascii="Arial" w:eastAsia="Times New Roman" w:hAnsi="Arial" w:cs="Arial"/>
              </w:rPr>
            </w:pPr>
            <w:r w:rsidRPr="0048793C">
              <w:rPr>
                <w:rFonts w:ascii="Arial" w:eastAsia="Times New Roman" w:hAnsi="Arial" w:cs="Arial"/>
              </w:rPr>
              <w:t>The Regulator should further clarify entry and exit procedures as well as the layout and ventilation of the isolation room.</w:t>
            </w:r>
          </w:p>
          <w:p w14:paraId="7373A04C" w14:textId="4BB47789" w:rsidR="0048793C" w:rsidRPr="0048793C" w:rsidRDefault="0048793C" w:rsidP="0048793C">
            <w:pPr>
              <w:numPr>
                <w:ilvl w:val="0"/>
                <w:numId w:val="1"/>
              </w:numPr>
              <w:autoSpaceDE w:val="0"/>
              <w:autoSpaceDN w:val="0"/>
              <w:adjustRightInd w:val="0"/>
              <w:spacing w:before="120" w:after="120" w:line="240" w:lineRule="auto"/>
              <w:rPr>
                <w:rFonts w:ascii="Arial" w:eastAsia="Times New Roman" w:hAnsi="Arial" w:cs="Arial"/>
              </w:rPr>
            </w:pPr>
            <w:r w:rsidRPr="0048793C">
              <w:rPr>
                <w:rFonts w:ascii="Arial" w:eastAsia="Times New Roman" w:hAnsi="Arial" w:cs="Arial"/>
              </w:rPr>
              <w:t>The committee agrees with the overall conclusion of the RARMP.</w:t>
            </w:r>
          </w:p>
        </w:tc>
      </w:tr>
    </w:tbl>
    <w:p w14:paraId="035F2E4D" w14:textId="77777777" w:rsidR="0048793C" w:rsidRPr="00BA20C7" w:rsidRDefault="0048793C" w:rsidP="0048793C">
      <w:pPr>
        <w:pStyle w:val="CmqHeading1"/>
      </w:pPr>
      <w:r w:rsidRPr="00BA20C7">
        <w:t>Enquiries</w:t>
      </w:r>
    </w:p>
    <w:p w14:paraId="757FE715" w14:textId="77777777" w:rsidR="0048793C" w:rsidRDefault="0048793C" w:rsidP="0048793C">
      <w:pPr>
        <w:pStyle w:val="BodyText"/>
      </w:pPr>
      <w:r w:rsidRPr="00E12965">
        <w:t xml:space="preserve">For all enquiries, please call the OGTR on 1800 181 030 or email </w:t>
      </w:r>
      <w:hyperlink r:id="rId7" w:history="1">
        <w:r w:rsidRPr="002E084A">
          <w:rPr>
            <w:rStyle w:val="Hyperlink"/>
          </w:rPr>
          <w:t>ogtr@health.gov.au</w:t>
        </w:r>
      </w:hyperlink>
      <w:r w:rsidRPr="00E12965">
        <w:t>.</w:t>
      </w:r>
    </w:p>
    <w:p w14:paraId="615B844F" w14:textId="77777777" w:rsidR="00280050" w:rsidRDefault="00280050"/>
    <w:sectPr w:rsidR="00280050" w:rsidSect="0048793C">
      <w:footerReference w:type="even" r:id="rId8"/>
      <w:footerReference w:type="default" r:id="rId9"/>
      <w:headerReference w:type="first" r:id="rId10"/>
      <w:footerReference w:type="first" r:id="rId11"/>
      <w:pgSz w:w="11906" w:h="16838" w:code="9"/>
      <w:pgMar w:top="1134" w:right="1134" w:bottom="1134" w:left="1134" w:header="567" w:footer="567" w:gutter="0"/>
      <w:pgNumType w:start="1"/>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7FFB97" w14:textId="77777777" w:rsidR="00643F15" w:rsidRDefault="00643F15" w:rsidP="0048793C">
      <w:pPr>
        <w:spacing w:after="0" w:line="240" w:lineRule="auto"/>
      </w:pPr>
      <w:r>
        <w:separator/>
      </w:r>
    </w:p>
  </w:endnote>
  <w:endnote w:type="continuationSeparator" w:id="0">
    <w:p w14:paraId="550C1931" w14:textId="77777777" w:rsidR="00643F15" w:rsidRDefault="00643F15" w:rsidP="004879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Times">
    <w:panose1 w:val="02020603050405020304"/>
    <w:charset w:val="00"/>
    <w:family w:val="auto"/>
    <w:pitch w:val="variable"/>
    <w:sig w:usb0="00000003" w:usb1="00000000" w:usb2="00000000" w:usb3="00000000" w:csb0="00000007"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1F3C5B" w14:textId="77777777" w:rsidR="0048793C" w:rsidRDefault="0048793C" w:rsidP="002723BB">
    <w:pPr>
      <w:pStyle w:val="Footer"/>
      <w:framePr w:w="106" w:h="286" w:hRule="exact" w:wrap="around" w:vAnchor="text" w:hAnchor="page" w:x="10651" w:y="3"/>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55B7170" w14:textId="77777777" w:rsidR="0048793C" w:rsidRDefault="0048793C" w:rsidP="002723BB">
    <w:pPr>
      <w:pStyle w:val="Footer"/>
      <w:spacing w:after="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A5E4F" w14:textId="31B8CC19" w:rsidR="0048793C" w:rsidRPr="006224A0" w:rsidRDefault="0048793C" w:rsidP="006224A0">
    <w:pPr>
      <w:pStyle w:val="Footer"/>
      <w:tabs>
        <w:tab w:val="clear" w:pos="8306"/>
        <w:tab w:val="left" w:pos="8505"/>
      </w:tabs>
      <w:spacing w:after="0"/>
      <w:rPr>
        <w:rFonts w:ascii="Arial" w:hAnsi="Arial" w:cs="Arial"/>
        <w:sz w:val="20"/>
        <w:szCs w:val="20"/>
      </w:rPr>
    </w:pPr>
    <w:r w:rsidRPr="006224A0">
      <w:rPr>
        <w:rFonts w:ascii="Arial" w:hAnsi="Arial" w:cs="Arial"/>
        <w:sz w:val="20"/>
        <w:szCs w:val="20"/>
      </w:rPr>
      <w:t xml:space="preserve">GTTAC Communiqué </w:t>
    </w:r>
    <w:r w:rsidR="00D140F4">
      <w:rPr>
        <w:rFonts w:ascii="Arial" w:hAnsi="Arial" w:cs="Arial"/>
        <w:sz w:val="20"/>
        <w:szCs w:val="20"/>
      </w:rPr>
      <w:t>–</w:t>
    </w:r>
    <w:r>
      <w:rPr>
        <w:rFonts w:ascii="Arial" w:hAnsi="Arial" w:cs="Arial"/>
        <w:sz w:val="20"/>
        <w:szCs w:val="20"/>
      </w:rPr>
      <w:t xml:space="preserve"> 1</w:t>
    </w:r>
    <w:r w:rsidR="00D140F4">
      <w:rPr>
        <w:rFonts w:ascii="Arial" w:hAnsi="Arial" w:cs="Arial"/>
        <w:sz w:val="20"/>
        <w:szCs w:val="20"/>
      </w:rPr>
      <w:t>6</w:t>
    </w:r>
    <w:r>
      <w:rPr>
        <w:rFonts w:ascii="Arial" w:hAnsi="Arial" w:cs="Arial"/>
        <w:sz w:val="20"/>
        <w:szCs w:val="20"/>
      </w:rPr>
      <w:t xml:space="preserve"> December 2024</w:t>
    </w:r>
    <w:r w:rsidR="00D140F4">
      <w:rPr>
        <w:rFonts w:ascii="Arial" w:hAnsi="Arial" w:cs="Arial"/>
        <w:sz w:val="20"/>
        <w:szCs w:val="20"/>
      </w:rPr>
      <w:tab/>
    </w:r>
    <w:r w:rsidRPr="006224A0">
      <w:rPr>
        <w:rFonts w:ascii="Arial" w:hAnsi="Arial" w:cs="Arial"/>
        <w:sz w:val="20"/>
        <w:szCs w:val="20"/>
      </w:rPr>
      <w:tab/>
      <w:t xml:space="preserve">Page </w:t>
    </w:r>
    <w:sdt>
      <w:sdtPr>
        <w:rPr>
          <w:rFonts w:ascii="Arial" w:hAnsi="Arial" w:cs="Arial"/>
          <w:sz w:val="20"/>
          <w:szCs w:val="20"/>
        </w:rPr>
        <w:id w:val="-52394294"/>
        <w:docPartObj>
          <w:docPartGallery w:val="Page Numbers (Bottom of Page)"/>
          <w:docPartUnique/>
        </w:docPartObj>
      </w:sdtPr>
      <w:sdtEndPr>
        <w:rPr>
          <w:noProof/>
        </w:rPr>
      </w:sdtEndPr>
      <w:sdtContent>
        <w:r w:rsidRPr="006224A0">
          <w:rPr>
            <w:rFonts w:ascii="Arial" w:hAnsi="Arial" w:cs="Arial"/>
            <w:sz w:val="20"/>
            <w:szCs w:val="20"/>
          </w:rPr>
          <w:fldChar w:fldCharType="begin"/>
        </w:r>
        <w:r w:rsidRPr="006224A0">
          <w:rPr>
            <w:rFonts w:ascii="Arial" w:hAnsi="Arial" w:cs="Arial"/>
            <w:sz w:val="20"/>
            <w:szCs w:val="20"/>
          </w:rPr>
          <w:instrText xml:space="preserve"> PAGE   \* MERGEFORMAT </w:instrText>
        </w:r>
        <w:r w:rsidRPr="006224A0">
          <w:rPr>
            <w:rFonts w:ascii="Arial" w:hAnsi="Arial" w:cs="Arial"/>
            <w:sz w:val="20"/>
            <w:szCs w:val="20"/>
          </w:rPr>
          <w:fldChar w:fldCharType="separate"/>
        </w:r>
        <w:r>
          <w:rPr>
            <w:rFonts w:ascii="Arial" w:hAnsi="Arial" w:cs="Arial"/>
            <w:sz w:val="20"/>
            <w:szCs w:val="20"/>
          </w:rPr>
          <w:t>1</w:t>
        </w:r>
        <w:r w:rsidRPr="006224A0">
          <w:rPr>
            <w:rFonts w:ascii="Arial" w:hAnsi="Arial" w:cs="Arial"/>
            <w:noProof/>
            <w:sz w:val="20"/>
            <w:szCs w:val="20"/>
          </w:rPr>
          <w:fldChar w:fldCharType="end"/>
        </w:r>
        <w:r w:rsidRPr="006224A0">
          <w:rPr>
            <w:rFonts w:ascii="Arial" w:hAnsi="Arial" w:cs="Arial"/>
            <w:noProof/>
            <w:sz w:val="20"/>
            <w:szCs w:val="20"/>
          </w:rPr>
          <w:t xml:space="preserve"> of </w:t>
        </w:r>
        <w:r w:rsidRPr="006224A0">
          <w:rPr>
            <w:rFonts w:ascii="Arial" w:hAnsi="Arial" w:cs="Arial"/>
            <w:noProof/>
            <w:sz w:val="20"/>
            <w:szCs w:val="20"/>
          </w:rPr>
          <w:fldChar w:fldCharType="begin"/>
        </w:r>
        <w:r w:rsidRPr="006224A0">
          <w:rPr>
            <w:rFonts w:ascii="Arial" w:hAnsi="Arial" w:cs="Arial"/>
            <w:noProof/>
            <w:sz w:val="20"/>
            <w:szCs w:val="20"/>
          </w:rPr>
          <w:instrText xml:space="preserve"> NUMPAGES   \* MERGEFORMAT </w:instrText>
        </w:r>
        <w:r w:rsidRPr="006224A0">
          <w:rPr>
            <w:rFonts w:ascii="Arial" w:hAnsi="Arial" w:cs="Arial"/>
            <w:noProof/>
            <w:sz w:val="20"/>
            <w:szCs w:val="20"/>
          </w:rPr>
          <w:fldChar w:fldCharType="separate"/>
        </w:r>
        <w:r>
          <w:rPr>
            <w:rFonts w:ascii="Arial" w:hAnsi="Arial" w:cs="Arial"/>
            <w:noProof/>
            <w:sz w:val="20"/>
            <w:szCs w:val="20"/>
          </w:rPr>
          <w:t>3</w:t>
        </w:r>
        <w:r w:rsidRPr="006224A0">
          <w:rPr>
            <w:rFonts w:ascii="Arial" w:hAnsi="Arial" w:cs="Arial"/>
            <w:noProof/>
            <w:sz w:val="20"/>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0C91AC" w14:textId="263A000D" w:rsidR="0048793C" w:rsidRPr="006224A0" w:rsidRDefault="0048793C" w:rsidP="006224A0">
    <w:pPr>
      <w:pStyle w:val="Footer"/>
      <w:tabs>
        <w:tab w:val="clear" w:pos="8306"/>
        <w:tab w:val="left" w:pos="8505"/>
      </w:tabs>
      <w:spacing w:after="0"/>
      <w:rPr>
        <w:rFonts w:ascii="Arial" w:hAnsi="Arial" w:cs="Arial"/>
        <w:sz w:val="20"/>
        <w:szCs w:val="20"/>
      </w:rPr>
    </w:pPr>
    <w:r w:rsidRPr="006224A0">
      <w:rPr>
        <w:rFonts w:ascii="Arial" w:hAnsi="Arial" w:cs="Arial"/>
        <w:sz w:val="20"/>
        <w:szCs w:val="20"/>
      </w:rPr>
      <w:t xml:space="preserve">GTTAC Communiqué </w:t>
    </w:r>
    <w:r>
      <w:rPr>
        <w:rFonts w:ascii="Arial" w:hAnsi="Arial" w:cs="Arial"/>
        <w:sz w:val="20"/>
        <w:szCs w:val="20"/>
      </w:rPr>
      <w:t xml:space="preserve">– </w:t>
    </w:r>
    <w:r w:rsidR="00D140F4">
      <w:rPr>
        <w:rFonts w:ascii="Arial" w:hAnsi="Arial" w:cs="Arial"/>
        <w:sz w:val="20"/>
        <w:szCs w:val="20"/>
      </w:rPr>
      <w:t>16</w:t>
    </w:r>
    <w:r>
      <w:rPr>
        <w:rFonts w:ascii="Arial" w:hAnsi="Arial" w:cs="Arial"/>
        <w:sz w:val="20"/>
        <w:szCs w:val="20"/>
      </w:rPr>
      <w:t xml:space="preserve"> </w:t>
    </w:r>
    <w:r w:rsidR="00D140F4">
      <w:rPr>
        <w:rFonts w:ascii="Arial" w:hAnsi="Arial" w:cs="Arial"/>
        <w:sz w:val="20"/>
        <w:szCs w:val="20"/>
      </w:rPr>
      <w:t>Dec</w:t>
    </w:r>
    <w:r>
      <w:rPr>
        <w:rFonts w:ascii="Arial" w:hAnsi="Arial" w:cs="Arial"/>
        <w:sz w:val="20"/>
        <w:szCs w:val="20"/>
      </w:rPr>
      <w:t>ember 2024</w:t>
    </w:r>
    <w:r w:rsidR="00D140F4">
      <w:rPr>
        <w:rFonts w:ascii="Arial" w:hAnsi="Arial" w:cs="Arial"/>
        <w:sz w:val="20"/>
        <w:szCs w:val="20"/>
      </w:rPr>
      <w:tab/>
    </w:r>
    <w:r w:rsidRPr="006224A0">
      <w:rPr>
        <w:rFonts w:ascii="Arial" w:hAnsi="Arial" w:cs="Arial"/>
        <w:sz w:val="20"/>
        <w:szCs w:val="20"/>
      </w:rPr>
      <w:tab/>
      <w:t xml:space="preserve">Page </w:t>
    </w:r>
    <w:sdt>
      <w:sdtPr>
        <w:rPr>
          <w:rFonts w:ascii="Arial" w:hAnsi="Arial" w:cs="Arial"/>
          <w:sz w:val="20"/>
          <w:szCs w:val="20"/>
        </w:rPr>
        <w:id w:val="1937241287"/>
        <w:docPartObj>
          <w:docPartGallery w:val="Page Numbers (Bottom of Page)"/>
          <w:docPartUnique/>
        </w:docPartObj>
      </w:sdtPr>
      <w:sdtEndPr>
        <w:rPr>
          <w:noProof/>
        </w:rPr>
      </w:sdtEndPr>
      <w:sdtContent>
        <w:r w:rsidRPr="006224A0">
          <w:rPr>
            <w:rFonts w:ascii="Arial" w:hAnsi="Arial" w:cs="Arial"/>
            <w:sz w:val="20"/>
            <w:szCs w:val="20"/>
          </w:rPr>
          <w:fldChar w:fldCharType="begin"/>
        </w:r>
        <w:r w:rsidRPr="006224A0">
          <w:rPr>
            <w:rFonts w:ascii="Arial" w:hAnsi="Arial" w:cs="Arial"/>
            <w:sz w:val="20"/>
            <w:szCs w:val="20"/>
          </w:rPr>
          <w:instrText xml:space="preserve"> PAGE   \* MERGEFORMAT </w:instrText>
        </w:r>
        <w:r w:rsidRPr="006224A0">
          <w:rPr>
            <w:rFonts w:ascii="Arial" w:hAnsi="Arial" w:cs="Arial"/>
            <w:sz w:val="20"/>
            <w:szCs w:val="20"/>
          </w:rPr>
          <w:fldChar w:fldCharType="separate"/>
        </w:r>
        <w:r w:rsidRPr="006224A0">
          <w:rPr>
            <w:rFonts w:ascii="Arial" w:hAnsi="Arial" w:cs="Arial"/>
            <w:noProof/>
            <w:sz w:val="20"/>
            <w:szCs w:val="20"/>
          </w:rPr>
          <w:t>2</w:t>
        </w:r>
        <w:r w:rsidRPr="006224A0">
          <w:rPr>
            <w:rFonts w:ascii="Arial" w:hAnsi="Arial" w:cs="Arial"/>
            <w:noProof/>
            <w:sz w:val="20"/>
            <w:szCs w:val="20"/>
          </w:rPr>
          <w:fldChar w:fldCharType="end"/>
        </w:r>
        <w:r w:rsidRPr="006224A0">
          <w:rPr>
            <w:rFonts w:ascii="Arial" w:hAnsi="Arial" w:cs="Arial"/>
            <w:noProof/>
            <w:sz w:val="20"/>
            <w:szCs w:val="20"/>
          </w:rPr>
          <w:t xml:space="preserve"> of </w:t>
        </w:r>
        <w:r w:rsidRPr="006224A0">
          <w:rPr>
            <w:rFonts w:ascii="Arial" w:hAnsi="Arial" w:cs="Arial"/>
            <w:noProof/>
            <w:sz w:val="20"/>
            <w:szCs w:val="20"/>
          </w:rPr>
          <w:fldChar w:fldCharType="begin"/>
        </w:r>
        <w:r w:rsidRPr="006224A0">
          <w:rPr>
            <w:rFonts w:ascii="Arial" w:hAnsi="Arial" w:cs="Arial"/>
            <w:noProof/>
            <w:sz w:val="20"/>
            <w:szCs w:val="20"/>
          </w:rPr>
          <w:instrText xml:space="preserve"> NUMPAGES   \* MERGEFORMAT </w:instrText>
        </w:r>
        <w:r w:rsidRPr="006224A0">
          <w:rPr>
            <w:rFonts w:ascii="Arial" w:hAnsi="Arial" w:cs="Arial"/>
            <w:noProof/>
            <w:sz w:val="20"/>
            <w:szCs w:val="20"/>
          </w:rPr>
          <w:fldChar w:fldCharType="separate"/>
        </w:r>
        <w:r w:rsidRPr="006224A0">
          <w:rPr>
            <w:rFonts w:ascii="Arial" w:hAnsi="Arial" w:cs="Arial"/>
            <w:noProof/>
            <w:sz w:val="20"/>
            <w:szCs w:val="20"/>
          </w:rPr>
          <w:t>3</w:t>
        </w:r>
        <w:r w:rsidRPr="006224A0">
          <w:rPr>
            <w:rFonts w:ascii="Arial" w:hAnsi="Arial" w:cs="Arial"/>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C4562D" w14:textId="77777777" w:rsidR="00643F15" w:rsidRDefault="00643F15" w:rsidP="0048793C">
      <w:pPr>
        <w:spacing w:after="0" w:line="240" w:lineRule="auto"/>
      </w:pPr>
      <w:r>
        <w:separator/>
      </w:r>
    </w:p>
  </w:footnote>
  <w:footnote w:type="continuationSeparator" w:id="0">
    <w:p w14:paraId="753C4C07" w14:textId="77777777" w:rsidR="00643F15" w:rsidRDefault="00643F15" w:rsidP="004879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67F19" w14:textId="40CC45B8" w:rsidR="0048793C" w:rsidRDefault="00B47000" w:rsidP="00091301">
    <w:pPr>
      <w:pStyle w:val="Header"/>
      <w:tabs>
        <w:tab w:val="clear" w:pos="4153"/>
        <w:tab w:val="clear" w:pos="8306"/>
        <w:tab w:val="left" w:pos="5245"/>
        <w:tab w:val="right" w:pos="9498"/>
      </w:tabs>
      <w:spacing w:after="0"/>
      <w:jc w:val="center"/>
      <w:rPr>
        <w:b/>
        <w:lang w:val="en-AU"/>
      </w:rPr>
    </w:pPr>
    <w:r>
      <w:rPr>
        <w:noProof/>
      </w:rPr>
      <w:drawing>
        <wp:anchor distT="0" distB="0" distL="114300" distR="114300" simplePos="0" relativeHeight="251659264" behindDoc="1" locked="0" layoutInCell="1" allowOverlap="1" wp14:anchorId="779B7344" wp14:editId="6B2BD301">
          <wp:simplePos x="0" y="0"/>
          <wp:positionH relativeFrom="margin">
            <wp:align>center</wp:align>
          </wp:positionH>
          <wp:positionV relativeFrom="page">
            <wp:posOffset>498017</wp:posOffset>
          </wp:positionV>
          <wp:extent cx="2361600" cy="1022400"/>
          <wp:effectExtent l="0" t="0" r="635" b="6350"/>
          <wp:wrapTopAndBottom/>
          <wp:docPr id="2" name="Picture 2" descr="Department of Health, Disability and Ageing Office of the Gene Technology Regul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partment of Health, Disability and Ageing Office of the Gene Technology Regulato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61600" cy="1022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EA337C"/>
    <w:multiLevelType w:val="hybridMultilevel"/>
    <w:tmpl w:val="B8E855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D7E403D"/>
    <w:multiLevelType w:val="hybridMultilevel"/>
    <w:tmpl w:val="5F7467EE"/>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2" w15:restartNumberingAfterBreak="0">
    <w:nsid w:val="3DB579D5"/>
    <w:multiLevelType w:val="hybridMultilevel"/>
    <w:tmpl w:val="EB1AC32E"/>
    <w:lvl w:ilvl="0" w:tplc="0C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069"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448C62A1"/>
    <w:multiLevelType w:val="hybridMultilevel"/>
    <w:tmpl w:val="EA7AFA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06D793B"/>
    <w:multiLevelType w:val="hybridMultilevel"/>
    <w:tmpl w:val="2A101D12"/>
    <w:lvl w:ilvl="0" w:tplc="B1D85286">
      <w:start w:val="1"/>
      <w:numFmt w:val="bullet"/>
      <w:lvlText w:val=""/>
      <w:lvlJc w:val="left"/>
      <w:pPr>
        <w:ind w:left="720" w:hanging="360"/>
      </w:pPr>
      <w:rPr>
        <w:rFonts w:ascii="Symbol" w:hAnsi="Symbol"/>
      </w:rPr>
    </w:lvl>
    <w:lvl w:ilvl="1" w:tplc="4BD0E85A">
      <w:start w:val="1"/>
      <w:numFmt w:val="bullet"/>
      <w:lvlText w:val=""/>
      <w:lvlJc w:val="left"/>
      <w:pPr>
        <w:ind w:left="720" w:hanging="360"/>
      </w:pPr>
      <w:rPr>
        <w:rFonts w:ascii="Symbol" w:hAnsi="Symbol"/>
      </w:rPr>
    </w:lvl>
    <w:lvl w:ilvl="2" w:tplc="7E4C933C">
      <w:start w:val="1"/>
      <w:numFmt w:val="bullet"/>
      <w:lvlText w:val=""/>
      <w:lvlJc w:val="left"/>
      <w:pPr>
        <w:ind w:left="720" w:hanging="360"/>
      </w:pPr>
      <w:rPr>
        <w:rFonts w:ascii="Symbol" w:hAnsi="Symbol"/>
      </w:rPr>
    </w:lvl>
    <w:lvl w:ilvl="3" w:tplc="DE10C178">
      <w:start w:val="1"/>
      <w:numFmt w:val="bullet"/>
      <w:lvlText w:val=""/>
      <w:lvlJc w:val="left"/>
      <w:pPr>
        <w:ind w:left="720" w:hanging="360"/>
      </w:pPr>
      <w:rPr>
        <w:rFonts w:ascii="Symbol" w:hAnsi="Symbol"/>
      </w:rPr>
    </w:lvl>
    <w:lvl w:ilvl="4" w:tplc="C0BEB9B0">
      <w:start w:val="1"/>
      <w:numFmt w:val="bullet"/>
      <w:lvlText w:val=""/>
      <w:lvlJc w:val="left"/>
      <w:pPr>
        <w:ind w:left="720" w:hanging="360"/>
      </w:pPr>
      <w:rPr>
        <w:rFonts w:ascii="Symbol" w:hAnsi="Symbol"/>
      </w:rPr>
    </w:lvl>
    <w:lvl w:ilvl="5" w:tplc="463CBA3A">
      <w:start w:val="1"/>
      <w:numFmt w:val="bullet"/>
      <w:lvlText w:val=""/>
      <w:lvlJc w:val="left"/>
      <w:pPr>
        <w:ind w:left="720" w:hanging="360"/>
      </w:pPr>
      <w:rPr>
        <w:rFonts w:ascii="Symbol" w:hAnsi="Symbol"/>
      </w:rPr>
    </w:lvl>
    <w:lvl w:ilvl="6" w:tplc="E06078D8">
      <w:start w:val="1"/>
      <w:numFmt w:val="bullet"/>
      <w:lvlText w:val=""/>
      <w:lvlJc w:val="left"/>
      <w:pPr>
        <w:ind w:left="720" w:hanging="360"/>
      </w:pPr>
      <w:rPr>
        <w:rFonts w:ascii="Symbol" w:hAnsi="Symbol"/>
      </w:rPr>
    </w:lvl>
    <w:lvl w:ilvl="7" w:tplc="59B28CB6">
      <w:start w:val="1"/>
      <w:numFmt w:val="bullet"/>
      <w:lvlText w:val=""/>
      <w:lvlJc w:val="left"/>
      <w:pPr>
        <w:ind w:left="720" w:hanging="360"/>
      </w:pPr>
      <w:rPr>
        <w:rFonts w:ascii="Symbol" w:hAnsi="Symbol"/>
      </w:rPr>
    </w:lvl>
    <w:lvl w:ilvl="8" w:tplc="C0029B80">
      <w:start w:val="1"/>
      <w:numFmt w:val="bullet"/>
      <w:lvlText w:val=""/>
      <w:lvlJc w:val="left"/>
      <w:pPr>
        <w:ind w:left="720" w:hanging="360"/>
      </w:pPr>
      <w:rPr>
        <w:rFonts w:ascii="Symbol" w:hAnsi="Symbol"/>
      </w:rPr>
    </w:lvl>
  </w:abstractNum>
  <w:abstractNum w:abstractNumId="5" w15:restartNumberingAfterBreak="0">
    <w:nsid w:val="7CA80462"/>
    <w:multiLevelType w:val="hybridMultilevel"/>
    <w:tmpl w:val="8A2C47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E861EE3"/>
    <w:multiLevelType w:val="hybridMultilevel"/>
    <w:tmpl w:val="4BC8864C"/>
    <w:lvl w:ilvl="0" w:tplc="8222EDE2">
      <w:start w:val="1"/>
      <w:numFmt w:val="bullet"/>
      <w:lvlText w:val=""/>
      <w:lvlJc w:val="left"/>
      <w:pPr>
        <w:ind w:left="720" w:hanging="360"/>
      </w:pPr>
      <w:rPr>
        <w:rFonts w:ascii="Symbol" w:hAnsi="Symbol"/>
      </w:rPr>
    </w:lvl>
    <w:lvl w:ilvl="1" w:tplc="BA362A06">
      <w:start w:val="1"/>
      <w:numFmt w:val="bullet"/>
      <w:lvlText w:val=""/>
      <w:lvlJc w:val="left"/>
      <w:pPr>
        <w:ind w:left="720" w:hanging="360"/>
      </w:pPr>
      <w:rPr>
        <w:rFonts w:ascii="Symbol" w:hAnsi="Symbol"/>
      </w:rPr>
    </w:lvl>
    <w:lvl w:ilvl="2" w:tplc="9424BBFC">
      <w:start w:val="1"/>
      <w:numFmt w:val="bullet"/>
      <w:lvlText w:val=""/>
      <w:lvlJc w:val="left"/>
      <w:pPr>
        <w:ind w:left="720" w:hanging="360"/>
      </w:pPr>
      <w:rPr>
        <w:rFonts w:ascii="Symbol" w:hAnsi="Symbol"/>
      </w:rPr>
    </w:lvl>
    <w:lvl w:ilvl="3" w:tplc="2CCE35DC">
      <w:start w:val="1"/>
      <w:numFmt w:val="bullet"/>
      <w:lvlText w:val=""/>
      <w:lvlJc w:val="left"/>
      <w:pPr>
        <w:ind w:left="720" w:hanging="360"/>
      </w:pPr>
      <w:rPr>
        <w:rFonts w:ascii="Symbol" w:hAnsi="Symbol"/>
      </w:rPr>
    </w:lvl>
    <w:lvl w:ilvl="4" w:tplc="87E27F12">
      <w:start w:val="1"/>
      <w:numFmt w:val="bullet"/>
      <w:lvlText w:val=""/>
      <w:lvlJc w:val="left"/>
      <w:pPr>
        <w:ind w:left="720" w:hanging="360"/>
      </w:pPr>
      <w:rPr>
        <w:rFonts w:ascii="Symbol" w:hAnsi="Symbol"/>
      </w:rPr>
    </w:lvl>
    <w:lvl w:ilvl="5" w:tplc="68C8365C">
      <w:start w:val="1"/>
      <w:numFmt w:val="bullet"/>
      <w:lvlText w:val=""/>
      <w:lvlJc w:val="left"/>
      <w:pPr>
        <w:ind w:left="720" w:hanging="360"/>
      </w:pPr>
      <w:rPr>
        <w:rFonts w:ascii="Symbol" w:hAnsi="Symbol"/>
      </w:rPr>
    </w:lvl>
    <w:lvl w:ilvl="6" w:tplc="C32E4CF0">
      <w:start w:val="1"/>
      <w:numFmt w:val="bullet"/>
      <w:lvlText w:val=""/>
      <w:lvlJc w:val="left"/>
      <w:pPr>
        <w:ind w:left="720" w:hanging="360"/>
      </w:pPr>
      <w:rPr>
        <w:rFonts w:ascii="Symbol" w:hAnsi="Symbol"/>
      </w:rPr>
    </w:lvl>
    <w:lvl w:ilvl="7" w:tplc="FA6C83E8">
      <w:start w:val="1"/>
      <w:numFmt w:val="bullet"/>
      <w:lvlText w:val=""/>
      <w:lvlJc w:val="left"/>
      <w:pPr>
        <w:ind w:left="720" w:hanging="360"/>
      </w:pPr>
      <w:rPr>
        <w:rFonts w:ascii="Symbol" w:hAnsi="Symbol"/>
      </w:rPr>
    </w:lvl>
    <w:lvl w:ilvl="8" w:tplc="EFCCFBCC">
      <w:start w:val="1"/>
      <w:numFmt w:val="bullet"/>
      <w:lvlText w:val=""/>
      <w:lvlJc w:val="left"/>
      <w:pPr>
        <w:ind w:left="720" w:hanging="360"/>
      </w:pPr>
      <w:rPr>
        <w:rFonts w:ascii="Symbol" w:hAnsi="Symbol"/>
      </w:rPr>
    </w:lvl>
  </w:abstractNum>
  <w:num w:numId="1" w16cid:durableId="1306929471">
    <w:abstractNumId w:val="0"/>
  </w:num>
  <w:num w:numId="2" w16cid:durableId="943421961">
    <w:abstractNumId w:val="2"/>
  </w:num>
  <w:num w:numId="3" w16cid:durableId="221450392">
    <w:abstractNumId w:val="1"/>
  </w:num>
  <w:num w:numId="4" w16cid:durableId="655913155">
    <w:abstractNumId w:val="3"/>
  </w:num>
  <w:num w:numId="5" w16cid:durableId="2069065431">
    <w:abstractNumId w:val="5"/>
  </w:num>
  <w:num w:numId="6" w16cid:durableId="915166397">
    <w:abstractNumId w:val="6"/>
  </w:num>
  <w:num w:numId="7" w16cid:durableId="3375375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93C"/>
    <w:rsid w:val="00040D62"/>
    <w:rsid w:val="00042185"/>
    <w:rsid w:val="00050E1D"/>
    <w:rsid w:val="0007458D"/>
    <w:rsid w:val="00095144"/>
    <w:rsid w:val="001172A7"/>
    <w:rsid w:val="00167F22"/>
    <w:rsid w:val="00190870"/>
    <w:rsid w:val="001B5BA0"/>
    <w:rsid w:val="001F1397"/>
    <w:rsid w:val="002000D5"/>
    <w:rsid w:val="002348C9"/>
    <w:rsid w:val="00265837"/>
    <w:rsid w:val="00267EB5"/>
    <w:rsid w:val="002710C7"/>
    <w:rsid w:val="00280050"/>
    <w:rsid w:val="002972E7"/>
    <w:rsid w:val="002C6503"/>
    <w:rsid w:val="002D3111"/>
    <w:rsid w:val="002E4B5A"/>
    <w:rsid w:val="003029ED"/>
    <w:rsid w:val="003039F5"/>
    <w:rsid w:val="003710D5"/>
    <w:rsid w:val="0037295A"/>
    <w:rsid w:val="00386A06"/>
    <w:rsid w:val="004128D2"/>
    <w:rsid w:val="00461435"/>
    <w:rsid w:val="004721FF"/>
    <w:rsid w:val="004725BD"/>
    <w:rsid w:val="0048793C"/>
    <w:rsid w:val="004E19EC"/>
    <w:rsid w:val="004E614E"/>
    <w:rsid w:val="00507086"/>
    <w:rsid w:val="00512A79"/>
    <w:rsid w:val="00522854"/>
    <w:rsid w:val="00530D7C"/>
    <w:rsid w:val="0053214E"/>
    <w:rsid w:val="0053355A"/>
    <w:rsid w:val="00547688"/>
    <w:rsid w:val="00564641"/>
    <w:rsid w:val="005730CA"/>
    <w:rsid w:val="005B48D1"/>
    <w:rsid w:val="005B7054"/>
    <w:rsid w:val="005F0B08"/>
    <w:rsid w:val="00643F15"/>
    <w:rsid w:val="0065085E"/>
    <w:rsid w:val="006572D0"/>
    <w:rsid w:val="00666F26"/>
    <w:rsid w:val="00723298"/>
    <w:rsid w:val="007350EB"/>
    <w:rsid w:val="00761858"/>
    <w:rsid w:val="00775529"/>
    <w:rsid w:val="007D22DE"/>
    <w:rsid w:val="007F29FE"/>
    <w:rsid w:val="0080111B"/>
    <w:rsid w:val="008109EC"/>
    <w:rsid w:val="008905FD"/>
    <w:rsid w:val="008A3DCD"/>
    <w:rsid w:val="008E2E21"/>
    <w:rsid w:val="00907BAC"/>
    <w:rsid w:val="00944686"/>
    <w:rsid w:val="00983F85"/>
    <w:rsid w:val="009D4967"/>
    <w:rsid w:val="009F0EA2"/>
    <w:rsid w:val="00A31469"/>
    <w:rsid w:val="00A32F7F"/>
    <w:rsid w:val="00A42414"/>
    <w:rsid w:val="00A466CB"/>
    <w:rsid w:val="00AB2098"/>
    <w:rsid w:val="00AC4B67"/>
    <w:rsid w:val="00AE082C"/>
    <w:rsid w:val="00AF2C96"/>
    <w:rsid w:val="00B31D91"/>
    <w:rsid w:val="00B47000"/>
    <w:rsid w:val="00B55A19"/>
    <w:rsid w:val="00B718D8"/>
    <w:rsid w:val="00BC77B8"/>
    <w:rsid w:val="00BD23BB"/>
    <w:rsid w:val="00BF174A"/>
    <w:rsid w:val="00BF5768"/>
    <w:rsid w:val="00C2462E"/>
    <w:rsid w:val="00C67E35"/>
    <w:rsid w:val="00C705BF"/>
    <w:rsid w:val="00C751B1"/>
    <w:rsid w:val="00CD4DFB"/>
    <w:rsid w:val="00CE3FAF"/>
    <w:rsid w:val="00D140F4"/>
    <w:rsid w:val="00D47177"/>
    <w:rsid w:val="00D6090A"/>
    <w:rsid w:val="00DC6F67"/>
    <w:rsid w:val="00DD6E3E"/>
    <w:rsid w:val="00E63341"/>
    <w:rsid w:val="00EA1972"/>
    <w:rsid w:val="00EA65D1"/>
    <w:rsid w:val="00EE5102"/>
    <w:rsid w:val="00F14D6C"/>
    <w:rsid w:val="00F34857"/>
    <w:rsid w:val="00FB102F"/>
    <w:rsid w:val="00FB219C"/>
    <w:rsid w:val="00FC71A8"/>
    <w:rsid w:val="00FE3637"/>
    <w:rsid w:val="00FF2F5C"/>
    <w:rsid w:val="00FF64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10EAC9"/>
  <w15:chartTrackingRefBased/>
  <w15:docId w15:val="{D81A7E49-F30F-4D2E-962B-487AB6B65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793C"/>
    <w:pPr>
      <w:spacing w:after="200" w:line="276" w:lineRule="auto"/>
    </w:pPr>
    <w:rPr>
      <w:rFonts w:asciiTheme="minorHAnsi" w:eastAsiaTheme="minorEastAsia" w:hAnsiTheme="minorHAnsi" w:cstheme="minorBidi"/>
      <w:kern w:val="0"/>
      <w:sz w:val="22"/>
      <w:szCs w:val="22"/>
      <w:lang w:eastAsia="en-AU"/>
      <w14:ligatures w14:val="none"/>
    </w:rPr>
  </w:style>
  <w:style w:type="paragraph" w:styleId="Heading1">
    <w:name w:val="heading 1"/>
    <w:basedOn w:val="Normal"/>
    <w:next w:val="Normal"/>
    <w:link w:val="Heading1Char"/>
    <w:uiPriority w:val="9"/>
    <w:qFormat/>
    <w:rsid w:val="004879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879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8793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8793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8793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8793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793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793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793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793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8793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8793C"/>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8793C"/>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48793C"/>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48793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8793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8793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8793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879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79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793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793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8793C"/>
    <w:pPr>
      <w:spacing w:before="160"/>
      <w:jc w:val="center"/>
    </w:pPr>
    <w:rPr>
      <w:i/>
      <w:iCs/>
      <w:color w:val="404040" w:themeColor="text1" w:themeTint="BF"/>
    </w:rPr>
  </w:style>
  <w:style w:type="character" w:customStyle="1" w:styleId="QuoteChar">
    <w:name w:val="Quote Char"/>
    <w:basedOn w:val="DefaultParagraphFont"/>
    <w:link w:val="Quote"/>
    <w:uiPriority w:val="29"/>
    <w:rsid w:val="0048793C"/>
    <w:rPr>
      <w:i/>
      <w:iCs/>
      <w:color w:val="404040" w:themeColor="text1" w:themeTint="BF"/>
    </w:rPr>
  </w:style>
  <w:style w:type="paragraph" w:styleId="ListParagraph">
    <w:name w:val="List Paragraph"/>
    <w:aliases w:val="List Bullet 1"/>
    <w:basedOn w:val="Normal"/>
    <w:link w:val="ListParagraphChar"/>
    <w:uiPriority w:val="34"/>
    <w:qFormat/>
    <w:rsid w:val="0048793C"/>
    <w:pPr>
      <w:ind w:left="720"/>
      <w:contextualSpacing/>
    </w:pPr>
  </w:style>
  <w:style w:type="character" w:styleId="IntenseEmphasis">
    <w:name w:val="Intense Emphasis"/>
    <w:basedOn w:val="DefaultParagraphFont"/>
    <w:uiPriority w:val="21"/>
    <w:qFormat/>
    <w:rsid w:val="0048793C"/>
    <w:rPr>
      <w:i/>
      <w:iCs/>
      <w:color w:val="0F4761" w:themeColor="accent1" w:themeShade="BF"/>
    </w:rPr>
  </w:style>
  <w:style w:type="paragraph" w:styleId="IntenseQuote">
    <w:name w:val="Intense Quote"/>
    <w:basedOn w:val="Normal"/>
    <w:next w:val="Normal"/>
    <w:link w:val="IntenseQuoteChar"/>
    <w:uiPriority w:val="30"/>
    <w:qFormat/>
    <w:rsid w:val="004879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8793C"/>
    <w:rPr>
      <w:i/>
      <w:iCs/>
      <w:color w:val="0F4761" w:themeColor="accent1" w:themeShade="BF"/>
    </w:rPr>
  </w:style>
  <w:style w:type="character" w:styleId="IntenseReference">
    <w:name w:val="Intense Reference"/>
    <w:basedOn w:val="DefaultParagraphFont"/>
    <w:uiPriority w:val="32"/>
    <w:qFormat/>
    <w:rsid w:val="0048793C"/>
    <w:rPr>
      <w:b/>
      <w:bCs/>
      <w:smallCaps/>
      <w:color w:val="0F4761" w:themeColor="accent1" w:themeShade="BF"/>
      <w:spacing w:val="5"/>
    </w:rPr>
  </w:style>
  <w:style w:type="paragraph" w:styleId="Header">
    <w:name w:val="header"/>
    <w:basedOn w:val="Normal"/>
    <w:link w:val="HeaderChar"/>
    <w:rsid w:val="0048793C"/>
    <w:pPr>
      <w:widowControl w:val="0"/>
      <w:tabs>
        <w:tab w:val="center" w:pos="4153"/>
        <w:tab w:val="right" w:pos="8306"/>
      </w:tabs>
    </w:pPr>
    <w:rPr>
      <w:snapToGrid w:val="0"/>
      <w:lang w:val="en-US" w:eastAsia="en-US"/>
    </w:rPr>
  </w:style>
  <w:style w:type="character" w:customStyle="1" w:styleId="HeaderChar">
    <w:name w:val="Header Char"/>
    <w:basedOn w:val="DefaultParagraphFont"/>
    <w:link w:val="Header"/>
    <w:rsid w:val="0048793C"/>
    <w:rPr>
      <w:rFonts w:asciiTheme="minorHAnsi" w:eastAsiaTheme="minorEastAsia" w:hAnsiTheme="minorHAnsi" w:cstheme="minorBidi"/>
      <w:snapToGrid w:val="0"/>
      <w:kern w:val="0"/>
      <w:sz w:val="22"/>
      <w:szCs w:val="22"/>
      <w:lang w:val="en-US"/>
      <w14:ligatures w14:val="none"/>
    </w:rPr>
  </w:style>
  <w:style w:type="paragraph" w:styleId="Footer">
    <w:name w:val="footer"/>
    <w:basedOn w:val="Normal"/>
    <w:link w:val="FooterChar"/>
    <w:uiPriority w:val="99"/>
    <w:rsid w:val="0048793C"/>
    <w:pPr>
      <w:tabs>
        <w:tab w:val="center" w:pos="4153"/>
        <w:tab w:val="right" w:pos="8306"/>
      </w:tabs>
    </w:pPr>
  </w:style>
  <w:style w:type="character" w:customStyle="1" w:styleId="FooterChar">
    <w:name w:val="Footer Char"/>
    <w:basedOn w:val="DefaultParagraphFont"/>
    <w:link w:val="Footer"/>
    <w:uiPriority w:val="99"/>
    <w:rsid w:val="0048793C"/>
    <w:rPr>
      <w:rFonts w:asciiTheme="minorHAnsi" w:eastAsiaTheme="minorEastAsia" w:hAnsiTheme="minorHAnsi" w:cstheme="minorBidi"/>
      <w:kern w:val="0"/>
      <w:sz w:val="22"/>
      <w:szCs w:val="22"/>
      <w:lang w:eastAsia="en-AU"/>
      <w14:ligatures w14:val="none"/>
    </w:rPr>
  </w:style>
  <w:style w:type="character" w:styleId="PageNumber">
    <w:name w:val="page number"/>
    <w:basedOn w:val="DefaultParagraphFont"/>
    <w:rsid w:val="0048793C"/>
  </w:style>
  <w:style w:type="paragraph" w:styleId="BodyText">
    <w:name w:val="Body Text"/>
    <w:basedOn w:val="Normal"/>
    <w:link w:val="BodyTextChar"/>
    <w:rsid w:val="0048793C"/>
    <w:pPr>
      <w:spacing w:before="120" w:after="120" w:line="264" w:lineRule="auto"/>
    </w:pPr>
    <w:rPr>
      <w:rFonts w:ascii="Arial" w:hAnsi="Arial" w:cs="Arial"/>
    </w:rPr>
  </w:style>
  <w:style w:type="character" w:customStyle="1" w:styleId="BodyTextChar">
    <w:name w:val="Body Text Char"/>
    <w:basedOn w:val="DefaultParagraphFont"/>
    <w:link w:val="BodyText"/>
    <w:rsid w:val="0048793C"/>
    <w:rPr>
      <w:rFonts w:ascii="Arial" w:eastAsiaTheme="minorEastAsia" w:hAnsi="Arial" w:cs="Arial"/>
      <w:kern w:val="0"/>
      <w:sz w:val="22"/>
      <w:szCs w:val="22"/>
      <w:lang w:eastAsia="en-AU"/>
      <w14:ligatures w14:val="none"/>
    </w:rPr>
  </w:style>
  <w:style w:type="paragraph" w:customStyle="1" w:styleId="CmqHeading1">
    <w:name w:val="Cmq Heading 1"/>
    <w:basedOn w:val="Heading3"/>
    <w:link w:val="CmqHeading1Char"/>
    <w:autoRedefine/>
    <w:qFormat/>
    <w:rsid w:val="0048793C"/>
    <w:pPr>
      <w:keepLines w:val="0"/>
      <w:spacing w:before="360" w:after="120" w:line="240" w:lineRule="auto"/>
    </w:pPr>
    <w:rPr>
      <w:rFonts w:ascii="Arial Bold" w:eastAsia="Times" w:hAnsi="Arial Bold" w:cs="Arial"/>
      <w:b/>
      <w:caps/>
      <w:color w:val="auto"/>
      <w:sz w:val="26"/>
      <w:szCs w:val="26"/>
    </w:rPr>
  </w:style>
  <w:style w:type="paragraph" w:customStyle="1" w:styleId="Cmqheading2">
    <w:name w:val="Cmq heading 2"/>
    <w:basedOn w:val="BodyText"/>
    <w:link w:val="Cmqheading2Char"/>
    <w:qFormat/>
    <w:rsid w:val="0048793C"/>
    <w:pPr>
      <w:keepNext/>
      <w:spacing w:before="360" w:after="240" w:line="240" w:lineRule="auto"/>
    </w:pPr>
    <w:rPr>
      <w:rFonts w:eastAsia="Times"/>
      <w:b/>
      <w:bCs/>
      <w:i/>
      <w:caps/>
      <w:color w:val="000000"/>
    </w:rPr>
  </w:style>
  <w:style w:type="character" w:customStyle="1" w:styleId="CmqHeading1Char">
    <w:name w:val="Cmq Heading 1 Char"/>
    <w:basedOn w:val="Heading3Char"/>
    <w:link w:val="CmqHeading1"/>
    <w:rsid w:val="0048793C"/>
    <w:rPr>
      <w:rFonts w:ascii="Arial Bold" w:eastAsia="Times" w:hAnsi="Arial Bold" w:cs="Arial"/>
      <w:b/>
      <w:caps/>
      <w:color w:val="0F4761" w:themeColor="accent1" w:themeShade="BF"/>
      <w:kern w:val="0"/>
      <w:sz w:val="26"/>
      <w:szCs w:val="26"/>
      <w:lang w:eastAsia="en-AU"/>
      <w14:ligatures w14:val="none"/>
    </w:rPr>
  </w:style>
  <w:style w:type="paragraph" w:customStyle="1" w:styleId="Cmqheading3">
    <w:name w:val="Cmq heading 3"/>
    <w:basedOn w:val="Heading3"/>
    <w:link w:val="Cmqheading3Char"/>
    <w:qFormat/>
    <w:rsid w:val="0048793C"/>
    <w:pPr>
      <w:keepNext w:val="0"/>
      <w:keepLines w:val="0"/>
      <w:spacing w:before="240" w:after="120" w:line="23" w:lineRule="atLeast"/>
      <w:ind w:left="1191" w:hanging="1191"/>
      <w:contextualSpacing/>
      <w:outlineLvl w:val="9"/>
    </w:pPr>
    <w:rPr>
      <w:rFonts w:ascii="Arial" w:hAnsi="Arial" w:cs="Arial"/>
      <w:b/>
      <w:color w:val="0A2F40" w:themeColor="accent1" w:themeShade="7F"/>
      <w:sz w:val="22"/>
      <w:szCs w:val="22"/>
    </w:rPr>
  </w:style>
  <w:style w:type="character" w:customStyle="1" w:styleId="Cmqheading2Char">
    <w:name w:val="Cmq heading 2 Char"/>
    <w:basedOn w:val="BodyTextChar"/>
    <w:link w:val="Cmqheading2"/>
    <w:rsid w:val="0048793C"/>
    <w:rPr>
      <w:rFonts w:ascii="Arial" w:eastAsia="Times" w:hAnsi="Arial" w:cs="Arial"/>
      <w:b/>
      <w:bCs/>
      <w:i/>
      <w:caps/>
      <w:color w:val="000000"/>
      <w:kern w:val="0"/>
      <w:sz w:val="22"/>
      <w:szCs w:val="22"/>
      <w:lang w:eastAsia="en-AU"/>
      <w14:ligatures w14:val="none"/>
    </w:rPr>
  </w:style>
  <w:style w:type="paragraph" w:customStyle="1" w:styleId="CmqTitle1">
    <w:name w:val="Cmq Title 1"/>
    <w:basedOn w:val="Normal"/>
    <w:qFormat/>
    <w:rsid w:val="0048793C"/>
    <w:pPr>
      <w:spacing w:before="120" w:after="120" w:line="260" w:lineRule="exact"/>
      <w:jc w:val="center"/>
    </w:pPr>
    <w:rPr>
      <w:rFonts w:ascii="Arial" w:eastAsiaTheme="minorHAnsi" w:hAnsi="Arial" w:cs="Arial"/>
      <w:b/>
      <w:bCs/>
      <w:color w:val="000000"/>
      <w:sz w:val="24"/>
      <w:szCs w:val="28"/>
      <w:lang w:eastAsia="en-US"/>
    </w:rPr>
  </w:style>
  <w:style w:type="character" w:customStyle="1" w:styleId="Cmqheading3Char">
    <w:name w:val="Cmq heading 3 Char"/>
    <w:basedOn w:val="Heading3Char"/>
    <w:link w:val="Cmqheading3"/>
    <w:rsid w:val="0048793C"/>
    <w:rPr>
      <w:rFonts w:ascii="Arial" w:eastAsiaTheme="majorEastAsia" w:hAnsi="Arial" w:cs="Arial"/>
      <w:b/>
      <w:color w:val="0A2F40" w:themeColor="accent1" w:themeShade="7F"/>
      <w:kern w:val="0"/>
      <w:sz w:val="22"/>
      <w:szCs w:val="22"/>
      <w:lang w:eastAsia="en-AU"/>
      <w14:ligatures w14:val="none"/>
    </w:rPr>
  </w:style>
  <w:style w:type="paragraph" w:customStyle="1" w:styleId="CmqTitle2">
    <w:name w:val="Cmq Title 2"/>
    <w:basedOn w:val="Normal"/>
    <w:qFormat/>
    <w:rsid w:val="0048793C"/>
    <w:pPr>
      <w:pBdr>
        <w:top w:val="single" w:sz="4" w:space="12" w:color="auto"/>
        <w:bottom w:val="single" w:sz="4" w:space="12" w:color="auto"/>
      </w:pBdr>
      <w:spacing w:after="0" w:line="240" w:lineRule="auto"/>
      <w:ind w:left="360"/>
      <w:jc w:val="center"/>
    </w:pPr>
    <w:rPr>
      <w:rFonts w:ascii="Arial" w:eastAsia="Times" w:hAnsi="Arial" w:cs="Arial"/>
      <w:b/>
      <w:i/>
      <w:iCs/>
      <w:lang w:eastAsia="en-US"/>
    </w:rPr>
  </w:style>
  <w:style w:type="character" w:styleId="Hyperlink">
    <w:name w:val="Hyperlink"/>
    <w:basedOn w:val="DefaultParagraphFont"/>
    <w:uiPriority w:val="99"/>
    <w:unhideWhenUsed/>
    <w:rsid w:val="0048793C"/>
    <w:rPr>
      <w:color w:val="467886" w:themeColor="hyperlink"/>
      <w:u w:val="single"/>
    </w:rPr>
  </w:style>
  <w:style w:type="table" w:styleId="TableGrid">
    <w:name w:val="Table Grid"/>
    <w:basedOn w:val="TableNormal"/>
    <w:uiPriority w:val="59"/>
    <w:rsid w:val="0048793C"/>
    <w:pPr>
      <w:spacing w:after="0" w:line="240" w:lineRule="auto"/>
    </w:pPr>
    <w:rPr>
      <w:rFonts w:asciiTheme="minorHAnsi" w:hAnsiTheme="minorHAnsi" w:cstheme="minorBid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Bullet 1 Char"/>
    <w:basedOn w:val="DefaultParagraphFont"/>
    <w:link w:val="ListParagraph"/>
    <w:uiPriority w:val="34"/>
    <w:locked/>
    <w:rsid w:val="0048793C"/>
  </w:style>
  <w:style w:type="paragraph" w:customStyle="1" w:styleId="folios">
    <w:name w:val="folios"/>
    <w:basedOn w:val="Normal"/>
    <w:link w:val="foliosChar"/>
    <w:rsid w:val="0048793C"/>
    <w:pPr>
      <w:spacing w:after="360" w:line="240" w:lineRule="auto"/>
      <w:contextualSpacing/>
      <w:jc w:val="right"/>
    </w:pPr>
    <w:rPr>
      <w:rFonts w:ascii="Calibri" w:eastAsia="Times New Roman" w:hAnsi="Calibri" w:cs="Times New Roman"/>
      <w:sz w:val="18"/>
    </w:rPr>
  </w:style>
  <w:style w:type="character" w:customStyle="1" w:styleId="foliosChar">
    <w:name w:val="folios Char"/>
    <w:basedOn w:val="DefaultParagraphFont"/>
    <w:link w:val="folios"/>
    <w:rsid w:val="0048793C"/>
    <w:rPr>
      <w:rFonts w:ascii="Calibri" w:eastAsia="Times New Roman" w:hAnsi="Calibri"/>
      <w:kern w:val="0"/>
      <w:sz w:val="18"/>
      <w:szCs w:val="22"/>
      <w:lang w:eastAsia="en-AU"/>
      <w14:ligatures w14:val="none"/>
    </w:rPr>
  </w:style>
  <w:style w:type="character" w:styleId="CommentReference">
    <w:name w:val="annotation reference"/>
    <w:basedOn w:val="DefaultParagraphFont"/>
    <w:uiPriority w:val="99"/>
    <w:semiHidden/>
    <w:unhideWhenUsed/>
    <w:rsid w:val="0048793C"/>
    <w:rPr>
      <w:sz w:val="16"/>
      <w:szCs w:val="16"/>
    </w:rPr>
  </w:style>
  <w:style w:type="paragraph" w:styleId="CommentText">
    <w:name w:val="annotation text"/>
    <w:basedOn w:val="Normal"/>
    <w:link w:val="CommentTextChar"/>
    <w:uiPriority w:val="99"/>
    <w:unhideWhenUsed/>
    <w:rsid w:val="0048793C"/>
    <w:pPr>
      <w:spacing w:line="240" w:lineRule="auto"/>
    </w:pPr>
    <w:rPr>
      <w:sz w:val="20"/>
      <w:szCs w:val="20"/>
    </w:rPr>
  </w:style>
  <w:style w:type="character" w:customStyle="1" w:styleId="CommentTextChar">
    <w:name w:val="Comment Text Char"/>
    <w:basedOn w:val="DefaultParagraphFont"/>
    <w:link w:val="CommentText"/>
    <w:uiPriority w:val="99"/>
    <w:rsid w:val="0048793C"/>
    <w:rPr>
      <w:rFonts w:asciiTheme="minorHAnsi" w:eastAsiaTheme="minorEastAsia" w:hAnsiTheme="minorHAnsi" w:cstheme="minorBidi"/>
      <w:kern w:val="0"/>
      <w:sz w:val="20"/>
      <w:szCs w:val="20"/>
      <w:lang w:eastAsia="en-AU"/>
      <w14:ligatures w14:val="none"/>
    </w:rPr>
  </w:style>
  <w:style w:type="paragraph" w:styleId="Revision">
    <w:name w:val="Revision"/>
    <w:hidden/>
    <w:uiPriority w:val="99"/>
    <w:semiHidden/>
    <w:rsid w:val="0053214E"/>
    <w:pPr>
      <w:spacing w:after="0" w:line="240" w:lineRule="auto"/>
    </w:pPr>
    <w:rPr>
      <w:rFonts w:asciiTheme="minorHAnsi" w:eastAsiaTheme="minorEastAsia" w:hAnsiTheme="minorHAnsi" w:cstheme="minorBidi"/>
      <w:kern w:val="0"/>
      <w:sz w:val="22"/>
      <w:szCs w:val="22"/>
      <w:lang w:eastAsia="en-AU"/>
      <w14:ligatures w14:val="none"/>
    </w:rPr>
  </w:style>
  <w:style w:type="paragraph" w:styleId="CommentSubject">
    <w:name w:val="annotation subject"/>
    <w:basedOn w:val="CommentText"/>
    <w:next w:val="CommentText"/>
    <w:link w:val="CommentSubjectChar"/>
    <w:uiPriority w:val="99"/>
    <w:semiHidden/>
    <w:unhideWhenUsed/>
    <w:rsid w:val="0053214E"/>
    <w:rPr>
      <w:b/>
      <w:bCs/>
    </w:rPr>
  </w:style>
  <w:style w:type="character" w:customStyle="1" w:styleId="CommentSubjectChar">
    <w:name w:val="Comment Subject Char"/>
    <w:basedOn w:val="CommentTextChar"/>
    <w:link w:val="CommentSubject"/>
    <w:uiPriority w:val="99"/>
    <w:semiHidden/>
    <w:rsid w:val="0053214E"/>
    <w:rPr>
      <w:rFonts w:asciiTheme="minorHAnsi" w:eastAsiaTheme="minorEastAsia" w:hAnsiTheme="minorHAnsi" w:cstheme="minorBidi"/>
      <w:b/>
      <w:bCs/>
      <w:kern w:val="0"/>
      <w:sz w:val="20"/>
      <w:szCs w:val="20"/>
      <w:lang w:eastAsia="en-AU"/>
      <w14:ligatures w14:val="none"/>
    </w:rPr>
  </w:style>
  <w:style w:type="character" w:styleId="UnresolvedMention">
    <w:name w:val="Unresolved Mention"/>
    <w:basedOn w:val="DefaultParagraphFont"/>
    <w:uiPriority w:val="99"/>
    <w:semiHidden/>
    <w:unhideWhenUsed/>
    <w:rsid w:val="008A3D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ogtr@health.gov.a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1060</Words>
  <Characters>6048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 Technology Technical Advisory Committee 16 December 2024</dc:title>
  <dc:subject/>
  <dc:creator>OGTR.Voicemail@health.gov.au</dc:creator>
  <cp:keywords/>
  <dc:description/>
  <cp:lastModifiedBy>SMITH, Justine</cp:lastModifiedBy>
  <cp:revision>3</cp:revision>
  <cp:lastPrinted>2025-06-24T00:03:00Z</cp:lastPrinted>
  <dcterms:created xsi:type="dcterms:W3CDTF">2025-06-24T00:02:00Z</dcterms:created>
  <dcterms:modified xsi:type="dcterms:W3CDTF">2025-06-24T00:03:00Z</dcterms:modified>
</cp:coreProperties>
</file>