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AE64" w14:textId="19EB78F9" w:rsidR="006F175C" w:rsidRPr="00E55DEF" w:rsidRDefault="006F175C" w:rsidP="00CC41D6">
      <w:pPr>
        <w:pStyle w:val="BodyText3"/>
      </w:pPr>
      <w:r w:rsidRPr="00A15798">
        <w:t xml:space="preserve">Questions &amp; Answers on </w:t>
      </w:r>
      <w:r w:rsidR="00350BCF">
        <w:t>a determination</w:t>
      </w:r>
      <w:r w:rsidR="006C454A">
        <w:t xml:space="preserve"> to place dealings with </w:t>
      </w:r>
      <w:r w:rsidR="006C454A" w:rsidRPr="00A15798">
        <w:t>genetically modified (GM)</w:t>
      </w:r>
      <w:r w:rsidR="006C454A">
        <w:t xml:space="preserve"> </w:t>
      </w:r>
      <w:r w:rsidR="00E55DEF" w:rsidRPr="00E55DEF">
        <w:t>canola</w:t>
      </w:r>
      <w:r w:rsidR="006C454A" w:rsidRPr="00E55DEF">
        <w:t xml:space="preserve"> on the GMO Register</w:t>
      </w:r>
      <w:r w:rsidRPr="00E55DEF">
        <w:t xml:space="preserve"> </w:t>
      </w:r>
      <w:r w:rsidR="004D6063" w:rsidRPr="00E55DEF">
        <w:t xml:space="preserve">- </w:t>
      </w:r>
      <w:r w:rsidR="006C454A" w:rsidRPr="00E55DEF">
        <w:t>R</w:t>
      </w:r>
      <w:r w:rsidR="00645244">
        <w:t>egister</w:t>
      </w:r>
      <w:r w:rsidR="006C454A" w:rsidRPr="00E55DEF">
        <w:t>-</w:t>
      </w:r>
      <w:r w:rsidR="00E55DEF" w:rsidRPr="00E55DEF">
        <w:t>003</w:t>
      </w:r>
    </w:p>
    <w:p w14:paraId="25CC23FF" w14:textId="70E78F79" w:rsidR="006F175C" w:rsidRPr="00CC41D6" w:rsidRDefault="006F175C" w:rsidP="00CC41D6">
      <w:pPr>
        <w:spacing w:before="120" w:after="120"/>
        <w:rPr>
          <w:b/>
        </w:rPr>
      </w:pPr>
      <w:r w:rsidRPr="00CC41D6">
        <w:rPr>
          <w:b/>
        </w:rPr>
        <w:t xml:space="preserve">What </w:t>
      </w:r>
      <w:r w:rsidR="00CD43F0" w:rsidRPr="00CC41D6">
        <w:rPr>
          <w:b/>
        </w:rPr>
        <w:t>is t</w:t>
      </w:r>
      <w:r w:rsidR="006C454A" w:rsidRPr="00CC41D6">
        <w:rPr>
          <w:b/>
        </w:rPr>
        <w:t>he GMO Register</w:t>
      </w:r>
      <w:r w:rsidRPr="00CC41D6">
        <w:rPr>
          <w:b/>
        </w:rPr>
        <w:t>?</w:t>
      </w:r>
    </w:p>
    <w:p w14:paraId="20E7B0EC" w14:textId="005B6DFB" w:rsidR="00A16D20" w:rsidRDefault="00295A65" w:rsidP="00CC41D6">
      <w:pPr>
        <w:pStyle w:val="Arrow"/>
        <w:numPr>
          <w:ilvl w:val="0"/>
          <w:numId w:val="0"/>
        </w:numPr>
        <w:spacing w:before="120" w:after="120"/>
      </w:pPr>
      <w:r w:rsidRPr="002965C6">
        <w:rPr>
          <w:color w:val="010101"/>
        </w:rPr>
        <w:t xml:space="preserve">The GMO Register is a list of </w:t>
      </w:r>
      <w:r>
        <w:rPr>
          <w:color w:val="010101"/>
        </w:rPr>
        <w:t xml:space="preserve">approved </w:t>
      </w:r>
      <w:r w:rsidRPr="002965C6">
        <w:rPr>
          <w:color w:val="010101"/>
        </w:rPr>
        <w:t>activities (dealings) with genetically modified</w:t>
      </w:r>
      <w:r w:rsidRPr="002965C6">
        <w:rPr>
          <w:color w:val="010101"/>
          <w:spacing w:val="40"/>
        </w:rPr>
        <w:t xml:space="preserve"> </w:t>
      </w:r>
      <w:r w:rsidRPr="002965C6">
        <w:rPr>
          <w:color w:val="010101"/>
        </w:rPr>
        <w:t>organisms</w:t>
      </w:r>
      <w:r>
        <w:rPr>
          <w:color w:val="010101"/>
        </w:rPr>
        <w:t xml:space="preserve"> (GMOs)</w:t>
      </w:r>
      <w:r w:rsidRPr="002965C6">
        <w:rPr>
          <w:color w:val="010101"/>
        </w:rPr>
        <w:t xml:space="preserve">. </w:t>
      </w:r>
      <w:r w:rsidR="00BC0415" w:rsidRPr="002759EB">
        <w:rPr>
          <w:rFonts w:asciiTheme="minorHAnsi" w:hAnsiTheme="minorHAnsi"/>
          <w:color w:val="000000" w:themeColor="text1"/>
        </w:rPr>
        <w:t xml:space="preserve">Licenced </w:t>
      </w:r>
      <w:r w:rsidR="00BC0415">
        <w:rPr>
          <w:rFonts w:asciiTheme="minorHAnsi" w:hAnsiTheme="minorHAnsi"/>
          <w:color w:val="000000" w:themeColor="text1"/>
        </w:rPr>
        <w:t xml:space="preserve">activities with </w:t>
      </w:r>
      <w:r w:rsidR="00BC0415" w:rsidRPr="002759EB">
        <w:rPr>
          <w:rFonts w:asciiTheme="minorHAnsi" w:hAnsiTheme="minorHAnsi"/>
          <w:color w:val="000000" w:themeColor="text1"/>
        </w:rPr>
        <w:t>GMOs</w:t>
      </w:r>
      <w:r w:rsidR="00BC0415">
        <w:rPr>
          <w:rFonts w:asciiTheme="minorHAnsi" w:hAnsiTheme="minorHAnsi"/>
          <w:color w:val="000000" w:themeColor="text1"/>
        </w:rPr>
        <w:t xml:space="preserve"> - dealings - </w:t>
      </w:r>
      <w:r w:rsidR="006C454A" w:rsidRPr="002759EB">
        <w:rPr>
          <w:rFonts w:asciiTheme="minorHAnsi" w:hAnsiTheme="minorHAnsi"/>
          <w:color w:val="000000" w:themeColor="text1"/>
        </w:rPr>
        <w:t xml:space="preserve">may be included </w:t>
      </w:r>
      <w:r w:rsidR="006C454A" w:rsidRPr="002759EB">
        <w:rPr>
          <w:color w:val="000000" w:themeColor="text1"/>
        </w:rPr>
        <w:t>on the GMO Register</w:t>
      </w:r>
      <w:r w:rsidR="00903A1A">
        <w:rPr>
          <w:color w:val="000000" w:themeColor="text1"/>
        </w:rPr>
        <w:t xml:space="preserve"> if </w:t>
      </w:r>
      <w:r w:rsidR="006C454A" w:rsidRPr="002759EB">
        <w:rPr>
          <w:color w:val="000000" w:themeColor="text1"/>
        </w:rPr>
        <w:t xml:space="preserve">the </w:t>
      </w:r>
      <w:r w:rsidR="00173E64">
        <w:rPr>
          <w:color w:val="000000" w:themeColor="text1"/>
        </w:rPr>
        <w:t xml:space="preserve">Gene Technology </w:t>
      </w:r>
      <w:r w:rsidR="006C454A">
        <w:t>Regulator</w:t>
      </w:r>
      <w:r w:rsidR="00173E64">
        <w:t xml:space="preserve"> (the Regulator)</w:t>
      </w:r>
      <w:r w:rsidR="006C454A">
        <w:t xml:space="preserve"> </w:t>
      </w:r>
      <w:r w:rsidR="00903A1A">
        <w:t>is</w:t>
      </w:r>
      <w:r w:rsidR="006C454A">
        <w:t xml:space="preserve"> satisfied that any risks posed by </w:t>
      </w:r>
      <w:r w:rsidR="00BC0415">
        <w:t xml:space="preserve">them </w:t>
      </w:r>
      <w:r w:rsidR="006C454A">
        <w:t>are minimal and that</w:t>
      </w:r>
      <w:r w:rsidR="006C454A" w:rsidRPr="00B33B63">
        <w:t xml:space="preserve"> </w:t>
      </w:r>
      <w:r w:rsidR="00BC0415">
        <w:t xml:space="preserve">the dealings are </w:t>
      </w:r>
      <w:r w:rsidR="006C454A" w:rsidRPr="00B33B63">
        <w:t xml:space="preserve">safe </w:t>
      </w:r>
      <w:r w:rsidR="00BC0415">
        <w:t xml:space="preserve">enough for anyone </w:t>
      </w:r>
      <w:r w:rsidR="006C454A" w:rsidRPr="00B33B63">
        <w:t>to undertake</w:t>
      </w:r>
      <w:r w:rsidR="00BC0415">
        <w:t xml:space="preserve"> them</w:t>
      </w:r>
      <w:r w:rsidR="006C454A" w:rsidRPr="00B33B63">
        <w:t xml:space="preserve"> without the need for a licence</w:t>
      </w:r>
      <w:r w:rsidR="006C454A">
        <w:t>.</w:t>
      </w:r>
    </w:p>
    <w:p w14:paraId="3B949C96" w14:textId="69FB3518" w:rsidR="00295A65" w:rsidRDefault="00295A65" w:rsidP="00D62411">
      <w:pPr>
        <w:spacing w:before="120" w:after="120"/>
      </w:pPr>
      <w:r>
        <w:t xml:space="preserve">You can find more information about the GMO Register on </w:t>
      </w:r>
      <w:r w:rsidRPr="004707CD">
        <w:t xml:space="preserve">the </w:t>
      </w:r>
      <w:hyperlink r:id="rId8" w:history="1">
        <w:r w:rsidRPr="004707CD">
          <w:rPr>
            <w:rStyle w:val="Hyperlink"/>
            <w:color w:val="auto"/>
          </w:rPr>
          <w:t>OGTR website</w:t>
        </w:r>
      </w:hyperlink>
      <w:r>
        <w:t>.</w:t>
      </w:r>
    </w:p>
    <w:p w14:paraId="47F25143" w14:textId="32696185" w:rsidR="009D061A" w:rsidRPr="00CC41D6" w:rsidRDefault="009D061A" w:rsidP="00CC41D6">
      <w:pPr>
        <w:spacing w:before="120" w:after="120"/>
        <w:rPr>
          <w:b/>
        </w:rPr>
      </w:pPr>
      <w:r w:rsidRPr="00CC41D6">
        <w:rPr>
          <w:b/>
        </w:rPr>
        <w:t xml:space="preserve">What </w:t>
      </w:r>
      <w:r w:rsidR="00BC0415" w:rsidRPr="00CC41D6">
        <w:rPr>
          <w:b/>
        </w:rPr>
        <w:t>dealings with GMOs are to be included</w:t>
      </w:r>
      <w:r w:rsidRPr="00CC41D6">
        <w:rPr>
          <w:b/>
        </w:rPr>
        <w:t>?</w:t>
      </w:r>
    </w:p>
    <w:p w14:paraId="5A712AE6" w14:textId="29F50385" w:rsidR="009D061A" w:rsidRPr="00645244" w:rsidRDefault="00647864" w:rsidP="00CC41D6">
      <w:pPr>
        <w:spacing w:before="120" w:after="120"/>
      </w:pPr>
      <w:r>
        <w:t xml:space="preserve">All </w:t>
      </w:r>
      <w:r w:rsidR="009D061A">
        <w:t xml:space="preserve">dealings </w:t>
      </w:r>
      <w:r>
        <w:t xml:space="preserve">with the GM canola are permitted </w:t>
      </w:r>
      <w:r w:rsidR="00590211">
        <w:t xml:space="preserve">to be </w:t>
      </w:r>
      <w:r w:rsidR="008A5A8C">
        <w:t xml:space="preserve">included </w:t>
      </w:r>
      <w:r w:rsidR="009D061A">
        <w:t>on the GMO Register</w:t>
      </w:r>
      <w:r w:rsidR="00531688" w:rsidRPr="00645244">
        <w:t xml:space="preserve">. They include the same sorts of activities undertaken with non-GM canola, such as conducting experiments, breeding, growing, </w:t>
      </w:r>
      <w:proofErr w:type="gramStart"/>
      <w:r w:rsidR="00531688" w:rsidRPr="00645244">
        <w:t>importing</w:t>
      </w:r>
      <w:proofErr w:type="gramEnd"/>
      <w:r w:rsidR="00531688" w:rsidRPr="00645244">
        <w:t xml:space="preserve"> </w:t>
      </w:r>
      <w:r w:rsidR="003520FE" w:rsidRPr="00645244">
        <w:t xml:space="preserve">and </w:t>
      </w:r>
      <w:r w:rsidR="00531688" w:rsidRPr="00645244">
        <w:t>transporting</w:t>
      </w:r>
      <w:r w:rsidR="00903A1A" w:rsidRPr="00645244">
        <w:t xml:space="preserve">. </w:t>
      </w:r>
      <w:r w:rsidR="00590211" w:rsidRPr="00645244">
        <w:t xml:space="preserve">These dealings have been authorised under the licence for </w:t>
      </w:r>
      <w:hyperlink r:id="rId9" w:history="1">
        <w:r w:rsidR="00590211" w:rsidRPr="00A84339">
          <w:rPr>
            <w:rStyle w:val="Hyperlink"/>
          </w:rPr>
          <w:t xml:space="preserve">DIR </w:t>
        </w:r>
        <w:r w:rsidR="005D139E" w:rsidRPr="00A84339">
          <w:rPr>
            <w:rStyle w:val="Hyperlink"/>
          </w:rPr>
          <w:t>020/2002</w:t>
        </w:r>
      </w:hyperlink>
      <w:r w:rsidR="00590211" w:rsidRPr="00645244">
        <w:t xml:space="preserve"> since </w:t>
      </w:r>
      <w:r w:rsidR="005D139E" w:rsidRPr="00645244">
        <w:t>2003</w:t>
      </w:r>
      <w:r w:rsidR="00590211" w:rsidRPr="00645244">
        <w:t>.</w:t>
      </w:r>
    </w:p>
    <w:p w14:paraId="737B1224" w14:textId="1D1DC991" w:rsidR="006F175C" w:rsidRPr="00645244" w:rsidRDefault="006F175C" w:rsidP="00CC41D6">
      <w:pPr>
        <w:spacing w:before="120" w:after="120"/>
        <w:rPr>
          <w:b/>
        </w:rPr>
      </w:pPr>
      <w:r w:rsidRPr="00645244">
        <w:rPr>
          <w:b/>
        </w:rPr>
        <w:t xml:space="preserve">How </w:t>
      </w:r>
      <w:r w:rsidR="00295A65" w:rsidRPr="00645244">
        <w:rPr>
          <w:b/>
        </w:rPr>
        <w:t>ha</w:t>
      </w:r>
      <w:r w:rsidR="00295A65">
        <w:rPr>
          <w:b/>
        </w:rPr>
        <w:t>s</w:t>
      </w:r>
      <w:r w:rsidR="00295A65" w:rsidRPr="00645244">
        <w:rPr>
          <w:b/>
        </w:rPr>
        <w:t xml:space="preserve"> </w:t>
      </w:r>
      <w:r w:rsidR="003C1AA1" w:rsidRPr="00645244">
        <w:rPr>
          <w:b/>
        </w:rPr>
        <w:t xml:space="preserve">the GM </w:t>
      </w:r>
      <w:r w:rsidR="005D139E" w:rsidRPr="00645244">
        <w:rPr>
          <w:b/>
        </w:rPr>
        <w:t>canola</w:t>
      </w:r>
      <w:r w:rsidR="00F92930" w:rsidRPr="00645244">
        <w:rPr>
          <w:b/>
        </w:rPr>
        <w:t xml:space="preserve"> </w:t>
      </w:r>
      <w:r w:rsidR="003C1AA1" w:rsidRPr="00645244">
        <w:rPr>
          <w:b/>
        </w:rPr>
        <w:t>be</w:t>
      </w:r>
      <w:r w:rsidR="005A761A" w:rsidRPr="00645244">
        <w:rPr>
          <w:b/>
        </w:rPr>
        <w:t>en</w:t>
      </w:r>
      <w:r w:rsidRPr="00645244">
        <w:rPr>
          <w:b/>
        </w:rPr>
        <w:t xml:space="preserve"> modified?</w:t>
      </w:r>
    </w:p>
    <w:p w14:paraId="1F46F1C4" w14:textId="60EBFCAB" w:rsidR="0066269D" w:rsidRPr="00645244" w:rsidRDefault="00B838A7" w:rsidP="00CC41D6">
      <w:pPr>
        <w:spacing w:before="120" w:after="120"/>
      </w:pPr>
      <w:bookmarkStart w:id="0" w:name="_Hlk160462635"/>
      <w:r w:rsidRPr="00645244">
        <w:t>The MON-ØØØ73-7 canola, also known as Roundup Ready® canola, GT73 (RT73) canola and oilseed rape GT73,</w:t>
      </w:r>
      <w:bookmarkEnd w:id="0"/>
      <w:r w:rsidRPr="00645244">
        <w:t xml:space="preserve"> contains two introduced genes derived from </w:t>
      </w:r>
      <w:bookmarkStart w:id="1" w:name="_Hlk160462934"/>
      <w:r w:rsidRPr="00645244">
        <w:t>common soil bacteria</w:t>
      </w:r>
      <w:bookmarkEnd w:id="1"/>
      <w:r w:rsidRPr="00645244">
        <w:t>. The genes confer tolerance to the herbicide glyphosate, and therefore farmers can use this herbicide to kill weeds without damaging their GM canola crop.</w:t>
      </w:r>
    </w:p>
    <w:p w14:paraId="3531A96D" w14:textId="733FF9D0" w:rsidR="007659AC" w:rsidRPr="00645244" w:rsidRDefault="007659AC" w:rsidP="00CC41D6">
      <w:pPr>
        <w:spacing w:before="120" w:after="120"/>
        <w:rPr>
          <w:b/>
        </w:rPr>
      </w:pPr>
      <w:r w:rsidRPr="00645244">
        <w:rPr>
          <w:b/>
        </w:rPr>
        <w:t>Ha</w:t>
      </w:r>
      <w:r w:rsidR="004B0358" w:rsidRPr="00645244">
        <w:rPr>
          <w:b/>
        </w:rPr>
        <w:t>ve</w:t>
      </w:r>
      <w:r w:rsidRPr="00645244">
        <w:rPr>
          <w:b/>
        </w:rPr>
        <w:t xml:space="preserve"> th</w:t>
      </w:r>
      <w:r w:rsidR="004B0358" w:rsidRPr="00645244">
        <w:rPr>
          <w:b/>
        </w:rPr>
        <w:t>e</w:t>
      </w:r>
      <w:r w:rsidR="00FE11F6" w:rsidRPr="00645244">
        <w:rPr>
          <w:b/>
        </w:rPr>
        <w:t>re been any adverse effects from the commercial release of the</w:t>
      </w:r>
      <w:r w:rsidRPr="00645244">
        <w:rPr>
          <w:b/>
        </w:rPr>
        <w:t xml:space="preserve"> GM </w:t>
      </w:r>
      <w:r w:rsidR="005D139E" w:rsidRPr="00645244">
        <w:rPr>
          <w:b/>
        </w:rPr>
        <w:t>canola</w:t>
      </w:r>
      <w:r w:rsidR="004B0358" w:rsidRPr="00645244">
        <w:rPr>
          <w:b/>
        </w:rPr>
        <w:t>?</w:t>
      </w:r>
    </w:p>
    <w:p w14:paraId="4D3D9975" w14:textId="571CD784" w:rsidR="007659AC" w:rsidRPr="00645244" w:rsidRDefault="00B838A7" w:rsidP="00CC41D6">
      <w:pPr>
        <w:spacing w:before="120" w:after="120"/>
      </w:pPr>
      <w:r w:rsidRPr="00645244">
        <w:t>MON-ØØØ73-7 canola has a history of safe use in Australia since the dealings were licensed for commercial release under DIR 020/2002 in 2003 and cultivation began in 2008</w:t>
      </w:r>
      <w:r w:rsidR="004B0358" w:rsidRPr="00645244">
        <w:t xml:space="preserve">. </w:t>
      </w:r>
      <w:r w:rsidR="00FE11F6" w:rsidRPr="00645244">
        <w:t xml:space="preserve">No adverse effects have been reported by the </w:t>
      </w:r>
      <w:r w:rsidR="00903A1A" w:rsidRPr="00645244">
        <w:t>licence holder</w:t>
      </w:r>
      <w:r w:rsidR="00FE11F6" w:rsidRPr="00645244">
        <w:t xml:space="preserve"> through their reporting requirements for DIR </w:t>
      </w:r>
      <w:r w:rsidRPr="00645244">
        <w:t>020/2002</w:t>
      </w:r>
      <w:r w:rsidR="009E0259" w:rsidRPr="00645244">
        <w:t>,</w:t>
      </w:r>
      <w:r w:rsidR="00FE11F6" w:rsidRPr="00645244">
        <w:t xml:space="preserve"> </w:t>
      </w:r>
      <w:r w:rsidR="00903A1A" w:rsidRPr="00645244">
        <w:t>or</w:t>
      </w:r>
      <w:r w:rsidR="00FE11F6" w:rsidRPr="00645244">
        <w:t xml:space="preserve"> </w:t>
      </w:r>
      <w:r w:rsidR="009E0259" w:rsidRPr="00645244">
        <w:t xml:space="preserve">by </w:t>
      </w:r>
      <w:r w:rsidR="00903A1A" w:rsidRPr="00645244">
        <w:t>other people in Australia</w:t>
      </w:r>
      <w:r w:rsidR="00FE11F6" w:rsidRPr="00645244">
        <w:t xml:space="preserve">. </w:t>
      </w:r>
      <w:r w:rsidRPr="00645244">
        <w:t>The GM canola has also been authorised for cultivation, or for import, processing and use as human food and animal feed, in many other countries for over two decades.</w:t>
      </w:r>
      <w:r w:rsidR="00CE03D7" w:rsidRPr="00645244">
        <w:t xml:space="preserve"> </w:t>
      </w:r>
      <w:r w:rsidR="00FE11F6" w:rsidRPr="00645244">
        <w:t xml:space="preserve">No adverse effects </w:t>
      </w:r>
      <w:r w:rsidR="007A35FA" w:rsidRPr="00645244">
        <w:t xml:space="preserve">from the </w:t>
      </w:r>
      <w:r w:rsidR="007A35FA" w:rsidRPr="006F74AF">
        <w:t>c</w:t>
      </w:r>
      <w:r w:rsidR="005F023B">
        <w:t>anola</w:t>
      </w:r>
      <w:r w:rsidR="007A35FA" w:rsidRPr="00645244">
        <w:t xml:space="preserve"> </w:t>
      </w:r>
      <w:r w:rsidR="00FE11F6" w:rsidRPr="00645244">
        <w:t xml:space="preserve">have been reported </w:t>
      </w:r>
      <w:r w:rsidR="007A35FA" w:rsidRPr="00645244">
        <w:t>in those countries</w:t>
      </w:r>
      <w:r w:rsidR="00FE11F6" w:rsidRPr="00645244">
        <w:t>.</w:t>
      </w:r>
    </w:p>
    <w:p w14:paraId="30750C16" w14:textId="23C2F832" w:rsidR="00FE11F6" w:rsidRPr="00645244" w:rsidRDefault="00FE11F6" w:rsidP="00CC41D6">
      <w:pPr>
        <w:spacing w:before="120" w:after="120"/>
        <w:rPr>
          <w:b/>
        </w:rPr>
      </w:pPr>
      <w:r w:rsidRPr="00645244">
        <w:rPr>
          <w:b/>
        </w:rPr>
        <w:t xml:space="preserve">Have the risks associated with the dealings with GM </w:t>
      </w:r>
      <w:r w:rsidR="005D139E" w:rsidRPr="00645244">
        <w:rPr>
          <w:b/>
        </w:rPr>
        <w:t>canola</w:t>
      </w:r>
      <w:r w:rsidRPr="00645244">
        <w:rPr>
          <w:b/>
        </w:rPr>
        <w:t xml:space="preserve"> been assessed?</w:t>
      </w:r>
    </w:p>
    <w:p w14:paraId="15A18825" w14:textId="566DFF9E" w:rsidR="00EC6BD7" w:rsidRPr="00645244" w:rsidRDefault="00EC6BD7" w:rsidP="00CC41D6">
      <w:pPr>
        <w:spacing w:before="120" w:after="120"/>
      </w:pPr>
      <w:r w:rsidRPr="00645244">
        <w:t xml:space="preserve">The risks were initially assessed for the application for licence DIR </w:t>
      </w:r>
      <w:r w:rsidR="005D139E" w:rsidRPr="00645244">
        <w:t>020/2002</w:t>
      </w:r>
      <w:r w:rsidRPr="00645244">
        <w:t xml:space="preserve">. </w:t>
      </w:r>
      <w:r w:rsidR="00D9798D">
        <w:t>As part of the consideration to</w:t>
      </w:r>
      <w:r w:rsidR="00FE11F6" w:rsidRPr="00645244">
        <w:t xml:space="preserve"> </w:t>
      </w:r>
      <w:r w:rsidR="00295A65" w:rsidRPr="00645244">
        <w:t>plac</w:t>
      </w:r>
      <w:r w:rsidR="00D9798D">
        <w:t>e</w:t>
      </w:r>
      <w:r w:rsidR="00295A65" w:rsidRPr="00645244">
        <w:t xml:space="preserve"> </w:t>
      </w:r>
      <w:r w:rsidR="00FE11F6" w:rsidRPr="00645244">
        <w:t xml:space="preserve">the dealings with GM </w:t>
      </w:r>
      <w:r w:rsidR="006E56F0" w:rsidRPr="00645244">
        <w:t>canola</w:t>
      </w:r>
      <w:r w:rsidR="00914E8C" w:rsidRPr="00645244">
        <w:t xml:space="preserve"> on the GMO Register,</w:t>
      </w:r>
      <w:r w:rsidR="009E0259" w:rsidRPr="00645244">
        <w:t xml:space="preserve"> a</w:t>
      </w:r>
      <w:r w:rsidR="00610D20" w:rsidRPr="00645244">
        <w:t>n updated</w:t>
      </w:r>
      <w:r w:rsidR="00DE7F48" w:rsidRPr="00645244">
        <w:t xml:space="preserve"> </w:t>
      </w:r>
      <w:r w:rsidR="0092437E" w:rsidRPr="00645244">
        <w:t>Risk Assessment and Risk Management Plan (RARMP)</w:t>
      </w:r>
      <w:r w:rsidR="00914E8C" w:rsidRPr="00645244">
        <w:t xml:space="preserve"> was prepared</w:t>
      </w:r>
      <w:r w:rsidR="007E076E" w:rsidRPr="00645244">
        <w:t>.</w:t>
      </w:r>
    </w:p>
    <w:p w14:paraId="422931C7" w14:textId="00D21ACA" w:rsidR="00350BCF" w:rsidRPr="00E419E2" w:rsidRDefault="009E0259" w:rsidP="00CC41D6">
      <w:pPr>
        <w:spacing w:before="120" w:after="120"/>
      </w:pPr>
      <w:r>
        <w:t>T</w:t>
      </w:r>
      <w:r w:rsidR="00914E8C">
        <w:t xml:space="preserve">he </w:t>
      </w:r>
      <w:r w:rsidR="00EC6BD7">
        <w:t xml:space="preserve">updated </w:t>
      </w:r>
      <w:r>
        <w:t xml:space="preserve">RARMP was open for </w:t>
      </w:r>
      <w:r w:rsidR="00EC6BD7">
        <w:t>comment from the public</w:t>
      </w:r>
      <w:r w:rsidR="00FA2046">
        <w:t>, from industry and experts,</w:t>
      </w:r>
      <w:r w:rsidR="00EC6BD7">
        <w:t xml:space="preserve"> and</w:t>
      </w:r>
      <w:r>
        <w:t xml:space="preserve"> from Federal, State and Territory</w:t>
      </w:r>
      <w:r w:rsidR="001350FD">
        <w:t>,</w:t>
      </w:r>
      <w:r>
        <w:t xml:space="preserve"> and local governments and agencies.</w:t>
      </w:r>
      <w:r w:rsidRPr="00E419E2">
        <w:t xml:space="preserve"> </w:t>
      </w:r>
      <w:r w:rsidR="001D6608">
        <w:t>N</w:t>
      </w:r>
      <w:r w:rsidR="00914E8C" w:rsidRPr="00E419E2">
        <w:t xml:space="preserve">o information was received during consultation that indicated any </w:t>
      </w:r>
      <w:r w:rsidR="00173E64">
        <w:t xml:space="preserve">new risks or any </w:t>
      </w:r>
      <w:r w:rsidR="00914E8C" w:rsidRPr="00E419E2">
        <w:t>risk estimates greater than negligible</w:t>
      </w:r>
      <w:r w:rsidR="00E273FE" w:rsidRPr="00E419E2">
        <w:t xml:space="preserve">. </w:t>
      </w:r>
      <w:r w:rsidR="00747981">
        <w:t xml:space="preserve">The RARMP concluded that there is </w:t>
      </w:r>
      <w:r w:rsidR="007A35FA">
        <w:t>minimal</w:t>
      </w:r>
      <w:r w:rsidR="00747981">
        <w:t xml:space="preserve"> risk to </w:t>
      </w:r>
      <w:r w:rsidR="00610D20">
        <w:t>the health and safety of people</w:t>
      </w:r>
      <w:r w:rsidR="00747981">
        <w:t xml:space="preserve"> </w:t>
      </w:r>
      <w:r w:rsidR="00610D20">
        <w:t>and</w:t>
      </w:r>
      <w:r w:rsidR="00747981">
        <w:t xml:space="preserve"> the environment, from dealings with the GM </w:t>
      </w:r>
      <w:r w:rsidR="005F023B">
        <w:t>canola</w:t>
      </w:r>
      <w:r w:rsidR="00747981" w:rsidRPr="006F74AF">
        <w:t>.</w:t>
      </w:r>
      <w:r w:rsidR="00747981">
        <w:t xml:space="preserve"> </w:t>
      </w:r>
    </w:p>
    <w:p w14:paraId="5F44236C" w14:textId="00A9D0E8" w:rsidR="006F175C" w:rsidRPr="00CC41D6" w:rsidRDefault="00E273FE" w:rsidP="00CC41D6">
      <w:pPr>
        <w:spacing w:before="120" w:after="120"/>
        <w:rPr>
          <w:b/>
        </w:rPr>
      </w:pPr>
      <w:r w:rsidRPr="00CC41D6">
        <w:rPr>
          <w:b/>
        </w:rPr>
        <w:t>What are the next steps in including dealings on the GMO Register?</w:t>
      </w:r>
    </w:p>
    <w:p w14:paraId="5CF72909" w14:textId="72144A60" w:rsidR="00BF7104" w:rsidRDefault="00173E64" w:rsidP="00610D20">
      <w:pPr>
        <w:spacing w:before="120" w:after="120"/>
      </w:pPr>
      <w:r>
        <w:t xml:space="preserve">The Regulator </w:t>
      </w:r>
      <w:r w:rsidR="002E2E81">
        <w:t xml:space="preserve">has </w:t>
      </w:r>
      <w:proofErr w:type="gramStart"/>
      <w:r>
        <w:t>made a decision</w:t>
      </w:r>
      <w:proofErr w:type="gramEnd"/>
      <w:r>
        <w:t xml:space="preserve"> </w:t>
      </w:r>
      <w:r w:rsidR="001D6608">
        <w:t xml:space="preserve">– a determination – </w:t>
      </w:r>
      <w:r>
        <w:t xml:space="preserve">under the </w:t>
      </w:r>
      <w:r w:rsidRPr="00205E66">
        <w:rPr>
          <w:i/>
        </w:rPr>
        <w:t xml:space="preserve">Gene </w:t>
      </w:r>
      <w:r>
        <w:rPr>
          <w:i/>
        </w:rPr>
        <w:t>T</w:t>
      </w:r>
      <w:r w:rsidRPr="00205E66">
        <w:rPr>
          <w:i/>
        </w:rPr>
        <w:t>echnology Act 2000</w:t>
      </w:r>
      <w:r w:rsidR="001D6608">
        <w:rPr>
          <w:i/>
        </w:rPr>
        <w:t xml:space="preserve"> </w:t>
      </w:r>
      <w:r w:rsidR="001D6608" w:rsidRPr="0076088F">
        <w:rPr>
          <w:iCs/>
        </w:rPr>
        <w:t>(the Act)</w:t>
      </w:r>
      <w:r>
        <w:rPr>
          <w:i/>
        </w:rPr>
        <w:t xml:space="preserve"> </w:t>
      </w:r>
      <w:r>
        <w:t>to include the</w:t>
      </w:r>
      <w:r w:rsidR="00914E8C">
        <w:t xml:space="preserve"> dealings </w:t>
      </w:r>
      <w:r w:rsidR="002E2E81">
        <w:t xml:space="preserve">with GM </w:t>
      </w:r>
      <w:r w:rsidR="00D231DB" w:rsidRPr="00645244">
        <w:t>canola</w:t>
      </w:r>
      <w:r w:rsidR="00A24CCA" w:rsidRPr="00D231DB">
        <w:rPr>
          <w:color w:val="0000FF"/>
        </w:rPr>
        <w:t xml:space="preserve"> </w:t>
      </w:r>
      <w:r w:rsidR="00E273FE">
        <w:t>on the GMO Register</w:t>
      </w:r>
      <w:r w:rsidR="00BF7104">
        <w:t>. The determination come</w:t>
      </w:r>
      <w:r w:rsidR="00296B2B">
        <w:t>s</w:t>
      </w:r>
      <w:r w:rsidR="00BF7104">
        <w:t xml:space="preserve"> into effect </w:t>
      </w:r>
      <w:r w:rsidR="006441B4">
        <w:t xml:space="preserve">on </w:t>
      </w:r>
      <w:r w:rsidR="005146CE" w:rsidRPr="005146CE">
        <w:t xml:space="preserve">20 </w:t>
      </w:r>
      <w:r w:rsidR="006441B4" w:rsidRPr="005146CE">
        <w:t>August 2024</w:t>
      </w:r>
      <w:r w:rsidR="00BF7104">
        <w:t xml:space="preserve">. </w:t>
      </w:r>
      <w:r w:rsidR="002E2E81" w:rsidRPr="002E2E81">
        <w:t xml:space="preserve">Once the determination commences, it will not be necessary for people conducting the dealings with </w:t>
      </w:r>
      <w:r w:rsidR="002E2E81" w:rsidRPr="00645244">
        <w:t xml:space="preserve">the </w:t>
      </w:r>
      <w:r w:rsidR="002E2E81" w:rsidRPr="002E2E81">
        <w:t xml:space="preserve">GM </w:t>
      </w:r>
      <w:r w:rsidR="00D231DB" w:rsidRPr="00645244">
        <w:t>canola</w:t>
      </w:r>
      <w:r w:rsidR="002E2E81" w:rsidRPr="00645244">
        <w:t xml:space="preserve"> </w:t>
      </w:r>
      <w:r w:rsidR="002E2E81" w:rsidRPr="002E2E81">
        <w:t>to hold or be covered by a licence</w:t>
      </w:r>
      <w:r w:rsidR="00467FC7">
        <w:t xml:space="preserve"> under the </w:t>
      </w:r>
      <w:r w:rsidR="008E7285" w:rsidRPr="00A84339">
        <w:rPr>
          <w:iCs/>
        </w:rPr>
        <w:t>Act</w:t>
      </w:r>
      <w:r w:rsidR="002E2E81" w:rsidRPr="002E2E81">
        <w:t>.</w:t>
      </w:r>
    </w:p>
    <w:p w14:paraId="5B7B2C76" w14:textId="517397E7" w:rsidR="001D6608" w:rsidRPr="000243F0" w:rsidRDefault="001D6608" w:rsidP="001D6608">
      <w:pPr>
        <w:spacing w:before="120" w:after="120"/>
        <w:rPr>
          <w:b/>
        </w:rPr>
      </w:pPr>
      <w:r w:rsidRPr="000243F0">
        <w:rPr>
          <w:b/>
        </w:rPr>
        <w:t xml:space="preserve">What </w:t>
      </w:r>
      <w:r>
        <w:rPr>
          <w:b/>
        </w:rPr>
        <w:t xml:space="preserve">will change </w:t>
      </w:r>
      <w:r w:rsidR="00D62411">
        <w:rPr>
          <w:b/>
        </w:rPr>
        <w:t>now that</w:t>
      </w:r>
      <w:r>
        <w:rPr>
          <w:b/>
        </w:rPr>
        <w:t xml:space="preserve"> </w:t>
      </w:r>
      <w:r w:rsidRPr="000243F0">
        <w:rPr>
          <w:b/>
        </w:rPr>
        <w:t xml:space="preserve">the dealings </w:t>
      </w:r>
      <w:r>
        <w:rPr>
          <w:b/>
        </w:rPr>
        <w:t>are</w:t>
      </w:r>
      <w:r w:rsidRPr="000243F0">
        <w:rPr>
          <w:b/>
        </w:rPr>
        <w:t xml:space="preserve"> included on the GMO Register?</w:t>
      </w:r>
    </w:p>
    <w:p w14:paraId="1F657FEA" w14:textId="4C96207F" w:rsidR="001D6608" w:rsidRDefault="001D6608" w:rsidP="001D6608">
      <w:pPr>
        <w:pStyle w:val="Arrow"/>
        <w:numPr>
          <w:ilvl w:val="0"/>
          <w:numId w:val="0"/>
        </w:numPr>
        <w:spacing w:before="120" w:after="120"/>
        <w:rPr>
          <w:color w:val="313131"/>
        </w:rPr>
      </w:pPr>
      <w:r>
        <w:t>Including</w:t>
      </w:r>
      <w:r w:rsidRPr="00DE7289">
        <w:t xml:space="preserve"> dealings with the GM canola on the GMO Register </w:t>
      </w:r>
      <w:r>
        <w:t xml:space="preserve">should </w:t>
      </w:r>
      <w:r w:rsidRPr="00DE7289">
        <w:t xml:space="preserve">not change how the GM canola </w:t>
      </w:r>
      <w:r>
        <w:t xml:space="preserve">is </w:t>
      </w:r>
      <w:r w:rsidRPr="00602A80">
        <w:t xml:space="preserve">grown or managed in the agricultural setting or how the market </w:t>
      </w:r>
      <w:r w:rsidRPr="00DE7289">
        <w:t>operate</w:t>
      </w:r>
      <w:r>
        <w:t>s</w:t>
      </w:r>
      <w:r w:rsidRPr="00DE7289">
        <w:t xml:space="preserve"> in respect to this GM canola.</w:t>
      </w:r>
      <w:r>
        <w:rPr>
          <w:color w:val="313131"/>
        </w:rPr>
        <w:t xml:space="preserve"> </w:t>
      </w:r>
    </w:p>
    <w:p w14:paraId="13E8EDB5" w14:textId="77777777" w:rsidR="001D6608" w:rsidRPr="00DE7289" w:rsidRDefault="001D6608" w:rsidP="001D6608">
      <w:pPr>
        <w:pStyle w:val="Arrow"/>
        <w:numPr>
          <w:ilvl w:val="0"/>
          <w:numId w:val="0"/>
        </w:numPr>
        <w:spacing w:before="120" w:after="120"/>
      </w:pPr>
      <w:r w:rsidRPr="00DE7289">
        <w:t xml:space="preserve">Issues such as stewardship for commercial GM crops are outside the remit of the Regulator, but there is an expectation – as with any </w:t>
      </w:r>
      <w:r w:rsidRPr="00CA3B1B">
        <w:t>GM</w:t>
      </w:r>
      <w:r>
        <w:t xml:space="preserve"> crop authorised for commercial cultivation</w:t>
      </w:r>
      <w:r w:rsidRPr="00CA3B1B">
        <w:t xml:space="preserve"> </w:t>
      </w:r>
      <w:r w:rsidRPr="00DE7289">
        <w:t xml:space="preserve">– that industry best practices, including those related to stewardship for GM crops, are adhered to for any dealings with a GMO listed on the </w:t>
      </w:r>
      <w:r w:rsidRPr="00CA3B1B">
        <w:t xml:space="preserve">GMO Register. </w:t>
      </w:r>
    </w:p>
    <w:p w14:paraId="69F3E6FC" w14:textId="77777777" w:rsidR="001D6608" w:rsidRPr="00072A48" w:rsidRDefault="001D6608" w:rsidP="001D6608">
      <w:pPr>
        <w:pStyle w:val="Arrow"/>
        <w:numPr>
          <w:ilvl w:val="0"/>
          <w:numId w:val="0"/>
        </w:numPr>
        <w:spacing w:before="120" w:after="120"/>
      </w:pPr>
      <w:r w:rsidRPr="00072A48">
        <w:t>Commercial agreements between seed suppliers and growers for a GM</w:t>
      </w:r>
      <w:r>
        <w:t xml:space="preserve"> plant</w:t>
      </w:r>
      <w:r w:rsidRPr="00072A48">
        <w:t xml:space="preserve"> </w:t>
      </w:r>
      <w:r>
        <w:t>that is on</w:t>
      </w:r>
      <w:r w:rsidRPr="00072A48">
        <w:t xml:space="preserve"> the GMO Register can be put in place</w:t>
      </w:r>
      <w:r>
        <w:t xml:space="preserve"> in a</w:t>
      </w:r>
      <w:r w:rsidRPr="00072A48">
        <w:t xml:space="preserve"> similar </w:t>
      </w:r>
      <w:r>
        <w:t xml:space="preserve">way </w:t>
      </w:r>
      <w:r w:rsidRPr="00072A48">
        <w:t>to those in place for GM</w:t>
      </w:r>
      <w:r>
        <w:t xml:space="preserve"> plants</w:t>
      </w:r>
      <w:r w:rsidRPr="00072A48">
        <w:t xml:space="preserve"> currently authorised under a commercial licence issued by the Regulator.</w:t>
      </w:r>
    </w:p>
    <w:p w14:paraId="4CF12E28" w14:textId="1C8BF2E7" w:rsidR="001D6608" w:rsidRPr="00DE7289" w:rsidRDefault="001D6608" w:rsidP="001D6608">
      <w:pPr>
        <w:pStyle w:val="Arrow"/>
        <w:numPr>
          <w:ilvl w:val="0"/>
          <w:numId w:val="0"/>
        </w:numPr>
        <w:spacing w:before="120" w:after="120"/>
      </w:pPr>
      <w:r w:rsidRPr="00CA3B1B">
        <w:lastRenderedPageBreak/>
        <w:t>Trade and market issues are outside the scope of the Act</w:t>
      </w:r>
      <w:r>
        <w:t>.</w:t>
      </w:r>
      <w:r w:rsidRPr="00CA3B1B">
        <w:t xml:space="preserve"> </w:t>
      </w:r>
      <w:r>
        <w:t>These</w:t>
      </w:r>
      <w:r w:rsidRPr="00CA3B1B">
        <w:t xml:space="preserve"> </w:t>
      </w:r>
      <w:r w:rsidRPr="00DE7289">
        <w:t xml:space="preserve">issues, including segregation of crops and moratoria on GMOs for </w:t>
      </w:r>
      <w:r w:rsidR="00D9798D">
        <w:t xml:space="preserve">trade and </w:t>
      </w:r>
      <w:r w:rsidRPr="00DE7289">
        <w:t xml:space="preserve">marketing purposes are the remit of </w:t>
      </w:r>
      <w:r>
        <w:t xml:space="preserve">industry bodies and </w:t>
      </w:r>
      <w:r w:rsidRPr="00DE7289">
        <w:t>the States and Territories.</w:t>
      </w:r>
    </w:p>
    <w:p w14:paraId="5B84A1DA" w14:textId="5C86AE06" w:rsidR="001D6608" w:rsidRPr="00DE7289" w:rsidRDefault="00D62411" w:rsidP="001D6608">
      <w:pPr>
        <w:pStyle w:val="Arrow"/>
        <w:numPr>
          <w:ilvl w:val="0"/>
          <w:numId w:val="0"/>
        </w:numPr>
        <w:spacing w:before="120" w:after="120"/>
      </w:pPr>
      <w:r>
        <w:t xml:space="preserve">The </w:t>
      </w:r>
      <w:r w:rsidR="001D6608" w:rsidRPr="00DE7289">
        <w:t xml:space="preserve">determination to include </w:t>
      </w:r>
      <w:r w:rsidR="001D6608">
        <w:t xml:space="preserve">the </w:t>
      </w:r>
      <w:r w:rsidR="001D6608" w:rsidRPr="00DE7289">
        <w:t xml:space="preserve">dealings </w:t>
      </w:r>
      <w:r>
        <w:t xml:space="preserve">with the GM canola </w:t>
      </w:r>
      <w:r w:rsidR="001D6608" w:rsidRPr="00DE7289">
        <w:t>on the Register</w:t>
      </w:r>
      <w:r>
        <w:t xml:space="preserve"> has </w:t>
      </w:r>
      <w:r w:rsidR="001D6608">
        <w:t>the</w:t>
      </w:r>
      <w:r w:rsidR="001D6608" w:rsidRPr="00DE7289">
        <w:t xml:space="preserve"> OGTR identifier </w:t>
      </w:r>
      <w:r w:rsidR="001D6608" w:rsidRPr="00CA3B1B">
        <w:t>Reg</w:t>
      </w:r>
      <w:r w:rsidR="00F61225">
        <w:t>ister</w:t>
      </w:r>
      <w:r w:rsidR="00F61225">
        <w:noBreakHyphen/>
      </w:r>
      <w:r w:rsidR="001D6608" w:rsidRPr="00CA3B1B">
        <w:t>003</w:t>
      </w:r>
      <w:r w:rsidR="001D6608" w:rsidRPr="00DE7289">
        <w:t xml:space="preserve">. This identifier </w:t>
      </w:r>
      <w:r w:rsidR="001D6608">
        <w:t>can</w:t>
      </w:r>
      <w:r w:rsidR="001D6608" w:rsidRPr="00DE7289">
        <w:t xml:space="preserve"> be quoted as evidence that dealings with the GM</w:t>
      </w:r>
      <w:r>
        <w:t xml:space="preserve"> canola</w:t>
      </w:r>
      <w:r w:rsidR="001D6608" w:rsidRPr="00DE7289">
        <w:t xml:space="preserve"> are currently authorised in Australia. For example, the GMO </w:t>
      </w:r>
      <w:r w:rsidR="001D6608">
        <w:t>R</w:t>
      </w:r>
      <w:r w:rsidR="001D6608" w:rsidRPr="00CA3B1B">
        <w:t xml:space="preserve">egister identifier </w:t>
      </w:r>
      <w:r w:rsidR="001D6608">
        <w:t>can be used for</w:t>
      </w:r>
      <w:r w:rsidR="001D6608" w:rsidRPr="00CA3B1B">
        <w:t xml:space="preserve"> documentation required by other countries</w:t>
      </w:r>
      <w:r w:rsidR="001D6608" w:rsidRPr="00DE7289">
        <w:t xml:space="preserve"> </w:t>
      </w:r>
      <w:r w:rsidR="001D6608">
        <w:t>relating to</w:t>
      </w:r>
      <w:r w:rsidR="001D6608" w:rsidRPr="00CA3B1B">
        <w:t xml:space="preserve"> </w:t>
      </w:r>
      <w:r w:rsidR="001D6608" w:rsidRPr="00DE7289">
        <w:t xml:space="preserve">exporting the GMO from Australia. Likewise, this identifier </w:t>
      </w:r>
      <w:r w:rsidR="001D6608">
        <w:t>can</w:t>
      </w:r>
      <w:r w:rsidR="001D6608" w:rsidRPr="00DE7289">
        <w:t xml:space="preserve"> be used for documentation for import into Australia.</w:t>
      </w:r>
    </w:p>
    <w:p w14:paraId="0A420290" w14:textId="27BEA368" w:rsidR="001D6608" w:rsidRPr="000243F0" w:rsidRDefault="00D9798D" w:rsidP="001D6608">
      <w:pPr>
        <w:spacing w:before="120" w:after="120"/>
        <w:rPr>
          <w:b/>
        </w:rPr>
      </w:pPr>
      <w:r>
        <w:rPr>
          <w:b/>
        </w:rPr>
        <w:t>Does</w:t>
      </w:r>
      <w:r w:rsidR="001D6608" w:rsidRPr="000243F0">
        <w:rPr>
          <w:b/>
        </w:rPr>
        <w:t xml:space="preserve"> anyone else regulate the GM</w:t>
      </w:r>
      <w:r w:rsidR="001D6608">
        <w:rPr>
          <w:b/>
        </w:rPr>
        <w:t xml:space="preserve"> canola on the GMO Register</w:t>
      </w:r>
      <w:r w:rsidR="001D6608" w:rsidRPr="000243F0">
        <w:rPr>
          <w:b/>
        </w:rPr>
        <w:t>?</w:t>
      </w:r>
    </w:p>
    <w:p w14:paraId="53985C24" w14:textId="3D07C286" w:rsidR="008E7285" w:rsidRDefault="001D6608" w:rsidP="001D6608">
      <w:pPr>
        <w:spacing w:before="120" w:after="120"/>
      </w:pPr>
      <w:r>
        <w:t>Other</w:t>
      </w:r>
      <w:r w:rsidRPr="00DE7289">
        <w:t xml:space="preserve"> regulatory requirements </w:t>
      </w:r>
      <w:r>
        <w:t>still apply to the GM canola</w:t>
      </w:r>
      <w:r w:rsidRPr="00CA3B1B">
        <w:t>. For example, the Australian Pesticides and Veterinary Medicines Authority (APVMA) regulate</w:t>
      </w:r>
      <w:r w:rsidR="00D9798D">
        <w:t>s</w:t>
      </w:r>
      <w:r w:rsidRPr="00CA3B1B">
        <w:t xml:space="preserve"> </w:t>
      </w:r>
      <w:r>
        <w:t>the</w:t>
      </w:r>
      <w:r w:rsidRPr="00CA3B1B">
        <w:t xml:space="preserve"> application of </w:t>
      </w:r>
      <w:r>
        <w:t>glyphosate</w:t>
      </w:r>
      <w:r w:rsidRPr="00CA3B1B">
        <w:t xml:space="preserve"> </w:t>
      </w:r>
      <w:r>
        <w:t>on</w:t>
      </w:r>
      <w:r w:rsidRPr="00CA3B1B">
        <w:t xml:space="preserve"> </w:t>
      </w:r>
      <w:r>
        <w:t xml:space="preserve">the </w:t>
      </w:r>
      <w:r w:rsidRPr="00CA3B1B">
        <w:t xml:space="preserve">GM </w:t>
      </w:r>
      <w:r>
        <w:t>canola</w:t>
      </w:r>
      <w:r w:rsidRPr="00CA3B1B">
        <w:t>, IP Australia manage</w:t>
      </w:r>
      <w:r w:rsidR="00D9798D">
        <w:t>s</w:t>
      </w:r>
      <w:r w:rsidRPr="00CA3B1B">
        <w:t xml:space="preserve"> requirements for </w:t>
      </w:r>
      <w:r>
        <w:t xml:space="preserve">any </w:t>
      </w:r>
      <w:r w:rsidRPr="00CA3B1B">
        <w:t>Plant Breeders Rights and patents, the Department of Agriculture Fisheries and Forestry (DAFF) regulate</w:t>
      </w:r>
      <w:r w:rsidR="00D9798D">
        <w:t>s</w:t>
      </w:r>
      <w:r w:rsidRPr="00CA3B1B">
        <w:t xml:space="preserve"> biosecurity requirements related to import of </w:t>
      </w:r>
      <w:r>
        <w:t>the GM canola</w:t>
      </w:r>
      <w:r w:rsidRPr="00CA3B1B">
        <w:t xml:space="preserve">, and Food Standards Australia New Zealand (FSANZ) </w:t>
      </w:r>
      <w:r w:rsidR="00D9798D">
        <w:t>have approved</w:t>
      </w:r>
      <w:r w:rsidRPr="00CA3B1B">
        <w:t xml:space="preserve"> </w:t>
      </w:r>
      <w:r w:rsidR="00D9798D">
        <w:t>the</w:t>
      </w:r>
      <w:r w:rsidRPr="00CA3B1B">
        <w:t xml:space="preserve"> sale of food derived from </w:t>
      </w:r>
      <w:r>
        <w:t>the GM canola</w:t>
      </w:r>
      <w:r w:rsidRPr="00CA3B1B">
        <w:t xml:space="preserve">. Anyone conducting dealings with the </w:t>
      </w:r>
      <w:r>
        <w:t>GM canola</w:t>
      </w:r>
      <w:r w:rsidRPr="00CA3B1B">
        <w:t xml:space="preserve"> must understand and comply with any requirements by other agencies or authorities</w:t>
      </w:r>
      <w:r w:rsidRPr="00DE7289">
        <w:t>.</w:t>
      </w:r>
    </w:p>
    <w:p w14:paraId="062C9CA0" w14:textId="322BC103" w:rsidR="00CC41D6" w:rsidRPr="00CC41D6" w:rsidRDefault="00CC41D6" w:rsidP="001D6608">
      <w:pPr>
        <w:spacing w:before="120" w:after="120"/>
        <w:rPr>
          <w:b/>
        </w:rPr>
      </w:pPr>
      <w:r w:rsidRPr="00CC41D6">
        <w:rPr>
          <w:b/>
        </w:rPr>
        <w:t>Where can I find</w:t>
      </w:r>
      <w:r w:rsidR="001350FD">
        <w:rPr>
          <w:b/>
        </w:rPr>
        <w:t xml:space="preserve"> more</w:t>
      </w:r>
      <w:r w:rsidRPr="00CC41D6">
        <w:rPr>
          <w:b/>
        </w:rPr>
        <w:t xml:space="preserve"> information?</w:t>
      </w:r>
    </w:p>
    <w:p w14:paraId="3C44815A" w14:textId="3B9C3C9B" w:rsidR="00CC41D6" w:rsidRPr="00645244" w:rsidRDefault="00CC41D6" w:rsidP="00CC41D6">
      <w:pPr>
        <w:spacing w:before="120" w:after="120"/>
      </w:pPr>
      <w:r w:rsidRPr="00CC41D6">
        <w:t xml:space="preserve">The final RARMP for </w:t>
      </w:r>
      <w:r w:rsidR="00467FC7">
        <w:t>Register</w:t>
      </w:r>
      <w:r w:rsidRPr="00645244">
        <w:t>-</w:t>
      </w:r>
      <w:r w:rsidR="00090596" w:rsidRPr="00645244">
        <w:t>003</w:t>
      </w:r>
      <w:r w:rsidR="00590211" w:rsidRPr="00645244">
        <w:t xml:space="preserve"> and</w:t>
      </w:r>
      <w:r w:rsidRPr="00645244">
        <w:t xml:space="preserve"> a copy of the determination can be found on the </w:t>
      </w:r>
      <w:hyperlink r:id="rId10" w:history="1">
        <w:r w:rsidRPr="00645244">
          <w:rPr>
            <w:rStyle w:val="Hyperlink"/>
            <w:color w:val="auto"/>
          </w:rPr>
          <w:t>OGTR website</w:t>
        </w:r>
      </w:hyperlink>
      <w:r w:rsidRPr="00645244">
        <w:t xml:space="preserve"> under </w:t>
      </w:r>
      <w:hyperlink r:id="rId11" w:history="1">
        <w:r w:rsidRPr="00645244">
          <w:rPr>
            <w:rStyle w:val="Hyperlink"/>
            <w:color w:val="auto"/>
            <w:u w:val="none"/>
          </w:rPr>
          <w:t>New</w:t>
        </w:r>
      </w:hyperlink>
      <w:r w:rsidR="004366F2" w:rsidRPr="00645244">
        <w:rPr>
          <w:rStyle w:val="Hyperlink"/>
          <w:color w:val="auto"/>
          <w:u w:val="none"/>
        </w:rPr>
        <w:t>s</w:t>
      </w:r>
      <w:r w:rsidRPr="00645244">
        <w:t xml:space="preserve">. </w:t>
      </w:r>
    </w:p>
    <w:p w14:paraId="7DE90C4F" w14:textId="79BC080E" w:rsidR="006F175C" w:rsidRPr="00CC41D6" w:rsidRDefault="006F175C" w:rsidP="00CC41D6">
      <w:pPr>
        <w:spacing w:before="360"/>
        <w:jc w:val="center"/>
        <w:rPr>
          <w:b/>
        </w:rPr>
      </w:pPr>
      <w:r w:rsidRPr="00CC41D6">
        <w:rPr>
          <w:b/>
        </w:rPr>
        <w:t>The Office of the Gene Technology Regulator</w:t>
      </w:r>
    </w:p>
    <w:p w14:paraId="3D8E02F0" w14:textId="56D628DC" w:rsidR="00C553EF" w:rsidRPr="00CC41D6" w:rsidRDefault="00CD43F0" w:rsidP="00CC41D6">
      <w:pPr>
        <w:spacing w:before="0"/>
        <w:jc w:val="center"/>
        <w:rPr>
          <w:rStyle w:val="Hyperlink"/>
          <w:rFonts w:asciiTheme="minorHAnsi" w:hAnsiTheme="minorHAnsi"/>
          <w:b/>
          <w:color w:val="auto"/>
          <w:szCs w:val="24"/>
        </w:rPr>
      </w:pPr>
      <w:r w:rsidRPr="00CC41D6">
        <w:rPr>
          <w:b/>
        </w:rPr>
        <w:fldChar w:fldCharType="begin"/>
      </w:r>
      <w:r w:rsidRPr="00CC41D6">
        <w:rPr>
          <w:b/>
        </w:rPr>
        <w:instrText xml:space="preserve"> HYPERLINK "http://www.ogtr.gov.au/" </w:instrText>
      </w:r>
      <w:r w:rsidRPr="00CC41D6">
        <w:rPr>
          <w:b/>
        </w:rPr>
      </w:r>
      <w:r w:rsidRPr="00CC41D6">
        <w:rPr>
          <w:b/>
        </w:rPr>
        <w:fldChar w:fldCharType="separate"/>
      </w:r>
      <w:r w:rsidR="008F4DA5">
        <w:rPr>
          <w:rStyle w:val="Hyperlink"/>
          <w:rFonts w:asciiTheme="minorHAnsi" w:hAnsiTheme="minorHAnsi"/>
          <w:b/>
          <w:color w:val="auto"/>
        </w:rPr>
        <w:t>OGTR Website</w:t>
      </w:r>
    </w:p>
    <w:p w14:paraId="708A2D34" w14:textId="388C2DC3" w:rsidR="006F175C" w:rsidRPr="00CC41D6" w:rsidRDefault="00CD43F0" w:rsidP="00CC41D6">
      <w:pPr>
        <w:spacing w:before="0"/>
        <w:jc w:val="center"/>
        <w:rPr>
          <w:rFonts w:asciiTheme="minorHAnsi" w:hAnsiTheme="minorHAnsi"/>
          <w:b/>
          <w:szCs w:val="24"/>
          <w:lang w:val="de-AT"/>
        </w:rPr>
      </w:pPr>
      <w:r w:rsidRPr="00CC41D6">
        <w:rPr>
          <w:rFonts w:asciiTheme="minorHAnsi" w:hAnsiTheme="minorHAnsi"/>
          <w:b/>
        </w:rPr>
        <w:fldChar w:fldCharType="end"/>
      </w:r>
      <w:r w:rsidR="006F175C" w:rsidRPr="00CC41D6">
        <w:rPr>
          <w:rFonts w:asciiTheme="minorHAnsi" w:hAnsiTheme="minorHAnsi"/>
          <w:b/>
          <w:szCs w:val="24"/>
          <w:lang w:val="de-AT"/>
        </w:rPr>
        <w:t>Tel: 1800 181 030</w:t>
      </w:r>
      <w:r w:rsidR="006F175C" w:rsidRPr="00CC41D6">
        <w:rPr>
          <w:rFonts w:asciiTheme="minorHAnsi" w:hAnsiTheme="minorHAnsi"/>
          <w:b/>
          <w:szCs w:val="24"/>
          <w:lang w:val="de-AT"/>
        </w:rPr>
        <w:tab/>
        <w:t>E-mail</w:t>
      </w:r>
      <w:r w:rsidR="006F175C" w:rsidRPr="007A35FA">
        <w:rPr>
          <w:rFonts w:asciiTheme="minorHAnsi" w:hAnsiTheme="minorHAnsi"/>
          <w:b/>
          <w:szCs w:val="24"/>
          <w:lang w:val="de-AT"/>
        </w:rPr>
        <w:t xml:space="preserve">: </w:t>
      </w:r>
      <w:hyperlink r:id="rId12" w:history="1">
        <w:r w:rsidR="00D57C15" w:rsidRPr="007A35FA">
          <w:rPr>
            <w:rStyle w:val="Hyperlink"/>
            <w:b/>
            <w:color w:val="auto"/>
          </w:rPr>
          <w:t>ogtr</w:t>
        </w:r>
        <w:bookmarkStart w:id="2" w:name="_Hlt531691726"/>
        <w:r w:rsidR="00D57C15" w:rsidRPr="007A35FA">
          <w:rPr>
            <w:rStyle w:val="Hyperlink"/>
            <w:b/>
            <w:color w:val="auto"/>
          </w:rPr>
          <w:t>@</w:t>
        </w:r>
        <w:bookmarkEnd w:id="2"/>
        <w:r w:rsidR="00D57C15" w:rsidRPr="007A35FA">
          <w:rPr>
            <w:rStyle w:val="Hyperlink"/>
            <w:b/>
            <w:color w:val="auto"/>
          </w:rPr>
          <w:t>health.gov.au</w:t>
        </w:r>
      </w:hyperlink>
    </w:p>
    <w:sectPr w:rsidR="006F175C" w:rsidRPr="00CC41D6" w:rsidSect="00FA0FA1">
      <w:footerReference w:type="even" r:id="rId13"/>
      <w:footerReference w:type="default" r:id="rId14"/>
      <w:headerReference w:type="first" r:id="rId15"/>
      <w:pgSz w:w="11906" w:h="16838" w:code="9"/>
      <w:pgMar w:top="851" w:right="907" w:bottom="567" w:left="907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D421" w14:textId="77777777" w:rsidR="00DC4831" w:rsidRDefault="00DC4831" w:rsidP="00CC41D6">
      <w:r>
        <w:separator/>
      </w:r>
    </w:p>
    <w:p w14:paraId="6CF5C616" w14:textId="77777777" w:rsidR="00DC4831" w:rsidRDefault="00DC4831" w:rsidP="00CC41D6"/>
  </w:endnote>
  <w:endnote w:type="continuationSeparator" w:id="0">
    <w:p w14:paraId="10AE788B" w14:textId="77777777" w:rsidR="00DC4831" w:rsidRDefault="00DC4831" w:rsidP="00CC41D6">
      <w:r>
        <w:continuationSeparator/>
      </w:r>
    </w:p>
    <w:p w14:paraId="10533062" w14:textId="77777777" w:rsidR="00DC4831" w:rsidRDefault="00DC4831" w:rsidP="00CC4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4622" w14:textId="4A3584C1" w:rsidR="00255F87" w:rsidRDefault="006F175C" w:rsidP="00CC41D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4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944598" w14:textId="77777777" w:rsidR="00255F87" w:rsidRDefault="00255F87" w:rsidP="00CC41D6">
    <w:pPr>
      <w:pStyle w:val="Footer"/>
    </w:pPr>
  </w:p>
  <w:p w14:paraId="7130C716" w14:textId="77777777" w:rsidR="006243FE" w:rsidRDefault="006243FE" w:rsidP="00CC41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692A" w14:textId="0FFFF7D8" w:rsidR="00255F87" w:rsidRDefault="006F175C" w:rsidP="00B511E9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5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C92C93" w14:textId="78FB789A" w:rsidR="00255F87" w:rsidRDefault="006F175C" w:rsidP="00CC41D6">
    <w:pPr>
      <w:pStyle w:val="Footer"/>
    </w:pPr>
    <w:r>
      <w:tab/>
    </w:r>
  </w:p>
  <w:p w14:paraId="2B8FB209" w14:textId="77777777" w:rsidR="006243FE" w:rsidRDefault="006243FE" w:rsidP="00CC41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290B" w14:textId="77777777" w:rsidR="00DC4831" w:rsidRDefault="00DC4831" w:rsidP="00CC41D6">
      <w:r>
        <w:separator/>
      </w:r>
    </w:p>
    <w:p w14:paraId="152D673C" w14:textId="77777777" w:rsidR="00DC4831" w:rsidRDefault="00DC4831" w:rsidP="00CC41D6"/>
  </w:footnote>
  <w:footnote w:type="continuationSeparator" w:id="0">
    <w:p w14:paraId="2C61F366" w14:textId="77777777" w:rsidR="00DC4831" w:rsidRDefault="00DC4831" w:rsidP="00CC41D6">
      <w:r>
        <w:continuationSeparator/>
      </w:r>
    </w:p>
    <w:p w14:paraId="44C36A45" w14:textId="77777777" w:rsidR="00DC4831" w:rsidRDefault="00DC4831" w:rsidP="00CC4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3696" w14:textId="7FB9D97E" w:rsidR="00255F87" w:rsidRPr="00903A1A" w:rsidRDefault="006F175C" w:rsidP="00CC41D6">
    <w:r w:rsidRPr="00A15798">
      <w:t xml:space="preserve">Office of the Gene Technology Regulator </w:t>
    </w:r>
    <w:r w:rsidRPr="00A15798">
      <w:tab/>
    </w:r>
    <w:r w:rsidR="00E419E2">
      <w:tab/>
    </w:r>
    <w:r w:rsidR="00E419E2">
      <w:tab/>
    </w:r>
    <w:r w:rsidR="00E419E2">
      <w:tab/>
    </w:r>
    <w:r w:rsidR="00E419E2">
      <w:tab/>
    </w:r>
    <w:r w:rsidR="00E419E2">
      <w:tab/>
    </w:r>
    <w:r w:rsidR="00E419E2">
      <w:tab/>
    </w:r>
    <w:r w:rsidR="005F023B">
      <w:t>August</w:t>
    </w:r>
    <w:r w:rsidR="00A8146C" w:rsidRPr="00A8146C">
      <w:t xml:space="preserve"> </w:t>
    </w:r>
    <w:r w:rsidR="00EF49E7" w:rsidRPr="00A8146C">
      <w:t>20</w:t>
    </w:r>
    <w:r w:rsidR="00645244" w:rsidRPr="00A8146C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718822">
    <w:abstractNumId w:val="0"/>
  </w:num>
  <w:num w:numId="2" w16cid:durableId="127240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7B72"/>
    <w:rsid w:val="00010339"/>
    <w:rsid w:val="00013442"/>
    <w:rsid w:val="000324FA"/>
    <w:rsid w:val="00040F4A"/>
    <w:rsid w:val="00041352"/>
    <w:rsid w:val="00041CCC"/>
    <w:rsid w:val="00042D68"/>
    <w:rsid w:val="000506CE"/>
    <w:rsid w:val="00057FDC"/>
    <w:rsid w:val="00064F03"/>
    <w:rsid w:val="000668A6"/>
    <w:rsid w:val="0007484E"/>
    <w:rsid w:val="0007727D"/>
    <w:rsid w:val="00082615"/>
    <w:rsid w:val="00090596"/>
    <w:rsid w:val="000A76D9"/>
    <w:rsid w:val="000B6DC4"/>
    <w:rsid w:val="000D02C2"/>
    <w:rsid w:val="000D222B"/>
    <w:rsid w:val="001057FE"/>
    <w:rsid w:val="001078B3"/>
    <w:rsid w:val="001111C7"/>
    <w:rsid w:val="00126445"/>
    <w:rsid w:val="0012712E"/>
    <w:rsid w:val="001350FD"/>
    <w:rsid w:val="00137FD8"/>
    <w:rsid w:val="001564D8"/>
    <w:rsid w:val="00166ACC"/>
    <w:rsid w:val="00173E64"/>
    <w:rsid w:val="0017627F"/>
    <w:rsid w:val="001767F4"/>
    <w:rsid w:val="00177770"/>
    <w:rsid w:val="001A621F"/>
    <w:rsid w:val="001D2D29"/>
    <w:rsid w:val="001D3903"/>
    <w:rsid w:val="001D5060"/>
    <w:rsid w:val="001D6608"/>
    <w:rsid w:val="001D6B5E"/>
    <w:rsid w:val="001E30D9"/>
    <w:rsid w:val="001E7C07"/>
    <w:rsid w:val="0020040F"/>
    <w:rsid w:val="002042D1"/>
    <w:rsid w:val="00204C92"/>
    <w:rsid w:val="00207F1C"/>
    <w:rsid w:val="0021112C"/>
    <w:rsid w:val="0021365A"/>
    <w:rsid w:val="0022336D"/>
    <w:rsid w:val="0022466F"/>
    <w:rsid w:val="00234B18"/>
    <w:rsid w:val="00244B6A"/>
    <w:rsid w:val="00255F87"/>
    <w:rsid w:val="002665D8"/>
    <w:rsid w:val="00270253"/>
    <w:rsid w:val="002759EB"/>
    <w:rsid w:val="0028500E"/>
    <w:rsid w:val="00285AAA"/>
    <w:rsid w:val="0028698E"/>
    <w:rsid w:val="00292330"/>
    <w:rsid w:val="00295A65"/>
    <w:rsid w:val="00296B2B"/>
    <w:rsid w:val="002B3EC8"/>
    <w:rsid w:val="002B4670"/>
    <w:rsid w:val="002D736D"/>
    <w:rsid w:val="002E2E81"/>
    <w:rsid w:val="002E3655"/>
    <w:rsid w:val="002F0657"/>
    <w:rsid w:val="00306A47"/>
    <w:rsid w:val="00312F32"/>
    <w:rsid w:val="0031412A"/>
    <w:rsid w:val="0033318E"/>
    <w:rsid w:val="00334006"/>
    <w:rsid w:val="0034427E"/>
    <w:rsid w:val="00350BCF"/>
    <w:rsid w:val="003520FE"/>
    <w:rsid w:val="00375524"/>
    <w:rsid w:val="00381E1E"/>
    <w:rsid w:val="0038710E"/>
    <w:rsid w:val="003A0298"/>
    <w:rsid w:val="003A649E"/>
    <w:rsid w:val="003B4298"/>
    <w:rsid w:val="003B57B0"/>
    <w:rsid w:val="003C0DFE"/>
    <w:rsid w:val="003C1AA1"/>
    <w:rsid w:val="003C3512"/>
    <w:rsid w:val="003F062C"/>
    <w:rsid w:val="003F085A"/>
    <w:rsid w:val="003F2B1A"/>
    <w:rsid w:val="00404E7C"/>
    <w:rsid w:val="00405159"/>
    <w:rsid w:val="00405586"/>
    <w:rsid w:val="00413FAC"/>
    <w:rsid w:val="00414335"/>
    <w:rsid w:val="00417FA2"/>
    <w:rsid w:val="00420A5D"/>
    <w:rsid w:val="00425E9F"/>
    <w:rsid w:val="00431D84"/>
    <w:rsid w:val="004366F2"/>
    <w:rsid w:val="004404C0"/>
    <w:rsid w:val="00440BE7"/>
    <w:rsid w:val="00444B0D"/>
    <w:rsid w:val="0045054F"/>
    <w:rsid w:val="0045693C"/>
    <w:rsid w:val="00467FC7"/>
    <w:rsid w:val="00470CD8"/>
    <w:rsid w:val="00473E5B"/>
    <w:rsid w:val="00482102"/>
    <w:rsid w:val="004877B5"/>
    <w:rsid w:val="00496FF5"/>
    <w:rsid w:val="004A6C2F"/>
    <w:rsid w:val="004B0358"/>
    <w:rsid w:val="004C0276"/>
    <w:rsid w:val="004C0831"/>
    <w:rsid w:val="004D376B"/>
    <w:rsid w:val="004D6063"/>
    <w:rsid w:val="005010B2"/>
    <w:rsid w:val="00511461"/>
    <w:rsid w:val="0051167D"/>
    <w:rsid w:val="005146CE"/>
    <w:rsid w:val="00516D2F"/>
    <w:rsid w:val="005214DA"/>
    <w:rsid w:val="00531688"/>
    <w:rsid w:val="0053350A"/>
    <w:rsid w:val="005351E1"/>
    <w:rsid w:val="005446D7"/>
    <w:rsid w:val="005542E4"/>
    <w:rsid w:val="005657F7"/>
    <w:rsid w:val="00565B38"/>
    <w:rsid w:val="00566D27"/>
    <w:rsid w:val="005722D3"/>
    <w:rsid w:val="00573A69"/>
    <w:rsid w:val="005750F5"/>
    <w:rsid w:val="005779B3"/>
    <w:rsid w:val="00583C62"/>
    <w:rsid w:val="005862FF"/>
    <w:rsid w:val="00590211"/>
    <w:rsid w:val="00593ECD"/>
    <w:rsid w:val="00595930"/>
    <w:rsid w:val="00595B81"/>
    <w:rsid w:val="00597FC1"/>
    <w:rsid w:val="005A126F"/>
    <w:rsid w:val="005A761A"/>
    <w:rsid w:val="005B0261"/>
    <w:rsid w:val="005B643B"/>
    <w:rsid w:val="005C4078"/>
    <w:rsid w:val="005C6574"/>
    <w:rsid w:val="005C79C1"/>
    <w:rsid w:val="005D139E"/>
    <w:rsid w:val="005D5A4B"/>
    <w:rsid w:val="005E70E9"/>
    <w:rsid w:val="005F023B"/>
    <w:rsid w:val="0060459D"/>
    <w:rsid w:val="00607C3D"/>
    <w:rsid w:val="00610D20"/>
    <w:rsid w:val="006121FD"/>
    <w:rsid w:val="006239FB"/>
    <w:rsid w:val="006243FE"/>
    <w:rsid w:val="006441B4"/>
    <w:rsid w:val="00644F55"/>
    <w:rsid w:val="00645244"/>
    <w:rsid w:val="00645D95"/>
    <w:rsid w:val="00647864"/>
    <w:rsid w:val="0066269D"/>
    <w:rsid w:val="00672BDB"/>
    <w:rsid w:val="00677C4A"/>
    <w:rsid w:val="00681864"/>
    <w:rsid w:val="006822B2"/>
    <w:rsid w:val="006A2366"/>
    <w:rsid w:val="006B0C81"/>
    <w:rsid w:val="006C03F5"/>
    <w:rsid w:val="006C35B9"/>
    <w:rsid w:val="006C454A"/>
    <w:rsid w:val="006E56F0"/>
    <w:rsid w:val="006E5ACB"/>
    <w:rsid w:val="006E6BD2"/>
    <w:rsid w:val="006F175C"/>
    <w:rsid w:val="006F3DAC"/>
    <w:rsid w:val="006F74AF"/>
    <w:rsid w:val="00701F64"/>
    <w:rsid w:val="0070504D"/>
    <w:rsid w:val="00707DE8"/>
    <w:rsid w:val="007136EB"/>
    <w:rsid w:val="00714A4E"/>
    <w:rsid w:val="00736751"/>
    <w:rsid w:val="007431B7"/>
    <w:rsid w:val="00747981"/>
    <w:rsid w:val="0075343C"/>
    <w:rsid w:val="00753BCC"/>
    <w:rsid w:val="0076088F"/>
    <w:rsid w:val="00764A99"/>
    <w:rsid w:val="007659AC"/>
    <w:rsid w:val="00772AA1"/>
    <w:rsid w:val="00781185"/>
    <w:rsid w:val="007A35FA"/>
    <w:rsid w:val="007A6342"/>
    <w:rsid w:val="007B749B"/>
    <w:rsid w:val="007B7EE5"/>
    <w:rsid w:val="007D5030"/>
    <w:rsid w:val="007D6832"/>
    <w:rsid w:val="007D6E24"/>
    <w:rsid w:val="007E076E"/>
    <w:rsid w:val="007E6ED1"/>
    <w:rsid w:val="007F3ABB"/>
    <w:rsid w:val="0080031E"/>
    <w:rsid w:val="00803502"/>
    <w:rsid w:val="008134FE"/>
    <w:rsid w:val="00815B15"/>
    <w:rsid w:val="008160D2"/>
    <w:rsid w:val="00827BE2"/>
    <w:rsid w:val="0084110A"/>
    <w:rsid w:val="008615BD"/>
    <w:rsid w:val="008A1BCF"/>
    <w:rsid w:val="008A5A8C"/>
    <w:rsid w:val="008A66E6"/>
    <w:rsid w:val="008C3DE5"/>
    <w:rsid w:val="008C5202"/>
    <w:rsid w:val="008D3A69"/>
    <w:rsid w:val="008E7285"/>
    <w:rsid w:val="008F362D"/>
    <w:rsid w:val="008F4DA5"/>
    <w:rsid w:val="008F7110"/>
    <w:rsid w:val="00903A1A"/>
    <w:rsid w:val="00914E8C"/>
    <w:rsid w:val="009241B9"/>
    <w:rsid w:val="0092437E"/>
    <w:rsid w:val="00936CC5"/>
    <w:rsid w:val="0095036D"/>
    <w:rsid w:val="00955061"/>
    <w:rsid w:val="00973055"/>
    <w:rsid w:val="0097681E"/>
    <w:rsid w:val="0098602D"/>
    <w:rsid w:val="0099229E"/>
    <w:rsid w:val="009A1EE5"/>
    <w:rsid w:val="009D061A"/>
    <w:rsid w:val="009E0259"/>
    <w:rsid w:val="009E614B"/>
    <w:rsid w:val="009F61C9"/>
    <w:rsid w:val="009F761A"/>
    <w:rsid w:val="00A022EA"/>
    <w:rsid w:val="00A15798"/>
    <w:rsid w:val="00A16D20"/>
    <w:rsid w:val="00A172B7"/>
    <w:rsid w:val="00A24CCA"/>
    <w:rsid w:val="00A35004"/>
    <w:rsid w:val="00A35EBD"/>
    <w:rsid w:val="00A42B83"/>
    <w:rsid w:val="00A5746A"/>
    <w:rsid w:val="00A62445"/>
    <w:rsid w:val="00A8146C"/>
    <w:rsid w:val="00A84339"/>
    <w:rsid w:val="00AA253B"/>
    <w:rsid w:val="00AB3A1C"/>
    <w:rsid w:val="00AB504C"/>
    <w:rsid w:val="00AC41D2"/>
    <w:rsid w:val="00AD4EE3"/>
    <w:rsid w:val="00AD5ECA"/>
    <w:rsid w:val="00AD7CF8"/>
    <w:rsid w:val="00AE1A52"/>
    <w:rsid w:val="00AE7741"/>
    <w:rsid w:val="00B0451F"/>
    <w:rsid w:val="00B04978"/>
    <w:rsid w:val="00B26217"/>
    <w:rsid w:val="00B41006"/>
    <w:rsid w:val="00B41B42"/>
    <w:rsid w:val="00B511E9"/>
    <w:rsid w:val="00B52297"/>
    <w:rsid w:val="00B62713"/>
    <w:rsid w:val="00B838A7"/>
    <w:rsid w:val="00B87FB9"/>
    <w:rsid w:val="00BB0AB6"/>
    <w:rsid w:val="00BB487E"/>
    <w:rsid w:val="00BC0415"/>
    <w:rsid w:val="00BD4847"/>
    <w:rsid w:val="00BD579A"/>
    <w:rsid w:val="00BE1669"/>
    <w:rsid w:val="00BE3523"/>
    <w:rsid w:val="00BE36BC"/>
    <w:rsid w:val="00BF7104"/>
    <w:rsid w:val="00C024EF"/>
    <w:rsid w:val="00C03A4A"/>
    <w:rsid w:val="00C14D4A"/>
    <w:rsid w:val="00C154AF"/>
    <w:rsid w:val="00C17DBC"/>
    <w:rsid w:val="00C21298"/>
    <w:rsid w:val="00C34670"/>
    <w:rsid w:val="00C5105A"/>
    <w:rsid w:val="00C553EF"/>
    <w:rsid w:val="00C5780E"/>
    <w:rsid w:val="00C626BD"/>
    <w:rsid w:val="00C64A7C"/>
    <w:rsid w:val="00C81D28"/>
    <w:rsid w:val="00C87EA7"/>
    <w:rsid w:val="00C90371"/>
    <w:rsid w:val="00CA0840"/>
    <w:rsid w:val="00CA4D8F"/>
    <w:rsid w:val="00CC2AAD"/>
    <w:rsid w:val="00CC2FED"/>
    <w:rsid w:val="00CC401C"/>
    <w:rsid w:val="00CC41D6"/>
    <w:rsid w:val="00CC52B8"/>
    <w:rsid w:val="00CC55D4"/>
    <w:rsid w:val="00CD43F0"/>
    <w:rsid w:val="00CD516D"/>
    <w:rsid w:val="00CD6FEB"/>
    <w:rsid w:val="00CE03D7"/>
    <w:rsid w:val="00CE4FF3"/>
    <w:rsid w:val="00D03AEC"/>
    <w:rsid w:val="00D05409"/>
    <w:rsid w:val="00D231DB"/>
    <w:rsid w:val="00D23FEE"/>
    <w:rsid w:val="00D2524C"/>
    <w:rsid w:val="00D37EEE"/>
    <w:rsid w:val="00D40CF3"/>
    <w:rsid w:val="00D451F1"/>
    <w:rsid w:val="00D46CE5"/>
    <w:rsid w:val="00D46D9A"/>
    <w:rsid w:val="00D47306"/>
    <w:rsid w:val="00D50262"/>
    <w:rsid w:val="00D5080F"/>
    <w:rsid w:val="00D53597"/>
    <w:rsid w:val="00D55D99"/>
    <w:rsid w:val="00D5716F"/>
    <w:rsid w:val="00D57C15"/>
    <w:rsid w:val="00D61A01"/>
    <w:rsid w:val="00D62411"/>
    <w:rsid w:val="00D630FF"/>
    <w:rsid w:val="00D669EE"/>
    <w:rsid w:val="00D77386"/>
    <w:rsid w:val="00D81B7C"/>
    <w:rsid w:val="00D91189"/>
    <w:rsid w:val="00D9798D"/>
    <w:rsid w:val="00DB04C0"/>
    <w:rsid w:val="00DB4786"/>
    <w:rsid w:val="00DC101D"/>
    <w:rsid w:val="00DC4831"/>
    <w:rsid w:val="00DC7900"/>
    <w:rsid w:val="00DD49B6"/>
    <w:rsid w:val="00DD4DE3"/>
    <w:rsid w:val="00DD4F80"/>
    <w:rsid w:val="00DE158D"/>
    <w:rsid w:val="00DE3B81"/>
    <w:rsid w:val="00DE7879"/>
    <w:rsid w:val="00DE7F48"/>
    <w:rsid w:val="00DF5342"/>
    <w:rsid w:val="00DF688F"/>
    <w:rsid w:val="00DF74A4"/>
    <w:rsid w:val="00E0012A"/>
    <w:rsid w:val="00E0048F"/>
    <w:rsid w:val="00E042CB"/>
    <w:rsid w:val="00E12D1B"/>
    <w:rsid w:val="00E13D98"/>
    <w:rsid w:val="00E1688F"/>
    <w:rsid w:val="00E218E5"/>
    <w:rsid w:val="00E251F7"/>
    <w:rsid w:val="00E25954"/>
    <w:rsid w:val="00E273FE"/>
    <w:rsid w:val="00E30238"/>
    <w:rsid w:val="00E33D83"/>
    <w:rsid w:val="00E37526"/>
    <w:rsid w:val="00E419E2"/>
    <w:rsid w:val="00E434BC"/>
    <w:rsid w:val="00E51221"/>
    <w:rsid w:val="00E55DEF"/>
    <w:rsid w:val="00E604C5"/>
    <w:rsid w:val="00E63182"/>
    <w:rsid w:val="00E7019D"/>
    <w:rsid w:val="00E7374D"/>
    <w:rsid w:val="00E76441"/>
    <w:rsid w:val="00E77C85"/>
    <w:rsid w:val="00E83D11"/>
    <w:rsid w:val="00E91AD9"/>
    <w:rsid w:val="00EA1F00"/>
    <w:rsid w:val="00EA2420"/>
    <w:rsid w:val="00EC014C"/>
    <w:rsid w:val="00EC2011"/>
    <w:rsid w:val="00EC2814"/>
    <w:rsid w:val="00EC4A1D"/>
    <w:rsid w:val="00EC6BD7"/>
    <w:rsid w:val="00EC7E25"/>
    <w:rsid w:val="00ED5961"/>
    <w:rsid w:val="00ED68F3"/>
    <w:rsid w:val="00EE245E"/>
    <w:rsid w:val="00EE4755"/>
    <w:rsid w:val="00EF1725"/>
    <w:rsid w:val="00EF49E7"/>
    <w:rsid w:val="00EF728B"/>
    <w:rsid w:val="00F119BA"/>
    <w:rsid w:val="00F13FA8"/>
    <w:rsid w:val="00F42720"/>
    <w:rsid w:val="00F43AE6"/>
    <w:rsid w:val="00F537E8"/>
    <w:rsid w:val="00F549CD"/>
    <w:rsid w:val="00F60A5A"/>
    <w:rsid w:val="00F61225"/>
    <w:rsid w:val="00F64537"/>
    <w:rsid w:val="00F905E8"/>
    <w:rsid w:val="00F92930"/>
    <w:rsid w:val="00F94B1B"/>
    <w:rsid w:val="00FA0FA1"/>
    <w:rsid w:val="00FA2046"/>
    <w:rsid w:val="00FA67AB"/>
    <w:rsid w:val="00FA754F"/>
    <w:rsid w:val="00FB0A54"/>
    <w:rsid w:val="00FB34C1"/>
    <w:rsid w:val="00FB387E"/>
    <w:rsid w:val="00FD645D"/>
    <w:rsid w:val="00FE11F6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D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D6"/>
    <w:pPr>
      <w:spacing w:before="240" w:after="0" w:line="240" w:lineRule="auto"/>
    </w:pPr>
    <w:rPr>
      <w:rFonts w:ascii="Calibri" w:eastAsia="Times New Roman" w:hAnsi="Calibri" w:cs="Calibri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eastAsiaTheme="minorEastAsia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customStyle="1" w:styleId="Paranonumbers">
    <w:name w:val="Para no numbers"/>
    <w:basedOn w:val="Normal"/>
    <w:link w:val="ParanonumbersChar"/>
    <w:rsid w:val="00350BCF"/>
    <w:pPr>
      <w:spacing w:before="120" w:after="120"/>
    </w:pPr>
    <w:rPr>
      <w:szCs w:val="24"/>
    </w:rPr>
  </w:style>
  <w:style w:type="character" w:customStyle="1" w:styleId="ParanonumbersChar">
    <w:name w:val="Para no numbers Char"/>
    <w:basedOn w:val="DefaultParagraphFont"/>
    <w:link w:val="Paranonumbers"/>
    <w:locked/>
    <w:rsid w:val="00350BC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E076E"/>
    <w:pPr>
      <w:spacing w:after="0" w:line="240" w:lineRule="auto"/>
    </w:pPr>
    <w:rPr>
      <w:rFonts w:ascii="Calibri" w:eastAsia="Times New Roman" w:hAnsi="Calibr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about-approval-process/adding-dealings-gmo-regist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gtr@health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tr.gov.au/internet/ogtr/publishing.nsf/Content/biology-documents-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gtr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gtr.gov.au/gmo-dealings/dealings-involving-intentional-release/dir-020200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9E93-3863-4AB3-8532-F37A1351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003 - Questions and Answers</dc:title>
  <dc:creator/>
  <cp:lastModifiedBy/>
  <cp:revision>1</cp:revision>
  <dcterms:created xsi:type="dcterms:W3CDTF">2024-08-19T21:33:00Z</dcterms:created>
  <dcterms:modified xsi:type="dcterms:W3CDTF">2024-08-19T21:33:00Z</dcterms:modified>
</cp:coreProperties>
</file>