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A290" w14:textId="7E5B539C" w:rsidR="00280050" w:rsidRDefault="007D6A0A" w:rsidP="004B36FB">
      <w:pPr>
        <w:jc w:val="center"/>
      </w:pPr>
      <w:r>
        <w:rPr>
          <w:noProof/>
        </w:rPr>
        <w:drawing>
          <wp:inline distT="0" distB="0" distL="0" distR="0" wp14:anchorId="10A3718C" wp14:editId="58617C33">
            <wp:extent cx="3330000" cy="763200"/>
            <wp:effectExtent l="0" t="0" r="3810" b="0"/>
            <wp:docPr id="2" name="Picture 2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of the Office of the Gene Technology Regulato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A1BDF" w14:textId="6E44C7AD" w:rsidR="00F61411" w:rsidRPr="00005DA7" w:rsidRDefault="004A372D" w:rsidP="005D2748">
      <w:pPr>
        <w:jc w:val="right"/>
      </w:pPr>
      <w:r w:rsidRPr="0042388D">
        <w:t>August</w:t>
      </w:r>
      <w:r w:rsidR="00B16E8B" w:rsidRPr="0042388D">
        <w:t xml:space="preserve"> 20</w:t>
      </w:r>
      <w:r w:rsidR="00443EC6" w:rsidRPr="0042388D">
        <w:t>24</w:t>
      </w:r>
    </w:p>
    <w:p w14:paraId="0BABFE47" w14:textId="29C856A4" w:rsidR="00F61411" w:rsidRPr="005D2748" w:rsidRDefault="00F61411" w:rsidP="005D2748">
      <w:pPr>
        <w:jc w:val="center"/>
        <w:rPr>
          <w:sz w:val="28"/>
        </w:rPr>
      </w:pPr>
      <w:r w:rsidRPr="005D2748">
        <w:rPr>
          <w:sz w:val="28"/>
        </w:rPr>
        <w:t xml:space="preserve">Determination to include dealings with genetically modified </w:t>
      </w:r>
      <w:r w:rsidR="00443EC6" w:rsidRPr="00443EC6">
        <w:rPr>
          <w:sz w:val="28"/>
        </w:rPr>
        <w:t>canola</w:t>
      </w:r>
      <w:r w:rsidRPr="00443EC6">
        <w:rPr>
          <w:sz w:val="28"/>
        </w:rPr>
        <w:t xml:space="preserve"> </w:t>
      </w:r>
      <w:r w:rsidRPr="005D2748">
        <w:rPr>
          <w:sz w:val="28"/>
        </w:rPr>
        <w:t xml:space="preserve">on the </w:t>
      </w:r>
      <w:r w:rsidR="00615D78">
        <w:rPr>
          <w:sz w:val="28"/>
        </w:rPr>
        <w:br/>
      </w:r>
      <w:r w:rsidRPr="005D2748">
        <w:rPr>
          <w:sz w:val="28"/>
        </w:rPr>
        <w:t xml:space="preserve">GMO Register – </w:t>
      </w:r>
      <w:r w:rsidRPr="00443EC6">
        <w:rPr>
          <w:sz w:val="28"/>
        </w:rPr>
        <w:t>R</w:t>
      </w:r>
      <w:r w:rsidR="001B382A">
        <w:rPr>
          <w:sz w:val="28"/>
        </w:rPr>
        <w:t>egister</w:t>
      </w:r>
      <w:r w:rsidRPr="00443EC6">
        <w:rPr>
          <w:sz w:val="28"/>
        </w:rPr>
        <w:t>-</w:t>
      </w:r>
      <w:r w:rsidR="00443EC6" w:rsidRPr="00443EC6">
        <w:rPr>
          <w:sz w:val="28"/>
        </w:rPr>
        <w:t>003</w:t>
      </w:r>
    </w:p>
    <w:p w14:paraId="6046949D" w14:textId="64A52B99" w:rsidR="0076076B" w:rsidRDefault="005D2748" w:rsidP="005D2748">
      <w:r w:rsidRPr="005D2748">
        <w:t>The Gene Technology Regulator (the Regulator</w:t>
      </w:r>
      <w:r w:rsidRPr="004A021C">
        <w:t>) has made a determination</w:t>
      </w:r>
      <w:r w:rsidR="00626634" w:rsidRPr="00626634">
        <w:t xml:space="preserve"> </w:t>
      </w:r>
      <w:r w:rsidR="00626634">
        <w:t xml:space="preserve">to include dealings with genetically modified (GM) </w:t>
      </w:r>
      <w:r w:rsidR="00443EC6" w:rsidRPr="004822B6">
        <w:rPr>
          <w:color w:val="000000" w:themeColor="text1"/>
        </w:rPr>
        <w:t>canola</w:t>
      </w:r>
      <w:r w:rsidR="00626634" w:rsidRPr="001C5EF2">
        <w:rPr>
          <w:color w:val="0000FF"/>
        </w:rPr>
        <w:t xml:space="preserve"> </w:t>
      </w:r>
      <w:r w:rsidR="00626634">
        <w:t>on the GMO Register</w:t>
      </w:r>
      <w:r w:rsidR="00415230">
        <w:t>.</w:t>
      </w:r>
      <w:r w:rsidR="0076076B">
        <w:t xml:space="preserve"> </w:t>
      </w:r>
      <w:r w:rsidR="004A021C">
        <w:t xml:space="preserve">The determination to include the dealings with </w:t>
      </w:r>
      <w:r w:rsidR="00443EC6">
        <w:t xml:space="preserve">the </w:t>
      </w:r>
      <w:r w:rsidR="004A021C">
        <w:t xml:space="preserve">GM </w:t>
      </w:r>
      <w:r w:rsidR="00443EC6" w:rsidRPr="00443EC6">
        <w:t>canola</w:t>
      </w:r>
      <w:r w:rsidR="004A021C" w:rsidRPr="00443EC6">
        <w:t xml:space="preserve"> </w:t>
      </w:r>
      <w:r w:rsidR="004A021C">
        <w:t xml:space="preserve">on the GMO Register </w:t>
      </w:r>
      <w:r w:rsidR="00B11662">
        <w:t>comes</w:t>
      </w:r>
      <w:r w:rsidR="004A021C">
        <w:t xml:space="preserve"> into effect on </w:t>
      </w:r>
      <w:r w:rsidR="00FD7DAD" w:rsidRPr="00FD7DAD">
        <w:t>20</w:t>
      </w:r>
      <w:r w:rsidR="003863C9" w:rsidRPr="00FD7DAD">
        <w:t xml:space="preserve"> August 2024</w:t>
      </w:r>
      <w:r w:rsidR="004A021C">
        <w:t>.</w:t>
      </w:r>
      <w:r w:rsidR="006C71B3">
        <w:t xml:space="preserve"> When the determination comes into effect</w:t>
      </w:r>
      <w:r w:rsidR="00615D78">
        <w:t>,</w:t>
      </w:r>
      <w:r w:rsidR="006C71B3">
        <w:t xml:space="preserve"> it will not be necessary for people conducting the dealings to hold or be covered by a GMO licence.</w:t>
      </w:r>
    </w:p>
    <w:p w14:paraId="0EC030AE" w14:textId="57FBF12F" w:rsidR="004C2B61" w:rsidRPr="004822B6" w:rsidRDefault="00CC5693" w:rsidP="004C2B61">
      <w:pPr>
        <w:rPr>
          <w:color w:val="000000" w:themeColor="text1"/>
        </w:rPr>
      </w:pPr>
      <w:r w:rsidRPr="004822B6">
        <w:rPr>
          <w:color w:val="000000" w:themeColor="text1"/>
        </w:rPr>
        <w:t xml:space="preserve">This will </w:t>
      </w:r>
      <w:r w:rsidR="006960EB" w:rsidRPr="004822B6">
        <w:rPr>
          <w:color w:val="000000" w:themeColor="text1"/>
        </w:rPr>
        <w:t>enabl</w:t>
      </w:r>
      <w:r w:rsidRPr="004822B6">
        <w:rPr>
          <w:color w:val="000000" w:themeColor="text1"/>
        </w:rPr>
        <w:t>e</w:t>
      </w:r>
      <w:r w:rsidR="0076076B" w:rsidRPr="004822B6">
        <w:rPr>
          <w:color w:val="000000" w:themeColor="text1"/>
        </w:rPr>
        <w:t xml:space="preserve"> </w:t>
      </w:r>
      <w:r w:rsidR="005E3729" w:rsidRPr="004822B6">
        <w:rPr>
          <w:color w:val="000000" w:themeColor="text1"/>
        </w:rPr>
        <w:t>commercial scale</w:t>
      </w:r>
      <w:r w:rsidR="00B16E8B" w:rsidRPr="004822B6">
        <w:rPr>
          <w:color w:val="000000" w:themeColor="text1"/>
        </w:rPr>
        <w:t xml:space="preserve"> cultivation, import, </w:t>
      </w:r>
      <w:r w:rsidR="005E3729" w:rsidRPr="004822B6">
        <w:rPr>
          <w:color w:val="000000" w:themeColor="text1"/>
        </w:rPr>
        <w:t>retail/wholesale trade</w:t>
      </w:r>
      <w:r w:rsidRPr="004822B6">
        <w:rPr>
          <w:color w:val="000000" w:themeColor="text1"/>
        </w:rPr>
        <w:t xml:space="preserve"> of the GM canola, and use </w:t>
      </w:r>
      <w:r w:rsidR="00EA19C9" w:rsidRPr="004822B6">
        <w:rPr>
          <w:color w:val="000000" w:themeColor="text1"/>
        </w:rPr>
        <w:t xml:space="preserve">of </w:t>
      </w:r>
      <w:r w:rsidRPr="004822B6">
        <w:rPr>
          <w:color w:val="000000" w:themeColor="text1"/>
        </w:rPr>
        <w:t xml:space="preserve">the GM canola in </w:t>
      </w:r>
      <w:r w:rsidR="00EA19C9" w:rsidRPr="004822B6">
        <w:rPr>
          <w:color w:val="000000" w:themeColor="text1"/>
        </w:rPr>
        <w:t xml:space="preserve">product manufacture and </w:t>
      </w:r>
      <w:r w:rsidRPr="004822B6">
        <w:rPr>
          <w:color w:val="000000" w:themeColor="text1"/>
        </w:rPr>
        <w:t>animal feed</w:t>
      </w:r>
      <w:r w:rsidR="0076076B" w:rsidRPr="004822B6">
        <w:rPr>
          <w:color w:val="000000" w:themeColor="text1"/>
        </w:rPr>
        <w:t xml:space="preserve">. The dealings </w:t>
      </w:r>
      <w:r w:rsidR="005E3729" w:rsidRPr="004822B6">
        <w:rPr>
          <w:color w:val="000000" w:themeColor="text1"/>
        </w:rPr>
        <w:t>have</w:t>
      </w:r>
      <w:r w:rsidR="003806C9" w:rsidRPr="004822B6">
        <w:rPr>
          <w:color w:val="000000" w:themeColor="text1"/>
        </w:rPr>
        <w:t xml:space="preserve"> been </w:t>
      </w:r>
      <w:r w:rsidR="0076076B" w:rsidRPr="004822B6">
        <w:rPr>
          <w:color w:val="000000" w:themeColor="text1"/>
        </w:rPr>
        <w:t xml:space="preserve">authorised under the licence for </w:t>
      </w:r>
      <w:hyperlink r:id="rId7" w:history="1">
        <w:r w:rsidR="0076076B" w:rsidRPr="000B14DF">
          <w:rPr>
            <w:rStyle w:val="Hyperlink"/>
            <w:color w:val="auto"/>
          </w:rPr>
          <w:t xml:space="preserve">DIR </w:t>
        </w:r>
        <w:r w:rsidR="001B382A" w:rsidRPr="000B14DF">
          <w:rPr>
            <w:rStyle w:val="Hyperlink"/>
            <w:color w:val="auto"/>
          </w:rPr>
          <w:t>020/2002</w:t>
        </w:r>
      </w:hyperlink>
      <w:r w:rsidR="003806C9" w:rsidRPr="000B14DF">
        <w:rPr>
          <w:rStyle w:val="Hyperlink"/>
          <w:color w:val="auto"/>
          <w:u w:val="none"/>
        </w:rPr>
        <w:t xml:space="preserve"> </w:t>
      </w:r>
      <w:r w:rsidR="003806C9" w:rsidRPr="004822B6">
        <w:rPr>
          <w:rStyle w:val="Hyperlink"/>
          <w:color w:val="000000" w:themeColor="text1"/>
          <w:u w:val="none"/>
        </w:rPr>
        <w:t xml:space="preserve">since </w:t>
      </w:r>
      <w:r w:rsidR="001B382A" w:rsidRPr="004822B6">
        <w:rPr>
          <w:rStyle w:val="Hyperlink"/>
          <w:color w:val="000000" w:themeColor="text1"/>
          <w:u w:val="none"/>
        </w:rPr>
        <w:t>200</w:t>
      </w:r>
      <w:r w:rsidR="00514A62" w:rsidRPr="004822B6">
        <w:rPr>
          <w:rStyle w:val="Hyperlink"/>
          <w:color w:val="000000" w:themeColor="text1"/>
          <w:u w:val="none"/>
        </w:rPr>
        <w:t>3</w:t>
      </w:r>
      <w:r w:rsidR="0076076B" w:rsidRPr="004822B6">
        <w:rPr>
          <w:color w:val="000000" w:themeColor="text1"/>
        </w:rPr>
        <w:t xml:space="preserve">. </w:t>
      </w:r>
      <w:r w:rsidR="009605F7" w:rsidRPr="004822B6">
        <w:rPr>
          <w:color w:val="000000" w:themeColor="text1"/>
        </w:rPr>
        <w:t xml:space="preserve">The </w:t>
      </w:r>
      <w:r w:rsidR="00E34387" w:rsidRPr="004822B6">
        <w:rPr>
          <w:color w:val="000000" w:themeColor="text1"/>
        </w:rPr>
        <w:t xml:space="preserve">GM canola - </w:t>
      </w:r>
      <w:r w:rsidR="009605F7" w:rsidRPr="004822B6">
        <w:rPr>
          <w:color w:val="000000" w:themeColor="text1"/>
        </w:rPr>
        <w:t>MON-ØØØ73-7 canola, also known as Roundup Ready® canola, GT73 (RT73) canola and oilseed rape GT73,</w:t>
      </w:r>
      <w:r w:rsidR="008B224E" w:rsidRPr="004822B6">
        <w:rPr>
          <w:color w:val="000000" w:themeColor="text1"/>
        </w:rPr>
        <w:t xml:space="preserve"> </w:t>
      </w:r>
      <w:r w:rsidR="0076076B" w:rsidRPr="004822B6">
        <w:rPr>
          <w:color w:val="000000" w:themeColor="text1"/>
        </w:rPr>
        <w:t>ha</w:t>
      </w:r>
      <w:r w:rsidR="009605F7" w:rsidRPr="004822B6">
        <w:rPr>
          <w:color w:val="000000" w:themeColor="text1"/>
        </w:rPr>
        <w:t>s</w:t>
      </w:r>
      <w:r w:rsidR="0076076B" w:rsidRPr="004822B6">
        <w:rPr>
          <w:color w:val="000000" w:themeColor="text1"/>
        </w:rPr>
        <w:t xml:space="preserve"> been modified to </w:t>
      </w:r>
      <w:r w:rsidR="009605F7" w:rsidRPr="004822B6">
        <w:rPr>
          <w:color w:val="000000" w:themeColor="text1"/>
        </w:rPr>
        <w:t>tolerate the herbicide glyphosate</w:t>
      </w:r>
      <w:r w:rsidR="0076076B" w:rsidRPr="004822B6">
        <w:rPr>
          <w:color w:val="000000" w:themeColor="text1"/>
        </w:rPr>
        <w:t xml:space="preserve">, by </w:t>
      </w:r>
      <w:r w:rsidR="009605F7" w:rsidRPr="004822B6">
        <w:rPr>
          <w:color w:val="000000" w:themeColor="text1"/>
        </w:rPr>
        <w:t>introduction</w:t>
      </w:r>
      <w:r w:rsidR="0076076B" w:rsidRPr="004822B6">
        <w:rPr>
          <w:color w:val="000000" w:themeColor="text1"/>
        </w:rPr>
        <w:t xml:space="preserve"> of </w:t>
      </w:r>
      <w:r w:rsidR="009605F7" w:rsidRPr="004822B6">
        <w:rPr>
          <w:color w:val="000000" w:themeColor="text1"/>
        </w:rPr>
        <w:t xml:space="preserve">two </w:t>
      </w:r>
      <w:r w:rsidR="0076076B" w:rsidRPr="004822B6">
        <w:rPr>
          <w:color w:val="000000" w:themeColor="text1"/>
        </w:rPr>
        <w:t xml:space="preserve">genes sourced from </w:t>
      </w:r>
      <w:r w:rsidR="009605F7" w:rsidRPr="004822B6">
        <w:rPr>
          <w:color w:val="000000" w:themeColor="text1"/>
        </w:rPr>
        <w:t>common soil bacteria</w:t>
      </w:r>
      <w:r w:rsidR="004C2B61" w:rsidRPr="004822B6">
        <w:rPr>
          <w:color w:val="000000" w:themeColor="text1"/>
        </w:rPr>
        <w:t xml:space="preserve">. The GM </w:t>
      </w:r>
      <w:r w:rsidR="009605F7" w:rsidRPr="004822B6">
        <w:rPr>
          <w:color w:val="000000" w:themeColor="text1"/>
        </w:rPr>
        <w:t>canola</w:t>
      </w:r>
      <w:r w:rsidR="004C2B61" w:rsidRPr="004822B6">
        <w:rPr>
          <w:color w:val="000000" w:themeColor="text1"/>
        </w:rPr>
        <w:t xml:space="preserve"> ha</w:t>
      </w:r>
      <w:r w:rsidR="005E3729" w:rsidRPr="004822B6">
        <w:rPr>
          <w:color w:val="000000" w:themeColor="text1"/>
        </w:rPr>
        <w:t>s</w:t>
      </w:r>
      <w:r w:rsidR="004C2B61" w:rsidRPr="004822B6">
        <w:rPr>
          <w:color w:val="000000" w:themeColor="text1"/>
        </w:rPr>
        <w:t xml:space="preserve"> a history of safe</w:t>
      </w:r>
      <w:r w:rsidR="006960EB" w:rsidRPr="004822B6">
        <w:rPr>
          <w:color w:val="000000" w:themeColor="text1"/>
        </w:rPr>
        <w:t xml:space="preserve"> use </w:t>
      </w:r>
      <w:r w:rsidR="004C2B61" w:rsidRPr="004822B6">
        <w:rPr>
          <w:color w:val="000000" w:themeColor="text1"/>
        </w:rPr>
        <w:t xml:space="preserve">in Australia since </w:t>
      </w:r>
      <w:r w:rsidR="009605F7" w:rsidRPr="004822B6">
        <w:rPr>
          <w:color w:val="000000" w:themeColor="text1"/>
        </w:rPr>
        <w:t>2008</w:t>
      </w:r>
      <w:r w:rsidR="004C2B61" w:rsidRPr="004822B6">
        <w:rPr>
          <w:color w:val="000000" w:themeColor="text1"/>
        </w:rPr>
        <w:t xml:space="preserve"> and for </w:t>
      </w:r>
      <w:r w:rsidR="009605F7" w:rsidRPr="004822B6">
        <w:rPr>
          <w:color w:val="000000" w:themeColor="text1"/>
        </w:rPr>
        <w:t>over two decades</w:t>
      </w:r>
      <w:r w:rsidR="004C2B61" w:rsidRPr="004822B6">
        <w:rPr>
          <w:color w:val="000000" w:themeColor="text1"/>
        </w:rPr>
        <w:t xml:space="preserve"> in other countries. </w:t>
      </w:r>
      <w:r w:rsidR="00B16E8B" w:rsidRPr="004822B6">
        <w:rPr>
          <w:color w:val="000000" w:themeColor="text1"/>
        </w:rPr>
        <w:t>Information about</w:t>
      </w:r>
      <w:r w:rsidR="000E7BE0">
        <w:rPr>
          <w:color w:val="000000" w:themeColor="text1"/>
        </w:rPr>
        <w:t xml:space="preserve"> </w:t>
      </w:r>
      <w:r w:rsidR="002478B1">
        <w:rPr>
          <w:color w:val="000000" w:themeColor="text1"/>
        </w:rPr>
        <w:t>Register</w:t>
      </w:r>
      <w:r w:rsidR="000E7BE0">
        <w:rPr>
          <w:color w:val="000000" w:themeColor="text1"/>
        </w:rPr>
        <w:noBreakHyphen/>
      </w:r>
      <w:r w:rsidR="002478B1">
        <w:rPr>
          <w:color w:val="000000" w:themeColor="text1"/>
        </w:rPr>
        <w:t xml:space="preserve">003 and other </w:t>
      </w:r>
      <w:r w:rsidR="00B16E8B" w:rsidRPr="004822B6">
        <w:rPr>
          <w:color w:val="000000" w:themeColor="text1"/>
        </w:rPr>
        <w:t xml:space="preserve">dealings on the GMO Register may be found on the </w:t>
      </w:r>
      <w:hyperlink r:id="rId8" w:history="1">
        <w:r w:rsidR="00B16E8B" w:rsidRPr="004822B6">
          <w:rPr>
            <w:rStyle w:val="Hyperlink"/>
            <w:color w:val="000000" w:themeColor="text1"/>
          </w:rPr>
          <w:t>GMO Register page</w:t>
        </w:r>
      </w:hyperlink>
      <w:r w:rsidR="00B16E8B" w:rsidRPr="004822B6">
        <w:rPr>
          <w:color w:val="000000" w:themeColor="text1"/>
        </w:rPr>
        <w:t xml:space="preserve"> of the OGTR.</w:t>
      </w:r>
      <w:r w:rsidR="00E06E50" w:rsidRPr="004822B6">
        <w:rPr>
          <w:color w:val="000000" w:themeColor="text1"/>
        </w:rPr>
        <w:t xml:space="preserve"> More </w:t>
      </w:r>
      <w:r w:rsidR="005E3729" w:rsidRPr="004822B6">
        <w:rPr>
          <w:color w:val="000000" w:themeColor="text1"/>
        </w:rPr>
        <w:t xml:space="preserve">general </w:t>
      </w:r>
      <w:r w:rsidR="00E06E50" w:rsidRPr="004822B6">
        <w:rPr>
          <w:color w:val="000000" w:themeColor="text1"/>
        </w:rPr>
        <w:t xml:space="preserve">information about the GMO Register can be found in </w:t>
      </w:r>
      <w:r w:rsidR="00810DD3">
        <w:rPr>
          <w:color w:val="000000" w:themeColor="text1"/>
        </w:rPr>
        <w:t xml:space="preserve">the </w:t>
      </w:r>
      <w:hyperlink r:id="rId9" w:history="1">
        <w:r w:rsidR="00810DD3" w:rsidRPr="000B14DF">
          <w:rPr>
            <w:rStyle w:val="Hyperlink"/>
            <w:color w:val="auto"/>
          </w:rPr>
          <w:t>GMO Register</w:t>
        </w:r>
      </w:hyperlink>
      <w:r w:rsidR="00810DD3" w:rsidRPr="00810DD3">
        <w:rPr>
          <w:color w:val="000000" w:themeColor="text1"/>
        </w:rPr>
        <w:t xml:space="preserve"> </w:t>
      </w:r>
      <w:r w:rsidR="00810DD3">
        <w:rPr>
          <w:color w:val="000000" w:themeColor="text1"/>
        </w:rPr>
        <w:t xml:space="preserve">page </w:t>
      </w:r>
      <w:r w:rsidR="00E06E50" w:rsidRPr="004822B6">
        <w:rPr>
          <w:color w:val="000000" w:themeColor="text1"/>
        </w:rPr>
        <w:t>on the OGTR website.</w:t>
      </w:r>
    </w:p>
    <w:p w14:paraId="7E1832B6" w14:textId="77607E20" w:rsidR="00415230" w:rsidRDefault="00415230" w:rsidP="004C2B61">
      <w:r>
        <w:t>For dealings to be included on the GMO Register, the Regulator must be satisfied that any risks posed by the dealings are minimal and that</w:t>
      </w:r>
      <w:r w:rsidRPr="00B33B63">
        <w:t xml:space="preserve"> the dealings are safe </w:t>
      </w:r>
      <w:r w:rsidR="00E02E5A">
        <w:t xml:space="preserve">enough </w:t>
      </w:r>
      <w:r w:rsidRPr="00B33B63">
        <w:t>to be undertaken by anyone without the need for a licence</w:t>
      </w:r>
      <w:r>
        <w:t>.</w:t>
      </w:r>
    </w:p>
    <w:p w14:paraId="015E7678" w14:textId="79863617" w:rsidR="0076076B" w:rsidRPr="004822B6" w:rsidRDefault="00415230" w:rsidP="00415230">
      <w:pPr>
        <w:spacing w:before="240"/>
        <w:rPr>
          <w:color w:val="000000" w:themeColor="text1"/>
        </w:rPr>
      </w:pPr>
      <w:r>
        <w:t>A consultation version of a Risk Assessment and Risk Management Plan (RARMP) was prepared</w:t>
      </w:r>
      <w:r w:rsidR="009A4647">
        <w:t xml:space="preserve"> and </w:t>
      </w:r>
      <w:r w:rsidR="0076076B">
        <w:t>was open</w:t>
      </w:r>
      <w:r>
        <w:t xml:space="preserve"> for comment from the public, </w:t>
      </w:r>
      <w:r w:rsidR="0076076B">
        <w:t xml:space="preserve">from </w:t>
      </w:r>
      <w:r>
        <w:t xml:space="preserve">Federal, State and Local </w:t>
      </w:r>
      <w:r w:rsidR="0076076B">
        <w:t>g</w:t>
      </w:r>
      <w:r>
        <w:t>overn</w:t>
      </w:r>
      <w:r w:rsidR="0076076B">
        <w:t>men</w:t>
      </w:r>
      <w:r>
        <w:t>ts and agencies</w:t>
      </w:r>
      <w:r w:rsidR="0076076B">
        <w:t>,</w:t>
      </w:r>
      <w:r>
        <w:t xml:space="preserve"> and </w:t>
      </w:r>
      <w:r w:rsidR="0076076B">
        <w:t xml:space="preserve">from other </w:t>
      </w:r>
      <w:r>
        <w:t xml:space="preserve">experts. </w:t>
      </w:r>
      <w:r w:rsidR="0076076B">
        <w:t xml:space="preserve">A final RARMP was prepared </w:t>
      </w:r>
      <w:r w:rsidR="009A4647">
        <w:t xml:space="preserve">including consideration of </w:t>
      </w:r>
      <w:r w:rsidR="0076076B">
        <w:t>all relevant submissions received during the consultation period</w:t>
      </w:r>
      <w:r w:rsidR="009A4647">
        <w:t xml:space="preserve">. </w:t>
      </w:r>
      <w:r w:rsidR="003806C9">
        <w:t>It</w:t>
      </w:r>
      <w:r w:rsidR="004C2B61">
        <w:t xml:space="preserve"> concluded that the risks posed by the </w:t>
      </w:r>
      <w:r w:rsidR="004C2B61" w:rsidRPr="004822B6">
        <w:rPr>
          <w:color w:val="000000" w:themeColor="text1"/>
        </w:rPr>
        <w:t xml:space="preserve">GM </w:t>
      </w:r>
      <w:r w:rsidR="00A93022" w:rsidRPr="004822B6">
        <w:rPr>
          <w:color w:val="000000" w:themeColor="text1"/>
        </w:rPr>
        <w:t>canola</w:t>
      </w:r>
      <w:r w:rsidR="004C2B61" w:rsidRPr="004822B6">
        <w:rPr>
          <w:color w:val="000000" w:themeColor="text1"/>
        </w:rPr>
        <w:t xml:space="preserve"> were </w:t>
      </w:r>
      <w:r w:rsidR="00260CEA">
        <w:rPr>
          <w:color w:val="000000" w:themeColor="text1"/>
        </w:rPr>
        <w:t>minimal</w:t>
      </w:r>
      <w:r w:rsidR="00260CEA" w:rsidRPr="004822B6">
        <w:rPr>
          <w:color w:val="000000" w:themeColor="text1"/>
        </w:rPr>
        <w:t xml:space="preserve"> </w:t>
      </w:r>
      <w:r w:rsidR="004C2B61" w:rsidRPr="004822B6">
        <w:rPr>
          <w:color w:val="000000" w:themeColor="text1"/>
        </w:rPr>
        <w:t xml:space="preserve">and that it </w:t>
      </w:r>
      <w:r w:rsidR="00931EC8" w:rsidRPr="004822B6">
        <w:rPr>
          <w:color w:val="000000" w:themeColor="text1"/>
        </w:rPr>
        <w:t>i</w:t>
      </w:r>
      <w:r w:rsidR="004C2B61" w:rsidRPr="004822B6">
        <w:rPr>
          <w:color w:val="000000" w:themeColor="text1"/>
        </w:rPr>
        <w:t>s not necessary for persons conducting the dealings to hold, or be covered by, a GM licence.</w:t>
      </w:r>
      <w:r w:rsidR="009A4647" w:rsidRPr="004822B6">
        <w:rPr>
          <w:color w:val="000000" w:themeColor="text1"/>
        </w:rPr>
        <w:t xml:space="preserve"> This RARMP was used to inform the Regulator’s decision on this application.</w:t>
      </w:r>
    </w:p>
    <w:p w14:paraId="5BA61229" w14:textId="4A02AB86" w:rsidR="004B36FB" w:rsidRPr="004822B6" w:rsidRDefault="004B36FB" w:rsidP="00415230">
      <w:pPr>
        <w:spacing w:before="240"/>
        <w:rPr>
          <w:color w:val="000000" w:themeColor="text1"/>
        </w:rPr>
      </w:pPr>
      <w:r w:rsidRPr="004822B6">
        <w:rPr>
          <w:color w:val="000000" w:themeColor="text1"/>
        </w:rPr>
        <w:t>The final RARMP for R</w:t>
      </w:r>
      <w:r w:rsidR="00A93022" w:rsidRPr="004822B6">
        <w:rPr>
          <w:color w:val="000000" w:themeColor="text1"/>
        </w:rPr>
        <w:t>egister</w:t>
      </w:r>
      <w:r w:rsidRPr="004822B6">
        <w:rPr>
          <w:color w:val="000000" w:themeColor="text1"/>
        </w:rPr>
        <w:t>-</w:t>
      </w:r>
      <w:r w:rsidR="00A93022" w:rsidRPr="004822B6">
        <w:rPr>
          <w:color w:val="000000" w:themeColor="text1"/>
        </w:rPr>
        <w:t>003</w:t>
      </w:r>
      <w:r w:rsidRPr="004822B6">
        <w:rPr>
          <w:color w:val="000000" w:themeColor="text1"/>
        </w:rPr>
        <w:t>, a copy of the determination and a Questions and Answers document can be f</w:t>
      </w:r>
      <w:r w:rsidR="00655A14" w:rsidRPr="004822B6">
        <w:rPr>
          <w:color w:val="000000" w:themeColor="text1"/>
        </w:rPr>
        <w:t xml:space="preserve">ound on the </w:t>
      </w:r>
      <w:hyperlink r:id="rId10" w:history="1">
        <w:r w:rsidR="00655A14" w:rsidRPr="004822B6">
          <w:rPr>
            <w:rStyle w:val="Hyperlink"/>
            <w:color w:val="000000" w:themeColor="text1"/>
          </w:rPr>
          <w:t>OGTR website</w:t>
        </w:r>
      </w:hyperlink>
      <w:r w:rsidR="00655A14" w:rsidRPr="004822B6">
        <w:rPr>
          <w:color w:val="000000" w:themeColor="text1"/>
        </w:rPr>
        <w:t xml:space="preserve"> under</w:t>
      </w:r>
      <w:r w:rsidR="00B90035" w:rsidRPr="004822B6">
        <w:rPr>
          <w:color w:val="000000" w:themeColor="text1"/>
        </w:rPr>
        <w:t xml:space="preserve"> New</w:t>
      </w:r>
      <w:r w:rsidR="00A93022" w:rsidRPr="004822B6">
        <w:rPr>
          <w:color w:val="000000" w:themeColor="text1"/>
        </w:rPr>
        <w:t>s</w:t>
      </w:r>
      <w:r w:rsidRPr="004822B6">
        <w:rPr>
          <w:color w:val="000000" w:themeColor="text1"/>
        </w:rPr>
        <w:t>.</w:t>
      </w:r>
    </w:p>
    <w:p w14:paraId="0D13A339" w14:textId="77777777" w:rsidR="004B36FB" w:rsidRPr="00EA6831" w:rsidRDefault="004B36FB" w:rsidP="004B36FB"/>
    <w:p w14:paraId="4569884A" w14:textId="77777777" w:rsidR="004B36FB" w:rsidRPr="00CB6C2A" w:rsidRDefault="004B36FB" w:rsidP="004B36FB">
      <w:pPr>
        <w:pStyle w:val="BodyText3"/>
        <w:keepNext/>
        <w:ind w:right="-2"/>
        <w:jc w:val="center"/>
        <w:rPr>
          <w:rFonts w:ascii="Calibri" w:hAnsi="Calibri"/>
          <w:sz w:val="22"/>
          <w:szCs w:val="22"/>
        </w:rPr>
      </w:pPr>
      <w:r w:rsidRPr="00CB6C2A">
        <w:rPr>
          <w:rFonts w:ascii="Calibri" w:hAnsi="Calibri"/>
          <w:sz w:val="22"/>
          <w:szCs w:val="22"/>
        </w:rPr>
        <w:t>Office of the Gene Technology Regulator</w:t>
      </w:r>
      <w:r w:rsidRPr="00CB6C2A">
        <w:rPr>
          <w:rFonts w:ascii="Calibri" w:hAnsi="Calibri"/>
          <w:sz w:val="22"/>
          <w:szCs w:val="22"/>
        </w:rPr>
        <w:br/>
        <w:t>MDP 54 GPO Box 9848 CANBERRA ACT 2601</w:t>
      </w:r>
    </w:p>
    <w:p w14:paraId="7C9E5CC4" w14:textId="207D04F1" w:rsidR="004B36FB" w:rsidRPr="003F7A06" w:rsidRDefault="004B36FB" w:rsidP="004B36FB">
      <w:pPr>
        <w:pStyle w:val="BodyText3"/>
        <w:keepNext/>
        <w:ind w:right="-2"/>
        <w:jc w:val="center"/>
        <w:rPr>
          <w:rFonts w:ascii="Calibri" w:hAnsi="Calibri"/>
          <w:b w:val="0"/>
          <w:sz w:val="22"/>
          <w:szCs w:val="22"/>
          <w:u w:val="single"/>
        </w:rPr>
      </w:pPr>
      <w:r w:rsidRPr="00CB6C2A">
        <w:rPr>
          <w:rFonts w:ascii="Calibri" w:hAnsi="Calibri"/>
          <w:sz w:val="22"/>
          <w:szCs w:val="22"/>
        </w:rPr>
        <w:t xml:space="preserve">Telephone: 1800 181 030   </w:t>
      </w:r>
      <w:hyperlink r:id="rId11" w:history="1">
        <w:r w:rsidR="00C06FEA">
          <w:rPr>
            <w:rStyle w:val="Hyperlink"/>
            <w:rFonts w:ascii="Calibri" w:hAnsi="Calibri"/>
            <w:color w:val="auto"/>
            <w:sz w:val="22"/>
            <w:szCs w:val="22"/>
          </w:rPr>
          <w:t>OGTR Website</w:t>
        </w:r>
      </w:hyperlink>
    </w:p>
    <w:p w14:paraId="6259BBE5" w14:textId="77777777" w:rsidR="004B36FB" w:rsidRPr="003F7A06" w:rsidRDefault="004B36FB" w:rsidP="004B36FB">
      <w:pPr>
        <w:ind w:right="-2"/>
        <w:jc w:val="center"/>
        <w:rPr>
          <w:b/>
        </w:rPr>
      </w:pPr>
      <w:r w:rsidRPr="003F7A06">
        <w:rPr>
          <w:b/>
          <w:szCs w:val="22"/>
        </w:rPr>
        <w:t xml:space="preserve">E-mail: </w:t>
      </w:r>
      <w:hyperlink r:id="rId12" w:history="1">
        <w:r w:rsidRPr="003F7A06">
          <w:rPr>
            <w:rStyle w:val="Hyperlink"/>
            <w:b/>
            <w:color w:val="auto"/>
            <w:szCs w:val="22"/>
          </w:rPr>
          <w:t>ogtr</w:t>
        </w:r>
        <w:bookmarkStart w:id="0" w:name="_Hlt531691726"/>
        <w:r w:rsidRPr="003F7A06">
          <w:rPr>
            <w:rStyle w:val="Hyperlink"/>
            <w:b/>
            <w:color w:val="auto"/>
            <w:szCs w:val="22"/>
          </w:rPr>
          <w:t>@</w:t>
        </w:r>
        <w:bookmarkEnd w:id="0"/>
        <w:r w:rsidRPr="003F7A06">
          <w:rPr>
            <w:rStyle w:val="Hyperlink"/>
            <w:b/>
            <w:color w:val="auto"/>
            <w:szCs w:val="22"/>
          </w:rPr>
          <w:t>health.gov.au</w:t>
        </w:r>
      </w:hyperlink>
    </w:p>
    <w:sectPr w:rsidR="004B36FB" w:rsidRPr="003F7A06" w:rsidSect="004B36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6E86" w14:textId="77777777" w:rsidR="009A4C82" w:rsidRDefault="009A4C82" w:rsidP="0060120C">
      <w:pPr>
        <w:spacing w:after="0" w:line="240" w:lineRule="auto"/>
      </w:pPr>
      <w:r>
        <w:separator/>
      </w:r>
    </w:p>
  </w:endnote>
  <w:endnote w:type="continuationSeparator" w:id="0">
    <w:p w14:paraId="0F51CAFF" w14:textId="77777777" w:rsidR="009A4C82" w:rsidRDefault="009A4C82" w:rsidP="0060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FA1B" w14:textId="77777777" w:rsidR="009A4C82" w:rsidRDefault="009A4C82" w:rsidP="0060120C">
      <w:pPr>
        <w:spacing w:after="0" w:line="240" w:lineRule="auto"/>
      </w:pPr>
      <w:r>
        <w:separator/>
      </w:r>
    </w:p>
  </w:footnote>
  <w:footnote w:type="continuationSeparator" w:id="0">
    <w:p w14:paraId="7BDC9086" w14:textId="77777777" w:rsidR="009A4C82" w:rsidRDefault="009A4C82" w:rsidP="00601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11"/>
    <w:rsid w:val="00005DA7"/>
    <w:rsid w:val="000144D2"/>
    <w:rsid w:val="00016F67"/>
    <w:rsid w:val="000265C6"/>
    <w:rsid w:val="00030FDE"/>
    <w:rsid w:val="0008148C"/>
    <w:rsid w:val="00093AA2"/>
    <w:rsid w:val="000A5D32"/>
    <w:rsid w:val="000B14DF"/>
    <w:rsid w:val="000C5B5E"/>
    <w:rsid w:val="000E7BE0"/>
    <w:rsid w:val="001607BD"/>
    <w:rsid w:val="001A3EBF"/>
    <w:rsid w:val="001B382A"/>
    <w:rsid w:val="001C5EF2"/>
    <w:rsid w:val="002478B1"/>
    <w:rsid w:val="00260CEA"/>
    <w:rsid w:val="00280050"/>
    <w:rsid w:val="00376655"/>
    <w:rsid w:val="003806C9"/>
    <w:rsid w:val="003863C9"/>
    <w:rsid w:val="003B17ED"/>
    <w:rsid w:val="003B6066"/>
    <w:rsid w:val="003F7A06"/>
    <w:rsid w:val="00415230"/>
    <w:rsid w:val="0042388D"/>
    <w:rsid w:val="00443EC6"/>
    <w:rsid w:val="004822B6"/>
    <w:rsid w:val="004A021C"/>
    <w:rsid w:val="004A372D"/>
    <w:rsid w:val="004B36FB"/>
    <w:rsid w:val="004C2B61"/>
    <w:rsid w:val="00514A62"/>
    <w:rsid w:val="00564406"/>
    <w:rsid w:val="005D2748"/>
    <w:rsid w:val="005E3729"/>
    <w:rsid w:val="0060120C"/>
    <w:rsid w:val="00615D78"/>
    <w:rsid w:val="00616387"/>
    <w:rsid w:val="00626634"/>
    <w:rsid w:val="00655A14"/>
    <w:rsid w:val="006960EB"/>
    <w:rsid w:val="006C6FF7"/>
    <w:rsid w:val="006C71B3"/>
    <w:rsid w:val="0076076B"/>
    <w:rsid w:val="00794E4B"/>
    <w:rsid w:val="007D6A0A"/>
    <w:rsid w:val="007F3C13"/>
    <w:rsid w:val="007F5401"/>
    <w:rsid w:val="00810DD3"/>
    <w:rsid w:val="008414EF"/>
    <w:rsid w:val="00861372"/>
    <w:rsid w:val="00883774"/>
    <w:rsid w:val="008B224E"/>
    <w:rsid w:val="00907AF9"/>
    <w:rsid w:val="00931EC8"/>
    <w:rsid w:val="009342F5"/>
    <w:rsid w:val="009605F7"/>
    <w:rsid w:val="0096636D"/>
    <w:rsid w:val="00983D0D"/>
    <w:rsid w:val="009A4647"/>
    <w:rsid w:val="009A4C82"/>
    <w:rsid w:val="009F0708"/>
    <w:rsid w:val="00A43558"/>
    <w:rsid w:val="00A93022"/>
    <w:rsid w:val="00AE1D7F"/>
    <w:rsid w:val="00AE4357"/>
    <w:rsid w:val="00AE5F95"/>
    <w:rsid w:val="00AF15CC"/>
    <w:rsid w:val="00B11662"/>
    <w:rsid w:val="00B16E8B"/>
    <w:rsid w:val="00B3298D"/>
    <w:rsid w:val="00B85064"/>
    <w:rsid w:val="00B90035"/>
    <w:rsid w:val="00C06FEA"/>
    <w:rsid w:val="00C23004"/>
    <w:rsid w:val="00CC5693"/>
    <w:rsid w:val="00CF5DC0"/>
    <w:rsid w:val="00D040F3"/>
    <w:rsid w:val="00DC4890"/>
    <w:rsid w:val="00E02E5A"/>
    <w:rsid w:val="00E06E50"/>
    <w:rsid w:val="00E34387"/>
    <w:rsid w:val="00EA19C9"/>
    <w:rsid w:val="00F14D6C"/>
    <w:rsid w:val="00F61411"/>
    <w:rsid w:val="00F6195D"/>
    <w:rsid w:val="00F86C3A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C1A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4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5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3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30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6FB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4B36F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BodyText3Char">
    <w:name w:val="Body Text 3 Char"/>
    <w:basedOn w:val="DefaultParagraphFont"/>
    <w:link w:val="BodyText3"/>
    <w:rsid w:val="004B36FB"/>
    <w:rPr>
      <w:rFonts w:eastAsia="Times New Roman"/>
      <w:b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F54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E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F67"/>
    <w:pPr>
      <w:spacing w:after="0" w:line="240" w:lineRule="auto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601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0C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601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20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what-weve-approved/gmo-regist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gtr.gov.au/gmo-dealings/dealings-involving-intentional-release/dir-0202002" TargetMode="External"/><Relationship Id="rId12" Type="http://schemas.openxmlformats.org/officeDocument/2006/relationships/hyperlink" Target="mailto:ogtr@health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gtr.gov.a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ogtr.gov.a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gtr.gov.au/work-gmos/about-approval-process/gmo-regi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003 - Notification of determination</dc:title>
  <dc:subject/>
  <dc:creator/>
  <cp:keywords/>
  <dc:description/>
  <cp:lastModifiedBy/>
  <cp:revision>1</cp:revision>
  <dcterms:created xsi:type="dcterms:W3CDTF">2024-08-19T21:31:00Z</dcterms:created>
  <dcterms:modified xsi:type="dcterms:W3CDTF">2024-08-19T21:31:00Z</dcterms:modified>
</cp:coreProperties>
</file>