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5C3D" w14:textId="487BDFF0" w:rsidR="00280050" w:rsidRDefault="003716AC" w:rsidP="00B1284D">
      <w:r>
        <w:rPr>
          <w:noProof/>
        </w:rPr>
        <w:drawing>
          <wp:inline distT="0" distB="0" distL="0" distR="0" wp14:anchorId="3FE40CD6" wp14:editId="2ACD3A52">
            <wp:extent cx="3297600" cy="756000"/>
            <wp:effectExtent l="0" t="0" r="0" b="635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the Office of the Gene Technology Regulato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7600" cy="756000"/>
                    </a:xfrm>
                    <a:prstGeom prst="rect">
                      <a:avLst/>
                    </a:prstGeom>
                  </pic:spPr>
                </pic:pic>
              </a:graphicData>
            </a:graphic>
          </wp:inline>
        </w:drawing>
      </w:r>
    </w:p>
    <w:p w14:paraId="587A69A0" w14:textId="735B196A" w:rsidR="009F544D" w:rsidRDefault="009F544D" w:rsidP="000D48DE">
      <w:pPr>
        <w:jc w:val="right"/>
      </w:pPr>
    </w:p>
    <w:p w14:paraId="1CDE9435" w14:textId="77777777" w:rsidR="000D48DE" w:rsidRDefault="000D48DE" w:rsidP="00B1284D">
      <w:pPr>
        <w:pStyle w:val="TitlePage"/>
      </w:pPr>
    </w:p>
    <w:p w14:paraId="6B32F451" w14:textId="3625B5C8" w:rsidR="002B086B" w:rsidRPr="006C26CE" w:rsidRDefault="009F544D" w:rsidP="00815044">
      <w:pPr>
        <w:pStyle w:val="TitlePage"/>
        <w:spacing w:before="240"/>
        <w:rPr>
          <w:sz w:val="52"/>
          <w:szCs w:val="52"/>
        </w:rPr>
      </w:pPr>
      <w:r w:rsidRPr="006C26CE">
        <w:rPr>
          <w:sz w:val="52"/>
          <w:szCs w:val="52"/>
        </w:rPr>
        <w:t xml:space="preserve">Risk Assessment </w:t>
      </w:r>
      <w:r w:rsidR="002B086B" w:rsidRPr="006C26CE">
        <w:rPr>
          <w:sz w:val="52"/>
          <w:szCs w:val="52"/>
        </w:rPr>
        <w:t>and Risk Management Plan</w:t>
      </w:r>
    </w:p>
    <w:p w14:paraId="1CD3B56C" w14:textId="77777777" w:rsidR="009F544D" w:rsidRPr="006C26CE" w:rsidRDefault="009F544D" w:rsidP="00815044">
      <w:pPr>
        <w:pStyle w:val="TitlePage"/>
        <w:spacing w:before="240"/>
        <w:rPr>
          <w:sz w:val="52"/>
          <w:szCs w:val="52"/>
        </w:rPr>
      </w:pPr>
      <w:r w:rsidRPr="006C26CE">
        <w:rPr>
          <w:sz w:val="52"/>
          <w:szCs w:val="52"/>
        </w:rPr>
        <w:t xml:space="preserve">for </w:t>
      </w:r>
    </w:p>
    <w:p w14:paraId="00E3BC97" w14:textId="485CBE10" w:rsidR="009F544D" w:rsidRPr="008654CF" w:rsidRDefault="009F544D" w:rsidP="00815044">
      <w:pPr>
        <w:pStyle w:val="TitlePage"/>
        <w:spacing w:before="240" w:after="240"/>
      </w:pPr>
      <w:r w:rsidRPr="006C26CE">
        <w:rPr>
          <w:sz w:val="52"/>
          <w:szCs w:val="52"/>
        </w:rPr>
        <w:t>Register 00</w:t>
      </w:r>
      <w:r w:rsidR="00EB31B2" w:rsidRPr="006C26CE">
        <w:rPr>
          <w:sz w:val="52"/>
          <w:szCs w:val="52"/>
        </w:rPr>
        <w:t>3</w:t>
      </w:r>
    </w:p>
    <w:p w14:paraId="3BC6A3DA" w14:textId="1D34E21C" w:rsidR="009F544D" w:rsidRDefault="009F544D" w:rsidP="00815044">
      <w:pPr>
        <w:pStyle w:val="TitlePage2"/>
        <w:spacing w:before="480" w:after="480"/>
      </w:pPr>
      <w:r w:rsidRPr="008654CF">
        <w:t xml:space="preserve">Inclusion of dealings with </w:t>
      </w:r>
      <w:r w:rsidR="00EF7E42" w:rsidRPr="008654CF">
        <w:t>MON-ØØØ73-7</w:t>
      </w:r>
      <w:r w:rsidR="00E71FBA">
        <w:t xml:space="preserve"> </w:t>
      </w:r>
      <w:r w:rsidR="004B72DA" w:rsidRPr="008654CF">
        <w:t>canola</w:t>
      </w:r>
      <w:r w:rsidRPr="008654CF">
        <w:t xml:space="preserve">, </w:t>
      </w:r>
      <w:r w:rsidR="00E71FBA">
        <w:t xml:space="preserve">genetically </w:t>
      </w:r>
      <w:r w:rsidRPr="008654CF">
        <w:t xml:space="preserve">modified for </w:t>
      </w:r>
      <w:r w:rsidR="00EB31B2" w:rsidRPr="008654CF">
        <w:t>herbicide tolerance</w:t>
      </w:r>
      <w:r w:rsidRPr="009F544D">
        <w:t>, on the GMO Register</w:t>
      </w:r>
    </w:p>
    <w:p w14:paraId="61860661" w14:textId="61F88780" w:rsidR="000D48DE" w:rsidRDefault="00D27645" w:rsidP="00D27645">
      <w:pPr>
        <w:pStyle w:val="TitlePage2"/>
        <w:spacing w:before="480"/>
      </w:pPr>
      <w:r>
        <w:t>August 2024</w:t>
      </w:r>
    </w:p>
    <w:p w14:paraId="707FACEF" w14:textId="7A8C72CF" w:rsidR="00D27645" w:rsidRDefault="00D27645" w:rsidP="00B1284D">
      <w:pPr>
        <w:pStyle w:val="TitlePage2"/>
        <w:sectPr w:rsidR="00D27645" w:rsidSect="001A252A">
          <w:headerReference w:type="default" r:id="rId9"/>
          <w:footerReference w:type="default" r:id="rId10"/>
          <w:pgSz w:w="11906" w:h="16838"/>
          <w:pgMar w:top="1134" w:right="1134" w:bottom="1134" w:left="1134" w:header="709" w:footer="709" w:gutter="0"/>
          <w:cols w:space="708"/>
          <w:titlePg/>
          <w:docGrid w:linePitch="360"/>
        </w:sectPr>
      </w:pPr>
    </w:p>
    <w:p w14:paraId="6D1A4B00" w14:textId="48B06BEE" w:rsidR="002B086B" w:rsidRPr="00EC1089" w:rsidRDefault="002B086B" w:rsidP="003C382F">
      <w:pPr>
        <w:jc w:val="center"/>
        <w:rPr>
          <w:rStyle w:val="Strong"/>
        </w:rPr>
      </w:pPr>
      <w:r w:rsidRPr="00EC1089">
        <w:rPr>
          <w:rStyle w:val="Strong"/>
        </w:rPr>
        <w:lastRenderedPageBreak/>
        <w:t>PAGE INTENTIONALLY LEFT BLANK</w:t>
      </w:r>
    </w:p>
    <w:p w14:paraId="24BC3AB5" w14:textId="77777777" w:rsidR="002B086B" w:rsidRDefault="002B086B" w:rsidP="00B1284D">
      <w:pPr>
        <w:sectPr w:rsidR="002B086B" w:rsidSect="009F544D">
          <w:pgSz w:w="11906" w:h="16838"/>
          <w:pgMar w:top="1134" w:right="1134" w:bottom="1134" w:left="1134" w:header="709" w:footer="709" w:gutter="0"/>
          <w:cols w:space="708"/>
          <w:docGrid w:linePitch="360"/>
        </w:sectPr>
      </w:pPr>
    </w:p>
    <w:p w14:paraId="7B999F21" w14:textId="77777777" w:rsidR="00856B48" w:rsidRDefault="00856B48" w:rsidP="00D45D6D">
      <w:pPr>
        <w:pStyle w:val="Heading2"/>
        <w:spacing w:after="120"/>
      </w:pPr>
      <w:r>
        <w:lastRenderedPageBreak/>
        <w:t>Legislation</w:t>
      </w:r>
    </w:p>
    <w:p w14:paraId="4F7AB557" w14:textId="1392D0F7" w:rsidR="00856B48" w:rsidRDefault="00EF3C81" w:rsidP="004B4B0B">
      <w:pPr>
        <w:pStyle w:val="RARMPPara"/>
      </w:pPr>
      <w:r>
        <w:t xml:space="preserve">The </w:t>
      </w:r>
      <w:r w:rsidRPr="000B0D88">
        <w:rPr>
          <w:i/>
        </w:rPr>
        <w:t>Gene Technology Act 200</w:t>
      </w:r>
      <w:r w:rsidR="00E5398B" w:rsidRPr="000B0D88">
        <w:rPr>
          <w:i/>
        </w:rPr>
        <w:t>0</w:t>
      </w:r>
      <w:r>
        <w:t xml:space="preserve"> (the Act) contains </w:t>
      </w:r>
      <w:proofErr w:type="gramStart"/>
      <w:r>
        <w:t xml:space="preserve">a </w:t>
      </w:r>
      <w:r w:rsidR="00E80D92">
        <w:t>number of</w:t>
      </w:r>
      <w:proofErr w:type="gramEnd"/>
      <w:r w:rsidR="00E80D92">
        <w:t xml:space="preserve"> </w:t>
      </w:r>
      <w:r w:rsidR="001016B9">
        <w:t xml:space="preserve">requirements </w:t>
      </w:r>
      <w:r w:rsidR="00E80D92">
        <w:t xml:space="preserve">related to the GMO Register. </w:t>
      </w:r>
      <w:r w:rsidR="0024016E">
        <w:t>There must be a Register</w:t>
      </w:r>
      <w:r w:rsidR="001548F0">
        <w:t xml:space="preserve"> (</w:t>
      </w:r>
      <w:r w:rsidR="0024016E">
        <w:t>The Register</w:t>
      </w:r>
      <w:r w:rsidR="001548F0">
        <w:t>)</w:t>
      </w:r>
      <w:r w:rsidR="0024016E">
        <w:t xml:space="preserve"> which must be maintained by the Gene Technology Regulator (the Regulator) (s76).</w:t>
      </w:r>
      <w:r w:rsidR="00E80D92">
        <w:t xml:space="preserve"> </w:t>
      </w:r>
      <w:r w:rsidR="0024016E">
        <w:t xml:space="preserve">For any dealing included on </w:t>
      </w:r>
      <w:r w:rsidR="001548F0">
        <w:t>The</w:t>
      </w:r>
      <w:r w:rsidR="0024016E">
        <w:t xml:space="preserve"> Register, the Regulator must specify </w:t>
      </w:r>
      <w:r w:rsidR="0024016E" w:rsidRPr="00856B48">
        <w:t>a description o</w:t>
      </w:r>
      <w:r w:rsidR="0024016E">
        <w:t xml:space="preserve">f the dealing with the </w:t>
      </w:r>
      <w:r w:rsidR="001548F0">
        <w:t>genetically modified organism (</w:t>
      </w:r>
      <w:r w:rsidR="0024016E">
        <w:t>GMO</w:t>
      </w:r>
      <w:r w:rsidR="001548F0">
        <w:t>)</w:t>
      </w:r>
      <w:r w:rsidR="0024016E">
        <w:t xml:space="preserve">; and </w:t>
      </w:r>
      <w:r w:rsidR="0024016E" w:rsidRPr="00856B48">
        <w:t>any condition to which the dealing is subject</w:t>
      </w:r>
      <w:r w:rsidR="0024016E">
        <w:t xml:space="preserve"> (s77).</w:t>
      </w:r>
    </w:p>
    <w:p w14:paraId="318BAA4A" w14:textId="3C5386F5" w:rsidR="00856B48" w:rsidRPr="008654CF" w:rsidRDefault="0024016E" w:rsidP="00923A59">
      <w:pPr>
        <w:pStyle w:val="RARMPPara"/>
      </w:pPr>
      <w:r>
        <w:t xml:space="preserve">The </w:t>
      </w:r>
      <w:r w:rsidR="00856B48" w:rsidRPr="00856B48">
        <w:t>Re</w:t>
      </w:r>
      <w:r w:rsidR="00856B48" w:rsidRPr="000B0D88">
        <w:t>gulator may</w:t>
      </w:r>
      <w:r w:rsidR="00416747" w:rsidRPr="000B0D88">
        <w:t>, by a legislative instrument, determine that a</w:t>
      </w:r>
      <w:r w:rsidR="00856B48" w:rsidRPr="000B0D88">
        <w:t xml:space="preserve"> dealing with </w:t>
      </w:r>
      <w:r w:rsidR="00416747" w:rsidRPr="000B0D88">
        <w:t xml:space="preserve">a GMO is to be included </w:t>
      </w:r>
      <w:r w:rsidR="00856B48" w:rsidRPr="000B0D88">
        <w:t>on</w:t>
      </w:r>
      <w:r w:rsidR="00416747" w:rsidRPr="000B0D88">
        <w:t xml:space="preserve"> the</w:t>
      </w:r>
      <w:r w:rsidR="00856B48" w:rsidRPr="000B0D88">
        <w:t xml:space="preserve"> GMO Register</w:t>
      </w:r>
      <w:r w:rsidR="00416747" w:rsidRPr="000B0D88">
        <w:t>. To do so, the Regulator must be</w:t>
      </w:r>
      <w:r w:rsidRPr="000B0D88">
        <w:t xml:space="preserve"> satisfied that the dealing is, or has been, authorised by a GMO licence; or</w:t>
      </w:r>
      <w:r w:rsidRPr="00923A59">
        <w:t xml:space="preserve"> the GMO concerned is a </w:t>
      </w:r>
      <w:r w:rsidR="00B72B37">
        <w:t>genetically modified (</w:t>
      </w:r>
      <w:r w:rsidRPr="00923A59">
        <w:t>GM</w:t>
      </w:r>
      <w:r w:rsidR="00B72B37">
        <w:t>)</w:t>
      </w:r>
      <w:r w:rsidRPr="00923A59">
        <w:t xml:space="preserve"> product and is a GMO only because of regulations made </w:t>
      </w:r>
      <w:r w:rsidRPr="003C0674">
        <w:t xml:space="preserve">under the definition (s10) of </w:t>
      </w:r>
      <w:r w:rsidRPr="000B0D88">
        <w:rPr>
          <w:b/>
          <w:i/>
        </w:rPr>
        <w:t>genetically modified organism</w:t>
      </w:r>
      <w:r w:rsidRPr="000B0D88">
        <w:t xml:space="preserve">. This </w:t>
      </w:r>
      <w:r w:rsidR="001548F0" w:rsidRPr="000B0D88">
        <w:t>decision</w:t>
      </w:r>
      <w:r w:rsidRPr="000B0D88">
        <w:t xml:space="preserve"> may be made </w:t>
      </w:r>
      <w:r w:rsidR="001548F0" w:rsidRPr="000B0D88">
        <w:t>in response to an</w:t>
      </w:r>
      <w:r w:rsidR="007C209A" w:rsidRPr="000B0D88">
        <w:t xml:space="preserve"> </w:t>
      </w:r>
      <w:r w:rsidRPr="000B0D88">
        <w:t xml:space="preserve">application by the licence holder or on the initiative of the </w:t>
      </w:r>
      <w:r w:rsidRPr="008654CF">
        <w:t>Regulator</w:t>
      </w:r>
      <w:r w:rsidR="00224F83" w:rsidRPr="008654CF">
        <w:t xml:space="preserve"> (s78(2))</w:t>
      </w:r>
      <w:r w:rsidRPr="008654CF">
        <w:t xml:space="preserve">. The </w:t>
      </w:r>
      <w:r w:rsidR="00C318E4" w:rsidRPr="008654CF">
        <w:t xml:space="preserve">decision to </w:t>
      </w:r>
      <w:r w:rsidRPr="008654CF">
        <w:t>include</w:t>
      </w:r>
      <w:r w:rsidR="00C318E4" w:rsidRPr="008654CF">
        <w:t xml:space="preserve"> </w:t>
      </w:r>
      <w:r w:rsidRPr="008654CF">
        <w:t>d</w:t>
      </w:r>
      <w:r w:rsidR="00C318E4" w:rsidRPr="008654CF">
        <w:t>ealings</w:t>
      </w:r>
      <w:r w:rsidRPr="008654CF">
        <w:t xml:space="preserve"> on the GMO Register comes into effect on the day specified in the de</w:t>
      </w:r>
      <w:r w:rsidR="00C318E4" w:rsidRPr="008654CF">
        <w:t>cision (s78</w:t>
      </w:r>
      <w:r w:rsidR="00224F83" w:rsidRPr="008654CF">
        <w:t>(3)</w:t>
      </w:r>
      <w:r w:rsidR="00C318E4" w:rsidRPr="008654CF">
        <w:t>)</w:t>
      </w:r>
      <w:r w:rsidRPr="008654CF">
        <w:t>.</w:t>
      </w:r>
    </w:p>
    <w:p w14:paraId="5610B0FF" w14:textId="68A62824" w:rsidR="00C318E4" w:rsidRPr="008654CF" w:rsidRDefault="00C318E4" w:rsidP="00923A59">
      <w:pPr>
        <w:pStyle w:val="RARMPPara"/>
      </w:pPr>
      <w:r w:rsidRPr="008654CF">
        <w:t xml:space="preserve">The Regulator must not decide to include dealings with a GMO on the GMO Register unless </w:t>
      </w:r>
      <w:r w:rsidR="00856B48" w:rsidRPr="008654CF">
        <w:t>satisfied</w:t>
      </w:r>
      <w:r w:rsidR="001548F0" w:rsidRPr="008654CF">
        <w:t xml:space="preserve"> that</w:t>
      </w:r>
      <w:r w:rsidRPr="008654CF">
        <w:t xml:space="preserve"> </w:t>
      </w:r>
      <w:r w:rsidR="00856B48" w:rsidRPr="008654CF">
        <w:t>any risks posed by the dealing are minimal; and</w:t>
      </w:r>
      <w:r w:rsidRPr="008654CF">
        <w:t xml:space="preserve"> </w:t>
      </w:r>
      <w:r w:rsidR="00F7397E" w:rsidRPr="008654CF">
        <w:t xml:space="preserve">that </w:t>
      </w:r>
      <w:r w:rsidRPr="008654CF">
        <w:t xml:space="preserve">it is not necessary for persons undertaking the dealing to hold, or be covered by a GMO licence, </w:t>
      </w:r>
      <w:proofErr w:type="gramStart"/>
      <w:r w:rsidRPr="008654CF">
        <w:t>in order to</w:t>
      </w:r>
      <w:proofErr w:type="gramEnd"/>
      <w:r w:rsidRPr="008654CF">
        <w:t xml:space="preserve"> protect the health and safety of people or to protect the environment</w:t>
      </w:r>
      <w:r w:rsidR="001016B9" w:rsidRPr="008654CF">
        <w:t xml:space="preserve"> (s79(1))</w:t>
      </w:r>
      <w:r w:rsidRPr="008654CF">
        <w:t xml:space="preserve">. </w:t>
      </w:r>
    </w:p>
    <w:p w14:paraId="596317DA" w14:textId="103D716C" w:rsidR="00856B48" w:rsidRPr="008654CF" w:rsidRDefault="00C318E4" w:rsidP="00923A59">
      <w:pPr>
        <w:pStyle w:val="RARMPPara"/>
      </w:pPr>
      <w:r w:rsidRPr="008654CF">
        <w:t xml:space="preserve">The Regulator must consider </w:t>
      </w:r>
      <w:r w:rsidR="00856B48" w:rsidRPr="008654CF">
        <w:t xml:space="preserve">any </w:t>
      </w:r>
      <w:r w:rsidRPr="008654CF">
        <w:t xml:space="preserve">available </w:t>
      </w:r>
      <w:r w:rsidR="00856B48" w:rsidRPr="008654CF">
        <w:t>data about advers</w:t>
      </w:r>
      <w:r w:rsidRPr="008654CF">
        <w:t>e effects posed by the dealing;</w:t>
      </w:r>
      <w:r w:rsidR="00856B48" w:rsidRPr="008654CF">
        <w:t xml:space="preserve"> other information as to risks associated with the dealing including information provided to the Regulator by a licence holde</w:t>
      </w:r>
      <w:r w:rsidRPr="008654CF">
        <w:t>r (s</w:t>
      </w:r>
      <w:r w:rsidR="00856B48" w:rsidRPr="008654CF">
        <w:t>65</w:t>
      </w:r>
      <w:r w:rsidRPr="008654CF">
        <w:t>)</w:t>
      </w:r>
      <w:r w:rsidR="00856B48" w:rsidRPr="008654CF">
        <w:t xml:space="preserve"> or by another person</w:t>
      </w:r>
      <w:r w:rsidR="001548F0" w:rsidRPr="008654CF">
        <w:t xml:space="preserve"> </w:t>
      </w:r>
      <w:r w:rsidRPr="008654CF">
        <w:t>(s</w:t>
      </w:r>
      <w:r w:rsidR="00856B48" w:rsidRPr="008654CF">
        <w:t>66</w:t>
      </w:r>
      <w:r w:rsidRPr="008654CF">
        <w:t>)</w:t>
      </w:r>
      <w:r w:rsidR="001548F0" w:rsidRPr="008654CF">
        <w:t xml:space="preserve">; </w:t>
      </w:r>
      <w:r w:rsidR="00856B48" w:rsidRPr="008654CF">
        <w:t>whether there is a need for the dealing to be subject to conditions;</w:t>
      </w:r>
      <w:r w:rsidR="001548F0" w:rsidRPr="008654CF">
        <w:t xml:space="preserve"> </w:t>
      </w:r>
      <w:r w:rsidR="00856B48" w:rsidRPr="008654CF">
        <w:t>any other information in relation to whether the dealing should be authorised by a GMO licence</w:t>
      </w:r>
      <w:r w:rsidR="001016B9" w:rsidRPr="008654CF">
        <w:t xml:space="preserve"> (s79(2))</w:t>
      </w:r>
      <w:r w:rsidR="00856B48" w:rsidRPr="008654CF">
        <w:t>.</w:t>
      </w:r>
      <w:r w:rsidR="001548F0" w:rsidRPr="008654CF">
        <w:t xml:space="preserve"> </w:t>
      </w:r>
      <w:r w:rsidR="00856B48" w:rsidRPr="008654CF">
        <w:t xml:space="preserve">The Regulator may have regard to </w:t>
      </w:r>
      <w:r w:rsidR="001548F0" w:rsidRPr="008654CF">
        <w:t>other matters</w:t>
      </w:r>
      <w:r w:rsidR="00856B48" w:rsidRPr="008654CF">
        <w:t xml:space="preserve"> the</w:t>
      </w:r>
      <w:r w:rsidR="001548F0" w:rsidRPr="008654CF">
        <w:t xml:space="preserve">y </w:t>
      </w:r>
      <w:r w:rsidR="00856B48" w:rsidRPr="008654CF">
        <w:t>consider relevant</w:t>
      </w:r>
      <w:r w:rsidR="001548F0" w:rsidRPr="008654CF">
        <w:t xml:space="preserve"> (s79</w:t>
      </w:r>
      <w:r w:rsidR="001016B9" w:rsidRPr="008654CF">
        <w:t>(3)</w:t>
      </w:r>
      <w:r w:rsidR="001548F0" w:rsidRPr="008654CF">
        <w:t>)</w:t>
      </w:r>
      <w:r w:rsidR="00FA7676" w:rsidRPr="008654CF">
        <w:t>.</w:t>
      </w:r>
    </w:p>
    <w:p w14:paraId="30A2D98B" w14:textId="6B6D2F7B" w:rsidR="00E84468" w:rsidRPr="008654CF" w:rsidRDefault="00BC52E6" w:rsidP="00923A59">
      <w:pPr>
        <w:pStyle w:val="RARMPPara"/>
      </w:pPr>
      <w:r w:rsidRPr="008654CF">
        <w:t xml:space="preserve">Currently there </w:t>
      </w:r>
      <w:r w:rsidR="00133DF6" w:rsidRPr="008654CF">
        <w:t>are</w:t>
      </w:r>
      <w:r w:rsidRPr="008654CF">
        <w:t xml:space="preserve"> </w:t>
      </w:r>
      <w:r w:rsidR="00133DF6" w:rsidRPr="008654CF">
        <w:t>two</w:t>
      </w:r>
      <w:r w:rsidRPr="008654CF">
        <w:t xml:space="preserve"> entr</w:t>
      </w:r>
      <w:r w:rsidR="00133DF6" w:rsidRPr="008654CF">
        <w:t>ies</w:t>
      </w:r>
      <w:r w:rsidRPr="008654CF">
        <w:t xml:space="preserve"> in</w:t>
      </w:r>
      <w:r w:rsidR="00E82473" w:rsidRPr="008654CF">
        <w:t xml:space="preserve"> </w:t>
      </w:r>
      <w:r w:rsidRPr="008654CF">
        <w:t>the GMO Register</w:t>
      </w:r>
      <w:r w:rsidR="002F5303" w:rsidRPr="008654CF">
        <w:t xml:space="preserve"> </w:t>
      </w:r>
      <w:bookmarkStart w:id="0" w:name="_Hlk85552637"/>
      <w:r w:rsidR="002F5303" w:rsidRPr="008654CF">
        <w:t>-</w:t>
      </w:r>
      <w:r w:rsidRPr="008654CF">
        <w:t xml:space="preserve"> Register 001/2004</w:t>
      </w:r>
      <w:r w:rsidR="00133DF6" w:rsidRPr="008654CF">
        <w:t xml:space="preserve"> </w:t>
      </w:r>
      <w:bookmarkEnd w:id="0"/>
      <w:r w:rsidR="00133DF6" w:rsidRPr="008654CF">
        <w:t>and Register 002.</w:t>
      </w:r>
      <w:r w:rsidRPr="008654CF">
        <w:t xml:space="preserve"> </w:t>
      </w:r>
      <w:r w:rsidR="004601E9" w:rsidRPr="008654CF">
        <w:t xml:space="preserve">Register 001/2004 </w:t>
      </w:r>
      <w:r w:rsidRPr="008654CF">
        <w:t>authorise</w:t>
      </w:r>
      <w:r w:rsidR="004601E9" w:rsidRPr="008654CF">
        <w:t>s</w:t>
      </w:r>
      <w:r w:rsidRPr="008654CF">
        <w:t xml:space="preserve"> dealings for</w:t>
      </w:r>
      <w:r w:rsidR="00580136" w:rsidRPr="008654CF">
        <w:t xml:space="preserve"> c</w:t>
      </w:r>
      <w:r w:rsidRPr="008654CF">
        <w:t xml:space="preserve">ommercial release of </w:t>
      </w:r>
      <w:r w:rsidR="009C6D27" w:rsidRPr="008654CF">
        <w:t xml:space="preserve">four lines of </w:t>
      </w:r>
      <w:r w:rsidRPr="008654CF">
        <w:t>colour modified GM carnations</w:t>
      </w:r>
      <w:r w:rsidR="00B435C7" w:rsidRPr="008654CF">
        <w:t xml:space="preserve">. The dealings </w:t>
      </w:r>
      <w:r w:rsidR="008E4554" w:rsidRPr="008654CF">
        <w:t>includ</w:t>
      </w:r>
      <w:r w:rsidR="001B4B63" w:rsidRPr="008654CF">
        <w:t>e</w:t>
      </w:r>
      <w:r w:rsidR="00B435C7" w:rsidRPr="008654CF">
        <w:t>d on the Register are</w:t>
      </w:r>
      <w:r w:rsidR="001B4B63" w:rsidRPr="008654CF">
        <w:t>:</w:t>
      </w:r>
      <w:r w:rsidR="003F1BBA" w:rsidRPr="008654CF">
        <w:t xml:space="preserve"> </w:t>
      </w:r>
      <w:r w:rsidR="00067B8C" w:rsidRPr="008654CF">
        <w:t>conduct</w:t>
      </w:r>
      <w:r w:rsidR="008E4554" w:rsidRPr="008654CF">
        <w:t>ing</w:t>
      </w:r>
      <w:r w:rsidR="00067B8C" w:rsidRPr="008654CF">
        <w:t xml:space="preserve"> experiments with</w:t>
      </w:r>
      <w:r w:rsidR="00677238" w:rsidRPr="008654CF">
        <w:t xml:space="preserve"> the GMO;</w:t>
      </w:r>
      <w:r w:rsidR="00067B8C" w:rsidRPr="008654CF">
        <w:t xml:space="preserve"> </w:t>
      </w:r>
      <w:r w:rsidR="003F1BBA" w:rsidRPr="008654CF">
        <w:t>mak</w:t>
      </w:r>
      <w:r w:rsidR="008E4554" w:rsidRPr="008654CF">
        <w:t>ing</w:t>
      </w:r>
      <w:r w:rsidR="003F1BBA" w:rsidRPr="008654CF">
        <w:t>, develop</w:t>
      </w:r>
      <w:r w:rsidR="008E4554" w:rsidRPr="008654CF">
        <w:t>ing</w:t>
      </w:r>
      <w:r w:rsidR="003F1BBA" w:rsidRPr="008654CF">
        <w:t>, produc</w:t>
      </w:r>
      <w:r w:rsidR="008E4554" w:rsidRPr="008654CF">
        <w:t>ing</w:t>
      </w:r>
      <w:r w:rsidR="003F1BBA" w:rsidRPr="008654CF">
        <w:t xml:space="preserve"> or manufactur</w:t>
      </w:r>
      <w:r w:rsidR="008E4554" w:rsidRPr="008654CF">
        <w:t>ing</w:t>
      </w:r>
      <w:r w:rsidR="003F1BBA" w:rsidRPr="008654CF">
        <w:t>, breed</w:t>
      </w:r>
      <w:r w:rsidR="008E4554" w:rsidRPr="008654CF">
        <w:t>ing</w:t>
      </w:r>
      <w:r w:rsidR="00067B8C" w:rsidRPr="008654CF">
        <w:t xml:space="preserve"> and </w:t>
      </w:r>
      <w:r w:rsidR="003F1BBA" w:rsidRPr="008654CF">
        <w:t>propagat</w:t>
      </w:r>
      <w:r w:rsidR="008E4554" w:rsidRPr="008654CF">
        <w:t>ing</w:t>
      </w:r>
      <w:r w:rsidR="003F1BBA" w:rsidRPr="008654CF">
        <w:t xml:space="preserve"> the GMO; us</w:t>
      </w:r>
      <w:r w:rsidR="008E4554" w:rsidRPr="008654CF">
        <w:t>ing</w:t>
      </w:r>
      <w:r w:rsidR="003F1BBA" w:rsidRPr="008654CF">
        <w:t xml:space="preserve"> the GMO in the course of manufacture of a thing that is not the GMO; grow</w:t>
      </w:r>
      <w:r w:rsidR="008E4554" w:rsidRPr="008654CF">
        <w:t>ing</w:t>
      </w:r>
      <w:r w:rsidR="003F1BBA" w:rsidRPr="008654CF">
        <w:t>, rais</w:t>
      </w:r>
      <w:r w:rsidR="008E4554" w:rsidRPr="008654CF">
        <w:t>ing</w:t>
      </w:r>
      <w:r w:rsidR="003F1BBA" w:rsidRPr="008654CF">
        <w:t xml:space="preserve"> or cultur</w:t>
      </w:r>
      <w:r w:rsidR="008E4554" w:rsidRPr="008654CF">
        <w:t>ing</w:t>
      </w:r>
      <w:r w:rsidR="003F1BBA" w:rsidRPr="008654CF">
        <w:t>, import</w:t>
      </w:r>
      <w:r w:rsidR="008E4554" w:rsidRPr="008654CF">
        <w:t>ing</w:t>
      </w:r>
      <w:r w:rsidR="00067B8C" w:rsidRPr="008654CF">
        <w:t>,</w:t>
      </w:r>
      <w:r w:rsidR="003F1BBA" w:rsidRPr="008654CF">
        <w:t xml:space="preserve"> </w:t>
      </w:r>
      <w:r w:rsidR="00067B8C" w:rsidRPr="008654CF">
        <w:t>transport</w:t>
      </w:r>
      <w:r w:rsidR="008E4554" w:rsidRPr="008654CF">
        <w:t>ing</w:t>
      </w:r>
      <w:r w:rsidR="00067B8C" w:rsidRPr="008654CF">
        <w:t xml:space="preserve"> and dispos</w:t>
      </w:r>
      <w:r w:rsidR="008E4554" w:rsidRPr="008654CF">
        <w:t>ing</w:t>
      </w:r>
      <w:r w:rsidR="00067B8C" w:rsidRPr="008654CF">
        <w:t xml:space="preserve"> of </w:t>
      </w:r>
      <w:r w:rsidR="003F1BBA" w:rsidRPr="008654CF">
        <w:t xml:space="preserve">the GMO; and </w:t>
      </w:r>
      <w:r w:rsidR="008E4554" w:rsidRPr="008654CF">
        <w:t xml:space="preserve">the </w:t>
      </w:r>
      <w:r w:rsidR="003F1BBA" w:rsidRPr="008654CF">
        <w:t>possess</w:t>
      </w:r>
      <w:r w:rsidR="008E4554" w:rsidRPr="008654CF">
        <w:t>ion</w:t>
      </w:r>
      <w:r w:rsidR="003F1BBA" w:rsidRPr="008654CF">
        <w:t>, supply</w:t>
      </w:r>
      <w:r w:rsidR="00B3491B" w:rsidRPr="008654CF">
        <w:t xml:space="preserve"> or </w:t>
      </w:r>
      <w:r w:rsidR="003F1BBA" w:rsidRPr="008654CF">
        <w:t>use</w:t>
      </w:r>
      <w:r w:rsidR="00B3491B" w:rsidRPr="008654CF">
        <w:t xml:space="preserve"> of</w:t>
      </w:r>
      <w:r w:rsidR="003F1BBA" w:rsidRPr="008654CF">
        <w:t xml:space="preserve"> the GMO for the purpose of, or in the course of, a dealing mentioned. </w:t>
      </w:r>
      <w:r w:rsidR="009C6D27" w:rsidRPr="008654CF">
        <w:t xml:space="preserve">Register 002 authorises dealings </w:t>
      </w:r>
      <w:r w:rsidR="00E84468" w:rsidRPr="008654CF">
        <w:t xml:space="preserve">with cut flowers from </w:t>
      </w:r>
      <w:r w:rsidR="00526F91" w:rsidRPr="008654CF">
        <w:t xml:space="preserve">three lines of colour modified GM carnations including import, transport and disposal, and possession or supply of the GMO </w:t>
      </w:r>
      <w:proofErr w:type="gramStart"/>
      <w:r w:rsidR="00526F91" w:rsidRPr="008654CF">
        <w:t>in the course of</w:t>
      </w:r>
      <w:proofErr w:type="gramEnd"/>
      <w:r w:rsidR="00526F91" w:rsidRPr="008654CF">
        <w:t xml:space="preserve"> any of those dealings.</w:t>
      </w:r>
    </w:p>
    <w:p w14:paraId="724677DB" w14:textId="181399DF" w:rsidR="00806567" w:rsidRPr="008654CF" w:rsidRDefault="00134CA1" w:rsidP="00923A59">
      <w:pPr>
        <w:pStyle w:val="RARMPPara"/>
      </w:pPr>
      <w:r w:rsidRPr="008654CF">
        <w:t xml:space="preserve">The </w:t>
      </w:r>
      <w:r w:rsidR="00D57728" w:rsidRPr="008654CF">
        <w:t xml:space="preserve">consideration of </w:t>
      </w:r>
      <w:r w:rsidRPr="008654CF">
        <w:t xml:space="preserve">Register 003 to include the </w:t>
      </w:r>
      <w:r w:rsidR="009C6F7A" w:rsidRPr="008654CF">
        <w:t>MON-ØØØ73-7</w:t>
      </w:r>
      <w:r w:rsidR="009C6F7A">
        <w:t xml:space="preserve"> </w:t>
      </w:r>
      <w:r w:rsidR="00685B9A">
        <w:t>canola</w:t>
      </w:r>
      <w:r w:rsidR="008151F3" w:rsidRPr="008654CF">
        <w:t xml:space="preserve"> </w:t>
      </w:r>
      <w:r w:rsidRPr="008654CF">
        <w:t xml:space="preserve">in the GMO Register </w:t>
      </w:r>
      <w:r w:rsidR="004B72DA" w:rsidRPr="008654CF">
        <w:t>is on the initiative of the Regulator (</w:t>
      </w:r>
      <w:r w:rsidRPr="008654CF">
        <w:t>s78</w:t>
      </w:r>
      <w:r w:rsidR="004B72DA" w:rsidRPr="008654CF">
        <w:t>(2)</w:t>
      </w:r>
      <w:r w:rsidRPr="008654CF">
        <w:t>(b)</w:t>
      </w:r>
      <w:r w:rsidR="004B72DA" w:rsidRPr="008654CF">
        <w:t>)</w:t>
      </w:r>
      <w:r w:rsidRPr="008654CF">
        <w:t>.</w:t>
      </w:r>
    </w:p>
    <w:p w14:paraId="3EC10C8D" w14:textId="77777777" w:rsidR="00856B48" w:rsidRPr="000B0D88" w:rsidRDefault="00856B48" w:rsidP="00B1284D">
      <w:pPr>
        <w:pStyle w:val="Heading2"/>
        <w:rPr>
          <w:rFonts w:ascii="Calibri" w:hAnsi="Calibri" w:cs="Calibri"/>
          <w:sz w:val="28"/>
        </w:rPr>
      </w:pPr>
      <w:r w:rsidRPr="000B0D88">
        <w:rPr>
          <w:rFonts w:ascii="Calibri" w:hAnsi="Calibri" w:cs="Calibri"/>
          <w:sz w:val="28"/>
        </w:rPr>
        <w:t>Background</w:t>
      </w:r>
    </w:p>
    <w:p w14:paraId="089CB8CF" w14:textId="29509120" w:rsidR="000B0D88" w:rsidRPr="008654CF" w:rsidRDefault="009C6F7A" w:rsidP="00D45D6D">
      <w:pPr>
        <w:pStyle w:val="Heading3"/>
        <w:spacing w:before="240" w:after="120"/>
      </w:pPr>
      <w:r w:rsidRPr="008654CF">
        <w:t>MON-ØØØ73-7</w:t>
      </w:r>
      <w:r w:rsidR="00E71FBA">
        <w:t xml:space="preserve"> </w:t>
      </w:r>
      <w:r w:rsidR="008151F3" w:rsidRPr="008654CF">
        <w:t xml:space="preserve">canola </w:t>
      </w:r>
    </w:p>
    <w:p w14:paraId="4D7A17F9" w14:textId="3CBBB7B9" w:rsidR="00177E32" w:rsidRPr="008654CF" w:rsidRDefault="009C6F7A" w:rsidP="00177E32">
      <w:pPr>
        <w:pStyle w:val="RARMPPara"/>
      </w:pPr>
      <w:bookmarkStart w:id="1" w:name="_Hlk85542847"/>
      <w:r>
        <w:t xml:space="preserve">The GM </w:t>
      </w:r>
      <w:r w:rsidR="00177E32" w:rsidRPr="008654CF">
        <w:t xml:space="preserve">canola </w:t>
      </w:r>
      <w:bookmarkEnd w:id="1"/>
      <w:r w:rsidR="00177E32" w:rsidRPr="008654CF">
        <w:t xml:space="preserve">is genetically modified for glyphosate herbicide tolerance. It is known </w:t>
      </w:r>
      <w:r w:rsidRPr="008654CF">
        <w:t>by the unique identifier MON-ØØØ73-7 assigned by the Organisation for Economic Co-operation and Development (OECD)</w:t>
      </w:r>
      <w:r w:rsidR="00313195">
        <w:t>, and</w:t>
      </w:r>
      <w:r w:rsidR="00E71FBA">
        <w:t xml:space="preserve"> </w:t>
      </w:r>
      <w:r w:rsidR="00BF4A81">
        <w:t xml:space="preserve">is </w:t>
      </w:r>
      <w:r w:rsidR="00E71FBA">
        <w:t>also</w:t>
      </w:r>
      <w:r w:rsidR="00313195">
        <w:t xml:space="preserve"> </w:t>
      </w:r>
      <w:r w:rsidR="00E71FBA">
        <w:t xml:space="preserve">known </w:t>
      </w:r>
      <w:r w:rsidR="00177E32" w:rsidRPr="008654CF">
        <w:t xml:space="preserve">as </w:t>
      </w:r>
      <w:r w:rsidRPr="009C6F7A">
        <w:t>Roundup Ready®</w:t>
      </w:r>
      <w:r w:rsidR="00E71FBA">
        <w:t xml:space="preserve"> canola</w:t>
      </w:r>
      <w:r>
        <w:t xml:space="preserve">, </w:t>
      </w:r>
      <w:r w:rsidR="00177E32" w:rsidRPr="008654CF">
        <w:t xml:space="preserve">event GT73 </w:t>
      </w:r>
      <w:r w:rsidR="00BE4346" w:rsidRPr="008654CF">
        <w:t>(RT73</w:t>
      </w:r>
      <w:r w:rsidR="00952F8D" w:rsidRPr="008654CF">
        <w:t>)</w:t>
      </w:r>
      <w:r w:rsidR="00F23E08" w:rsidRPr="008654CF">
        <w:t xml:space="preserve">, </w:t>
      </w:r>
      <w:r w:rsidR="004332D6" w:rsidRPr="008654CF">
        <w:t xml:space="preserve">RT73 </w:t>
      </w:r>
      <w:r w:rsidR="00F23E08" w:rsidRPr="008654CF">
        <w:t>canola</w:t>
      </w:r>
      <w:r w:rsidR="00313195">
        <w:t xml:space="preserve"> or </w:t>
      </w:r>
      <w:r w:rsidR="00F23E08" w:rsidRPr="008654CF">
        <w:t>oilseed rape GT73</w:t>
      </w:r>
      <w:r w:rsidR="00177E32" w:rsidRPr="008654CF">
        <w:t>.</w:t>
      </w:r>
    </w:p>
    <w:p w14:paraId="5FF68FEF" w14:textId="3A41BB4C" w:rsidR="00177E32" w:rsidRPr="008654CF" w:rsidRDefault="009C6F7A" w:rsidP="00177E32">
      <w:pPr>
        <w:pStyle w:val="RARMPPara"/>
      </w:pPr>
      <w:r w:rsidRPr="008654CF">
        <w:t>MON-ØØØ73-7</w:t>
      </w:r>
      <w:r w:rsidR="00177E32" w:rsidRPr="008654CF">
        <w:t xml:space="preserve"> canola is </w:t>
      </w:r>
      <w:r w:rsidR="008151F3" w:rsidRPr="008654CF">
        <w:t xml:space="preserve">currently </w:t>
      </w:r>
      <w:r w:rsidR="00177E32" w:rsidRPr="008654CF">
        <w:t>authorised for commercial release in Australia under licence</w:t>
      </w:r>
      <w:r w:rsidR="007379E4" w:rsidRPr="008654CF">
        <w:t xml:space="preserve"> </w:t>
      </w:r>
      <w:hyperlink r:id="rId11" w:history="1">
        <w:r w:rsidR="007379E4" w:rsidRPr="008654CF">
          <w:rPr>
            <w:rStyle w:val="Hyperlink"/>
            <w:color w:val="auto"/>
          </w:rPr>
          <w:t>DIR 020/2002</w:t>
        </w:r>
      </w:hyperlink>
      <w:r w:rsidR="00762FC0" w:rsidRPr="008654CF">
        <w:t>, issued in 2003</w:t>
      </w:r>
      <w:r w:rsidR="007379E4" w:rsidRPr="008654CF">
        <w:t xml:space="preserve"> to Monsanto Australia </w:t>
      </w:r>
      <w:r w:rsidR="00F40EB0" w:rsidRPr="008654CF">
        <w:t>L</w:t>
      </w:r>
      <w:r w:rsidR="007379E4" w:rsidRPr="008654CF">
        <w:t>imited</w:t>
      </w:r>
      <w:r w:rsidR="00177E32" w:rsidRPr="008654CF">
        <w:t xml:space="preserve">. </w:t>
      </w:r>
      <w:r w:rsidR="00526F91" w:rsidRPr="008654CF">
        <w:t xml:space="preserve">The dealings permitted </w:t>
      </w:r>
      <w:bookmarkStart w:id="2" w:name="_Hlk86314470"/>
      <w:r w:rsidR="008E4554" w:rsidRPr="008654CF">
        <w:t>include</w:t>
      </w:r>
      <w:r w:rsidR="00F41C65" w:rsidRPr="008654CF">
        <w:t>:</w:t>
      </w:r>
      <w:r w:rsidR="00526F91" w:rsidRPr="008654CF">
        <w:t xml:space="preserve"> </w:t>
      </w:r>
      <w:r w:rsidR="008E4554" w:rsidRPr="008654CF">
        <w:t>conducting experiments with the GMO; making, developing, producing or manufacturing, breeding and propagating the GMO; using the GMO in the course of manufacture of a thing that is not the GMO; growing, raising or culturing</w:t>
      </w:r>
      <w:r w:rsidR="0061373E">
        <w:t xml:space="preserve"> the GMO</w:t>
      </w:r>
      <w:r w:rsidR="008E4554" w:rsidRPr="008654CF">
        <w:t>, importing, transporting and disposing of the GMO; and the possession, supply or use of the GMO for the purpose of, or in the course of, a dealing mentioned</w:t>
      </w:r>
      <w:r w:rsidR="00526F91" w:rsidRPr="008654CF">
        <w:t>.</w:t>
      </w:r>
      <w:bookmarkEnd w:id="2"/>
      <w:r w:rsidR="00526F91" w:rsidRPr="008654CF">
        <w:t xml:space="preserve"> </w:t>
      </w:r>
      <w:r w:rsidR="00177E32" w:rsidRPr="008654CF">
        <w:t xml:space="preserve">The Risk Assessment and Risk Management Plan </w:t>
      </w:r>
      <w:hyperlink r:id="rId12" w:history="1">
        <w:r w:rsidR="00177E32" w:rsidRPr="008654CF">
          <w:rPr>
            <w:rStyle w:val="Hyperlink"/>
            <w:color w:val="auto"/>
          </w:rPr>
          <w:t>(RARMP) for DIR 020/2002</w:t>
        </w:r>
      </w:hyperlink>
      <w:r w:rsidR="00177E32" w:rsidRPr="008654CF">
        <w:t xml:space="preserve"> was published in December 2003.</w:t>
      </w:r>
    </w:p>
    <w:p w14:paraId="10FCB3EC" w14:textId="22885DB8" w:rsidR="00177E32" w:rsidRPr="008654CF" w:rsidRDefault="009C6F7A" w:rsidP="00177E32">
      <w:pPr>
        <w:pStyle w:val="RARMPPara"/>
      </w:pPr>
      <w:r w:rsidRPr="008654CF">
        <w:t xml:space="preserve">MON-ØØØ73-7 </w:t>
      </w:r>
      <w:r w:rsidR="00177E32" w:rsidRPr="008654CF">
        <w:t xml:space="preserve">canola was most recently assessed in the RARMP for </w:t>
      </w:r>
      <w:r w:rsidR="00902CBA" w:rsidRPr="008654CF">
        <w:t xml:space="preserve">licence </w:t>
      </w:r>
      <w:hyperlink r:id="rId13" w:history="1">
        <w:r w:rsidR="00177E32" w:rsidRPr="008654CF">
          <w:rPr>
            <w:rStyle w:val="Hyperlink"/>
            <w:color w:val="auto"/>
          </w:rPr>
          <w:t>DIR 108</w:t>
        </w:r>
      </w:hyperlink>
      <w:r w:rsidR="00177E32" w:rsidRPr="008654CF">
        <w:t xml:space="preserve">, which authorises the commercial release of </w:t>
      </w:r>
      <w:proofErr w:type="spellStart"/>
      <w:r w:rsidR="00177E32" w:rsidRPr="008654CF">
        <w:t>InVigor</w:t>
      </w:r>
      <w:proofErr w:type="spellEnd"/>
      <w:r w:rsidR="00177E32" w:rsidRPr="008654CF">
        <w:t xml:space="preserve">® × Roundup Ready® canola. The </w:t>
      </w:r>
      <w:hyperlink r:id="rId14" w:history="1">
        <w:r w:rsidR="00177E32" w:rsidRPr="008654CF">
          <w:rPr>
            <w:rStyle w:val="Hyperlink"/>
            <w:color w:val="auto"/>
          </w:rPr>
          <w:t>RARMP for DIR 108</w:t>
        </w:r>
      </w:hyperlink>
      <w:r w:rsidR="00177E32" w:rsidRPr="008654CF">
        <w:t xml:space="preserve"> was published in December 2011.</w:t>
      </w:r>
      <w:r w:rsidR="000A30A1" w:rsidRPr="008654CF">
        <w:t xml:space="preserve"> </w:t>
      </w:r>
      <w:r w:rsidR="00C908F9" w:rsidRPr="008654CF">
        <w:t xml:space="preserve">Prior to this, </w:t>
      </w:r>
      <w:proofErr w:type="spellStart"/>
      <w:r w:rsidR="00B76396" w:rsidRPr="008654CF">
        <w:t>InVigor</w:t>
      </w:r>
      <w:proofErr w:type="spellEnd"/>
      <w:r w:rsidR="00B76396" w:rsidRPr="008654CF">
        <w:t xml:space="preserve">® × Roundup Ready® canola was authorised for limited and controlled release (field trial) under the licence </w:t>
      </w:r>
      <w:hyperlink r:id="rId15" w:history="1">
        <w:r w:rsidR="00B76396" w:rsidRPr="008654CF">
          <w:rPr>
            <w:rStyle w:val="Hyperlink"/>
            <w:color w:val="auto"/>
          </w:rPr>
          <w:t>DIR 104</w:t>
        </w:r>
      </w:hyperlink>
      <w:r w:rsidR="00B76396" w:rsidRPr="008654CF">
        <w:t>.</w:t>
      </w:r>
    </w:p>
    <w:p w14:paraId="4F8D645A" w14:textId="103CDAA4" w:rsidR="00856B48" w:rsidRPr="008654CF" w:rsidRDefault="00856B48" w:rsidP="00923A59">
      <w:pPr>
        <w:pStyle w:val="RARMPPara"/>
      </w:pPr>
      <w:r w:rsidRPr="00145864">
        <w:t>This</w:t>
      </w:r>
      <w:r>
        <w:t xml:space="preserve"> </w:t>
      </w:r>
      <w:r w:rsidR="00BE0254" w:rsidRPr="008654CF">
        <w:t>RARMP</w:t>
      </w:r>
      <w:r w:rsidR="00762FC0" w:rsidRPr="008654CF">
        <w:t xml:space="preserve">, prepared as part of the consideration to include dealings with </w:t>
      </w:r>
      <w:r w:rsidR="00074836" w:rsidRPr="008654CF">
        <w:t>MON-ØØØ73-7</w:t>
      </w:r>
      <w:r w:rsidR="00762FC0" w:rsidRPr="008654CF">
        <w:t xml:space="preserve"> canola on the GMO Register, </w:t>
      </w:r>
      <w:r w:rsidR="000518B4" w:rsidRPr="008654CF">
        <w:t xml:space="preserve">provides background information on the GMO, </w:t>
      </w:r>
      <w:r w:rsidRPr="008654CF">
        <w:t>outlines</w:t>
      </w:r>
      <w:r w:rsidR="00BE0254" w:rsidRPr="008654CF">
        <w:t xml:space="preserve"> the conclusions of the</w:t>
      </w:r>
      <w:r w:rsidR="00E82473" w:rsidRPr="008654CF">
        <w:t xml:space="preserve"> RARMP</w:t>
      </w:r>
      <w:r w:rsidR="006C79A5" w:rsidRPr="008654CF">
        <w:t>s</w:t>
      </w:r>
      <w:r w:rsidR="00BE0254" w:rsidRPr="008654CF">
        <w:t xml:space="preserve"> for </w:t>
      </w:r>
      <w:r w:rsidR="003E4B73" w:rsidRPr="008654CF">
        <w:t>DIR </w:t>
      </w:r>
      <w:r w:rsidR="006C79A5" w:rsidRPr="008654CF">
        <w:t>020/2002 and DIR 108</w:t>
      </w:r>
      <w:r w:rsidR="00E82473" w:rsidRPr="008654CF">
        <w:t>,</w:t>
      </w:r>
      <w:r w:rsidRPr="008654CF">
        <w:t xml:space="preserve"> surveys relevant information about </w:t>
      </w:r>
      <w:r w:rsidR="006C79A5" w:rsidRPr="008654CF">
        <w:t xml:space="preserve">the </w:t>
      </w:r>
      <w:r w:rsidRPr="008654CF">
        <w:t>GMO</w:t>
      </w:r>
      <w:r w:rsidR="00E82473" w:rsidRPr="008654CF">
        <w:t xml:space="preserve"> </w:t>
      </w:r>
      <w:r w:rsidRPr="008654CF">
        <w:t>that has emerged since</w:t>
      </w:r>
      <w:r w:rsidR="00E82473" w:rsidRPr="008654CF">
        <w:t xml:space="preserve"> </w:t>
      </w:r>
      <w:r w:rsidR="00762FC0" w:rsidRPr="008654CF">
        <w:t xml:space="preserve">the DIR 108 RARMP was published in </w:t>
      </w:r>
      <w:r w:rsidR="00E82473" w:rsidRPr="008654CF">
        <w:t>201</w:t>
      </w:r>
      <w:r w:rsidR="006C79A5" w:rsidRPr="008654CF">
        <w:t>1</w:t>
      </w:r>
      <w:r w:rsidR="004053EA" w:rsidRPr="008654CF">
        <w:t xml:space="preserve">, </w:t>
      </w:r>
      <w:r w:rsidR="00BE0254" w:rsidRPr="008654CF">
        <w:t>and</w:t>
      </w:r>
      <w:r w:rsidR="000518B4" w:rsidRPr="008654CF">
        <w:t xml:space="preserve"> assesse</w:t>
      </w:r>
      <w:r w:rsidRPr="008654CF">
        <w:t>s whether this information indicates any new risks or increased levels of risk from GMO</w:t>
      </w:r>
      <w:r w:rsidR="00BE0254" w:rsidRPr="008654CF">
        <w:t xml:space="preserve">. The purpose of this RARMP is to provide information for the Regulator to decide </w:t>
      </w:r>
      <w:r w:rsidRPr="008654CF">
        <w:t>whether the</w:t>
      </w:r>
      <w:r w:rsidR="00E82473" w:rsidRPr="008654CF">
        <w:t xml:space="preserve"> </w:t>
      </w:r>
      <w:r w:rsidRPr="008654CF">
        <w:t>level of risk is such that</w:t>
      </w:r>
      <w:r w:rsidR="00EA5298" w:rsidRPr="008654CF">
        <w:t xml:space="preserve"> it is not necessary for persons undertaking the dealing</w:t>
      </w:r>
      <w:r w:rsidR="00762FC0" w:rsidRPr="008654CF">
        <w:t>s</w:t>
      </w:r>
      <w:r w:rsidR="00EA5298" w:rsidRPr="008654CF">
        <w:t xml:space="preserve"> to hold, or be covered by a GMO licence, </w:t>
      </w:r>
      <w:proofErr w:type="gramStart"/>
      <w:r w:rsidR="00EA5298" w:rsidRPr="008654CF">
        <w:t>in order to</w:t>
      </w:r>
      <w:proofErr w:type="gramEnd"/>
      <w:r w:rsidR="00EA5298" w:rsidRPr="008654CF">
        <w:t xml:space="preserve"> protect the health and safety of people and the environment. If the Regulator decides that this is the case</w:t>
      </w:r>
      <w:r w:rsidR="00CF15F9" w:rsidRPr="008654CF">
        <w:t>,</w:t>
      </w:r>
      <w:r w:rsidR="00EA5298" w:rsidRPr="008654CF">
        <w:t xml:space="preserve"> then </w:t>
      </w:r>
      <w:r w:rsidRPr="008654CF">
        <w:t xml:space="preserve">inclusion of dealings with </w:t>
      </w:r>
      <w:r w:rsidR="009C6F7A" w:rsidRPr="008654CF">
        <w:t>MON-ØØØ73-7</w:t>
      </w:r>
      <w:r w:rsidR="00242B5C" w:rsidRPr="008654CF">
        <w:t xml:space="preserve"> canola</w:t>
      </w:r>
      <w:r w:rsidR="004053EA" w:rsidRPr="008654CF">
        <w:t xml:space="preserve"> </w:t>
      </w:r>
      <w:r w:rsidRPr="008654CF">
        <w:t xml:space="preserve">on </w:t>
      </w:r>
      <w:r w:rsidR="00BE0254" w:rsidRPr="008654CF">
        <w:t xml:space="preserve">the </w:t>
      </w:r>
      <w:r w:rsidRPr="008654CF">
        <w:t>GMO Register is appropriate.</w:t>
      </w:r>
    </w:p>
    <w:p w14:paraId="7E4F9D6B" w14:textId="6AA507A1" w:rsidR="00856B48" w:rsidRPr="00145864" w:rsidRDefault="00856B48" w:rsidP="00D45D6D">
      <w:pPr>
        <w:pStyle w:val="Heading3"/>
        <w:spacing w:before="240" w:after="120"/>
      </w:pPr>
      <w:r w:rsidRPr="00145864">
        <w:t>The genetic modification</w:t>
      </w:r>
      <w:r w:rsidR="000518B4">
        <w:t>s</w:t>
      </w:r>
    </w:p>
    <w:p w14:paraId="37EB3E46" w14:textId="099C722A" w:rsidR="00242B5C" w:rsidRPr="008654CF" w:rsidRDefault="009C6F7A" w:rsidP="00242B5C">
      <w:pPr>
        <w:pStyle w:val="RARMPPara"/>
      </w:pPr>
      <w:r w:rsidRPr="008654CF">
        <w:t xml:space="preserve">MON-ØØØ73-7 </w:t>
      </w:r>
      <w:r w:rsidR="00E71FBA">
        <w:t xml:space="preserve">canola </w:t>
      </w:r>
      <w:r w:rsidR="003B227D" w:rsidRPr="008654CF">
        <w:t xml:space="preserve">was genetically modified to express two genes </w:t>
      </w:r>
      <w:bookmarkStart w:id="3" w:name="_Hlk88823752"/>
      <w:r w:rsidR="003B227D" w:rsidRPr="008654CF">
        <w:t>conferring tolerance to the herbicide glyphosate.</w:t>
      </w:r>
      <w:bookmarkEnd w:id="3"/>
      <w:r w:rsidR="003B227D" w:rsidRPr="008654CF">
        <w:t xml:space="preserve"> The </w:t>
      </w:r>
      <w:r w:rsidR="00242B5C" w:rsidRPr="008654CF">
        <w:t>two introduced genes</w:t>
      </w:r>
      <w:r w:rsidR="003B227D" w:rsidRPr="008654CF">
        <w:t xml:space="preserve">, </w:t>
      </w:r>
      <w:bookmarkStart w:id="4" w:name="_Hlk88822983"/>
      <w:r w:rsidR="00242B5C" w:rsidRPr="008654CF">
        <w:rPr>
          <w:i/>
        </w:rPr>
        <w:t>goxv247</w:t>
      </w:r>
      <w:r w:rsidR="00242B5C" w:rsidRPr="008654CF">
        <w:t xml:space="preserve"> and </w:t>
      </w:r>
      <w:r w:rsidR="00242B5C" w:rsidRPr="008654CF">
        <w:rPr>
          <w:i/>
        </w:rPr>
        <w:t xml:space="preserve">cp4 </w:t>
      </w:r>
      <w:proofErr w:type="spellStart"/>
      <w:r w:rsidR="00242B5C" w:rsidRPr="008654CF">
        <w:rPr>
          <w:i/>
        </w:rPr>
        <w:t>epsps</w:t>
      </w:r>
      <w:bookmarkEnd w:id="4"/>
      <w:proofErr w:type="spellEnd"/>
      <w:r w:rsidR="003B227D" w:rsidRPr="008654CF">
        <w:rPr>
          <w:iCs/>
        </w:rPr>
        <w:t>, as well as other genetic elements and source organisms</w:t>
      </w:r>
      <w:r w:rsidR="00A0203F" w:rsidRPr="008654CF">
        <w:rPr>
          <w:iCs/>
        </w:rPr>
        <w:t xml:space="preserve">, are </w:t>
      </w:r>
      <w:r w:rsidR="00762FC0" w:rsidRPr="008654CF">
        <w:rPr>
          <w:iCs/>
        </w:rPr>
        <w:t>listed</w:t>
      </w:r>
      <w:r w:rsidR="00A0203F" w:rsidRPr="008654CF">
        <w:rPr>
          <w:iCs/>
        </w:rPr>
        <w:t xml:space="preserve"> in Table 1</w:t>
      </w:r>
      <w:r w:rsidR="00242B5C" w:rsidRPr="008654CF">
        <w:t>.</w:t>
      </w:r>
    </w:p>
    <w:p w14:paraId="66BE6126" w14:textId="51D46BA8" w:rsidR="00A0203F" w:rsidRPr="008654CF" w:rsidRDefault="00B41C8C" w:rsidP="008846F4">
      <w:pPr>
        <w:pStyle w:val="RARMPPara"/>
        <w:numPr>
          <w:ilvl w:val="0"/>
          <w:numId w:val="0"/>
        </w:numPr>
        <w:spacing w:before="240"/>
        <w:ind w:left="142"/>
        <w:rPr>
          <w:b/>
          <w:bCs/>
        </w:rPr>
      </w:pPr>
      <w:r w:rsidRPr="008654CF">
        <w:rPr>
          <w:b/>
          <w:bCs/>
        </w:rPr>
        <w:t xml:space="preserve">Table 1 Introduced genes and other genetic elements in </w:t>
      </w:r>
      <w:r w:rsidR="00022FAB" w:rsidRPr="00022FAB">
        <w:rPr>
          <w:b/>
          <w:bCs/>
        </w:rPr>
        <w:t>MON-ØØØ73-7</w:t>
      </w:r>
      <w:r w:rsidRPr="008654CF">
        <w:rPr>
          <w:b/>
          <w:bCs/>
        </w:rPr>
        <w:t xml:space="preserve"> </w:t>
      </w:r>
      <w:proofErr w:type="gramStart"/>
      <w:r w:rsidRPr="008654CF">
        <w:rPr>
          <w:b/>
          <w:bCs/>
        </w:rPr>
        <w:t>canola</w:t>
      </w:r>
      <w:proofErr w:type="gram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5 Genetic elements and their origin"/>
        <w:tblDescription w:val="This table lists the introduced genetic elements present in the GM canola. It has six columns, one each for: Gene with source, Promoter with source, Terminator with source, Additional elements with source, Protein produced and Protein function."/>
      </w:tblPr>
      <w:tblGrid>
        <w:gridCol w:w="2127"/>
        <w:gridCol w:w="1559"/>
        <w:gridCol w:w="1276"/>
        <w:gridCol w:w="2126"/>
        <w:gridCol w:w="1276"/>
        <w:gridCol w:w="1275"/>
      </w:tblGrid>
      <w:tr w:rsidR="008654CF" w:rsidRPr="008654CF" w14:paraId="750CBFC3" w14:textId="77777777" w:rsidTr="009252FC">
        <w:trPr>
          <w:tblHeader/>
        </w:trPr>
        <w:tc>
          <w:tcPr>
            <w:tcW w:w="2127" w:type="dxa"/>
            <w:tcBorders>
              <w:left w:val="nil"/>
              <w:right w:val="nil"/>
            </w:tcBorders>
            <w:shd w:val="clear" w:color="auto" w:fill="CCCCCC"/>
          </w:tcPr>
          <w:p w14:paraId="48F43EEA" w14:textId="77777777" w:rsidR="00B41C8C" w:rsidRPr="008654CF" w:rsidRDefault="00B41C8C" w:rsidP="00B3491B">
            <w:pPr>
              <w:spacing w:before="100" w:beforeAutospacing="1" w:after="100" w:afterAutospacing="1"/>
              <w:rPr>
                <w:rFonts w:cs="Calibri"/>
                <w:b/>
                <w:sz w:val="20"/>
                <w:szCs w:val="20"/>
              </w:rPr>
            </w:pPr>
            <w:r w:rsidRPr="008654CF">
              <w:rPr>
                <w:rFonts w:cs="Calibri"/>
                <w:b/>
                <w:sz w:val="20"/>
                <w:szCs w:val="20"/>
              </w:rPr>
              <w:t xml:space="preserve">Gene </w:t>
            </w:r>
            <w:r w:rsidRPr="008654CF">
              <w:rPr>
                <w:rFonts w:cs="Calibri"/>
                <w:b/>
                <w:sz w:val="20"/>
                <w:szCs w:val="20"/>
              </w:rPr>
              <w:br/>
              <w:t>(source)</w:t>
            </w:r>
          </w:p>
        </w:tc>
        <w:tc>
          <w:tcPr>
            <w:tcW w:w="1559" w:type="dxa"/>
            <w:tcBorders>
              <w:left w:val="nil"/>
              <w:right w:val="nil"/>
            </w:tcBorders>
            <w:shd w:val="clear" w:color="auto" w:fill="CCCCCC"/>
          </w:tcPr>
          <w:p w14:paraId="5D1E6741" w14:textId="77777777" w:rsidR="00B41C8C" w:rsidRPr="008654CF" w:rsidRDefault="00B41C8C" w:rsidP="00B3491B">
            <w:pPr>
              <w:spacing w:before="100" w:beforeAutospacing="1" w:after="100" w:afterAutospacing="1"/>
              <w:rPr>
                <w:rFonts w:cs="Calibri"/>
                <w:b/>
                <w:sz w:val="20"/>
                <w:szCs w:val="20"/>
              </w:rPr>
            </w:pPr>
            <w:r w:rsidRPr="008654CF">
              <w:rPr>
                <w:rFonts w:cs="Calibri"/>
                <w:b/>
                <w:sz w:val="20"/>
                <w:szCs w:val="20"/>
              </w:rPr>
              <w:t>Promoter (source)</w:t>
            </w:r>
          </w:p>
        </w:tc>
        <w:tc>
          <w:tcPr>
            <w:tcW w:w="1276" w:type="dxa"/>
            <w:tcBorders>
              <w:left w:val="nil"/>
              <w:right w:val="nil"/>
            </w:tcBorders>
            <w:shd w:val="clear" w:color="auto" w:fill="CCCCCC"/>
          </w:tcPr>
          <w:p w14:paraId="726C170E" w14:textId="77777777" w:rsidR="00B41C8C" w:rsidRPr="008654CF" w:rsidRDefault="00B41C8C" w:rsidP="00B3491B">
            <w:pPr>
              <w:spacing w:before="100" w:beforeAutospacing="1" w:after="100" w:afterAutospacing="1"/>
              <w:rPr>
                <w:rFonts w:cs="Calibri"/>
                <w:b/>
                <w:sz w:val="20"/>
                <w:szCs w:val="20"/>
              </w:rPr>
            </w:pPr>
            <w:r w:rsidRPr="008654CF">
              <w:rPr>
                <w:rFonts w:cs="Calibri"/>
                <w:b/>
                <w:sz w:val="20"/>
                <w:szCs w:val="20"/>
              </w:rPr>
              <w:t>Terminator (source)</w:t>
            </w:r>
          </w:p>
        </w:tc>
        <w:tc>
          <w:tcPr>
            <w:tcW w:w="2126" w:type="dxa"/>
            <w:tcBorders>
              <w:left w:val="nil"/>
              <w:right w:val="nil"/>
            </w:tcBorders>
            <w:shd w:val="clear" w:color="auto" w:fill="CCCCCC"/>
          </w:tcPr>
          <w:p w14:paraId="37BD6A40" w14:textId="77777777" w:rsidR="00B41C8C" w:rsidRPr="008654CF" w:rsidRDefault="00B41C8C" w:rsidP="00B3491B">
            <w:pPr>
              <w:spacing w:before="100" w:beforeAutospacing="1" w:after="100" w:afterAutospacing="1"/>
              <w:rPr>
                <w:rFonts w:cs="Calibri"/>
                <w:b/>
                <w:sz w:val="20"/>
                <w:szCs w:val="20"/>
              </w:rPr>
            </w:pPr>
            <w:r w:rsidRPr="008654CF">
              <w:rPr>
                <w:rFonts w:cs="Calibri"/>
                <w:b/>
                <w:sz w:val="20"/>
                <w:szCs w:val="20"/>
              </w:rPr>
              <w:t xml:space="preserve">Additional elements </w:t>
            </w:r>
            <w:r w:rsidRPr="008654CF">
              <w:rPr>
                <w:rFonts w:cs="Calibri"/>
                <w:b/>
                <w:sz w:val="20"/>
                <w:szCs w:val="20"/>
              </w:rPr>
              <w:br/>
              <w:t>(source)</w:t>
            </w:r>
          </w:p>
        </w:tc>
        <w:tc>
          <w:tcPr>
            <w:tcW w:w="1276" w:type="dxa"/>
            <w:tcBorders>
              <w:left w:val="nil"/>
              <w:right w:val="nil"/>
            </w:tcBorders>
            <w:shd w:val="clear" w:color="auto" w:fill="CCCCCC"/>
          </w:tcPr>
          <w:p w14:paraId="78A1DDF5" w14:textId="77777777" w:rsidR="00B41C8C" w:rsidRPr="008654CF" w:rsidRDefault="00B41C8C" w:rsidP="00B3491B">
            <w:pPr>
              <w:spacing w:before="100" w:beforeAutospacing="1" w:after="100" w:afterAutospacing="1"/>
              <w:rPr>
                <w:rFonts w:cs="Calibri"/>
                <w:b/>
                <w:sz w:val="20"/>
                <w:szCs w:val="20"/>
              </w:rPr>
            </w:pPr>
            <w:r w:rsidRPr="008654CF">
              <w:rPr>
                <w:rFonts w:cs="Calibri"/>
                <w:b/>
                <w:sz w:val="20"/>
                <w:szCs w:val="20"/>
              </w:rPr>
              <w:t>Protein produced</w:t>
            </w:r>
          </w:p>
        </w:tc>
        <w:tc>
          <w:tcPr>
            <w:tcW w:w="1275" w:type="dxa"/>
            <w:tcBorders>
              <w:left w:val="nil"/>
              <w:right w:val="nil"/>
            </w:tcBorders>
            <w:shd w:val="clear" w:color="auto" w:fill="CCCCCC"/>
          </w:tcPr>
          <w:p w14:paraId="74CCEF7F" w14:textId="77777777" w:rsidR="00B41C8C" w:rsidRPr="008654CF" w:rsidRDefault="00B41C8C" w:rsidP="00B3491B">
            <w:pPr>
              <w:spacing w:before="100" w:beforeAutospacing="1" w:after="100" w:afterAutospacing="1"/>
              <w:rPr>
                <w:rFonts w:cs="Calibri"/>
                <w:b/>
                <w:sz w:val="20"/>
                <w:szCs w:val="20"/>
              </w:rPr>
            </w:pPr>
            <w:r w:rsidRPr="008654CF">
              <w:rPr>
                <w:rFonts w:cs="Calibri"/>
                <w:b/>
                <w:sz w:val="20"/>
                <w:szCs w:val="20"/>
              </w:rPr>
              <w:t>Protein function</w:t>
            </w:r>
          </w:p>
        </w:tc>
      </w:tr>
      <w:tr w:rsidR="008654CF" w:rsidRPr="008654CF" w14:paraId="0AE37FAC" w14:textId="77777777" w:rsidTr="009252FC">
        <w:tc>
          <w:tcPr>
            <w:tcW w:w="2127" w:type="dxa"/>
            <w:tcBorders>
              <w:left w:val="nil"/>
              <w:right w:val="nil"/>
            </w:tcBorders>
          </w:tcPr>
          <w:p w14:paraId="532053F7" w14:textId="77777777" w:rsidR="00B41C8C" w:rsidRPr="008654CF" w:rsidRDefault="00B41C8C" w:rsidP="00B3491B">
            <w:pPr>
              <w:spacing w:after="0"/>
              <w:rPr>
                <w:rFonts w:cs="Calibri"/>
                <w:i/>
                <w:iCs/>
                <w:sz w:val="20"/>
                <w:szCs w:val="20"/>
                <w:highlight w:val="yellow"/>
              </w:rPr>
            </w:pPr>
            <w:r w:rsidRPr="008654CF">
              <w:rPr>
                <w:rFonts w:cs="Calibri"/>
                <w:i/>
                <w:iCs/>
                <w:sz w:val="20"/>
                <w:szCs w:val="20"/>
              </w:rPr>
              <w:t xml:space="preserve">cp4 </w:t>
            </w:r>
            <w:proofErr w:type="spellStart"/>
            <w:r w:rsidRPr="008654CF">
              <w:rPr>
                <w:rFonts w:cs="Calibri"/>
                <w:i/>
                <w:iCs/>
                <w:sz w:val="20"/>
                <w:szCs w:val="20"/>
              </w:rPr>
              <w:t>epsps</w:t>
            </w:r>
            <w:proofErr w:type="spellEnd"/>
            <w:r w:rsidRPr="008654CF">
              <w:rPr>
                <w:rFonts w:cs="Calibri"/>
                <w:i/>
                <w:iCs/>
                <w:sz w:val="20"/>
                <w:szCs w:val="20"/>
              </w:rPr>
              <w:t xml:space="preserve"> </w:t>
            </w:r>
            <w:r w:rsidRPr="008654CF">
              <w:rPr>
                <w:rFonts w:cs="Calibri"/>
                <w:i/>
                <w:iCs/>
                <w:sz w:val="20"/>
                <w:szCs w:val="20"/>
              </w:rPr>
              <w:br/>
            </w:r>
            <w:r w:rsidRPr="008654CF">
              <w:rPr>
                <w:rFonts w:cs="Calibri"/>
                <w:iCs/>
                <w:sz w:val="20"/>
                <w:szCs w:val="20"/>
              </w:rPr>
              <w:t>(</w:t>
            </w:r>
            <w:r w:rsidRPr="008654CF">
              <w:rPr>
                <w:rFonts w:cs="Calibri"/>
                <w:i/>
                <w:iCs/>
                <w:sz w:val="20"/>
                <w:szCs w:val="20"/>
              </w:rPr>
              <w:t>Agrobacterium</w:t>
            </w:r>
            <w:r w:rsidRPr="008654CF">
              <w:rPr>
                <w:rFonts w:cs="Calibri"/>
                <w:i/>
                <w:iCs/>
                <w:sz w:val="20"/>
              </w:rPr>
              <w:t xml:space="preserve"> </w:t>
            </w:r>
            <w:r w:rsidRPr="008654CF">
              <w:rPr>
                <w:rFonts w:cs="Calibri"/>
                <w:iCs/>
                <w:sz w:val="20"/>
              </w:rPr>
              <w:t>sp. strain CP4)</w:t>
            </w:r>
          </w:p>
        </w:tc>
        <w:tc>
          <w:tcPr>
            <w:tcW w:w="1559" w:type="dxa"/>
            <w:tcBorders>
              <w:left w:val="nil"/>
              <w:right w:val="nil"/>
            </w:tcBorders>
          </w:tcPr>
          <w:p w14:paraId="1A4213DC" w14:textId="005E34E7" w:rsidR="00B41C8C" w:rsidRPr="008654CF" w:rsidRDefault="00B41C8C" w:rsidP="00B3491B">
            <w:pPr>
              <w:spacing w:after="0"/>
              <w:rPr>
                <w:rFonts w:cs="Calibri"/>
                <w:sz w:val="20"/>
              </w:rPr>
            </w:pPr>
            <w:r w:rsidRPr="008654CF">
              <w:rPr>
                <w:rFonts w:cs="Calibri"/>
                <w:i/>
                <w:iCs/>
                <w:sz w:val="20"/>
                <w:szCs w:val="20"/>
              </w:rPr>
              <w:t>P-</w:t>
            </w:r>
            <w:r w:rsidRPr="008654CF">
              <w:rPr>
                <w:rFonts w:ascii="Arial Narrow" w:eastAsia="Times New Roman" w:hAnsi="Arial Narrow" w:cs="Times New Roman"/>
                <w:iCs/>
                <w:sz w:val="20"/>
                <w:szCs w:val="20"/>
                <w:lang w:eastAsia="en-AU"/>
              </w:rPr>
              <w:t xml:space="preserve"> </w:t>
            </w:r>
            <w:proofErr w:type="spellStart"/>
            <w:r w:rsidRPr="008654CF">
              <w:rPr>
                <w:rFonts w:cs="Calibri"/>
                <w:i/>
                <w:iCs/>
                <w:sz w:val="20"/>
                <w:szCs w:val="20"/>
              </w:rPr>
              <w:t>CMoVb</w:t>
            </w:r>
            <w:proofErr w:type="spellEnd"/>
            <w:r w:rsidRPr="008654CF">
              <w:rPr>
                <w:rFonts w:cs="Calibri"/>
                <w:i/>
                <w:iCs/>
                <w:sz w:val="20"/>
              </w:rPr>
              <w:br/>
            </w:r>
            <w:r w:rsidRPr="008654CF">
              <w:rPr>
                <w:rFonts w:cs="Calibri"/>
                <w:iCs/>
                <w:sz w:val="20"/>
              </w:rPr>
              <w:t>(</w:t>
            </w:r>
            <w:r w:rsidR="007379E4" w:rsidRPr="008654CF">
              <w:rPr>
                <w:rFonts w:cs="Calibri"/>
                <w:iCs/>
                <w:sz w:val="20"/>
              </w:rPr>
              <w:t>F</w:t>
            </w:r>
            <w:r w:rsidRPr="008654CF">
              <w:rPr>
                <w:rFonts w:cs="Calibri"/>
                <w:iCs/>
                <w:sz w:val="20"/>
              </w:rPr>
              <w:t>igwort mosaic virus)</w:t>
            </w:r>
          </w:p>
        </w:tc>
        <w:tc>
          <w:tcPr>
            <w:tcW w:w="1276" w:type="dxa"/>
            <w:tcBorders>
              <w:left w:val="nil"/>
              <w:right w:val="nil"/>
            </w:tcBorders>
          </w:tcPr>
          <w:p w14:paraId="74008C53" w14:textId="77777777" w:rsidR="00B41C8C" w:rsidRPr="008654CF" w:rsidRDefault="00B41C8C" w:rsidP="00B3491B">
            <w:pPr>
              <w:spacing w:after="0"/>
              <w:rPr>
                <w:rFonts w:cs="Calibri"/>
                <w:sz w:val="20"/>
              </w:rPr>
            </w:pPr>
            <w:r w:rsidRPr="008654CF">
              <w:rPr>
                <w:rFonts w:cs="Calibri"/>
                <w:i/>
                <w:iCs/>
                <w:sz w:val="20"/>
              </w:rPr>
              <w:t>E9 3’</w:t>
            </w:r>
            <w:r w:rsidRPr="008654CF">
              <w:rPr>
                <w:rFonts w:cs="Calibri"/>
                <w:i/>
                <w:iCs/>
                <w:sz w:val="20"/>
              </w:rPr>
              <w:br/>
            </w:r>
            <w:r w:rsidRPr="008654CF">
              <w:rPr>
                <w:rFonts w:cs="Calibri"/>
                <w:iCs/>
                <w:sz w:val="20"/>
              </w:rPr>
              <w:t>(</w:t>
            </w:r>
            <w:r w:rsidRPr="008654CF">
              <w:rPr>
                <w:rFonts w:cs="Calibri"/>
                <w:i/>
                <w:iCs/>
                <w:sz w:val="20"/>
                <w:szCs w:val="20"/>
              </w:rPr>
              <w:t>P. sativum</w:t>
            </w:r>
            <w:r w:rsidRPr="008654CF">
              <w:rPr>
                <w:rFonts w:cs="Calibri"/>
                <w:iCs/>
                <w:sz w:val="20"/>
              </w:rPr>
              <w:t>)</w:t>
            </w:r>
          </w:p>
        </w:tc>
        <w:tc>
          <w:tcPr>
            <w:tcW w:w="2126" w:type="dxa"/>
            <w:tcBorders>
              <w:left w:val="nil"/>
              <w:right w:val="nil"/>
            </w:tcBorders>
          </w:tcPr>
          <w:p w14:paraId="198F329F" w14:textId="77777777" w:rsidR="00F767F1" w:rsidRPr="008654CF" w:rsidRDefault="00F767F1" w:rsidP="00F767F1">
            <w:pPr>
              <w:spacing w:after="0"/>
              <w:rPr>
                <w:rFonts w:cs="Calibri"/>
                <w:sz w:val="20"/>
              </w:rPr>
            </w:pPr>
            <w:r w:rsidRPr="008654CF">
              <w:rPr>
                <w:rFonts w:cs="Calibri"/>
                <w:sz w:val="20"/>
              </w:rPr>
              <w:t xml:space="preserve">AEPSPS/CTP2 </w:t>
            </w:r>
          </w:p>
          <w:p w14:paraId="2595BD4E" w14:textId="68C8674E" w:rsidR="00F767F1" w:rsidRPr="008654CF" w:rsidRDefault="00F767F1" w:rsidP="00F767F1">
            <w:pPr>
              <w:spacing w:after="0"/>
              <w:rPr>
                <w:rFonts w:cs="Calibri"/>
                <w:sz w:val="20"/>
              </w:rPr>
            </w:pPr>
            <w:r w:rsidRPr="008654CF">
              <w:rPr>
                <w:rFonts w:cs="Calibri"/>
                <w:i/>
                <w:sz w:val="20"/>
              </w:rPr>
              <w:t>(Arabidopsis thaliana</w:t>
            </w:r>
            <w:r w:rsidRPr="008654CF">
              <w:rPr>
                <w:rFonts w:cs="Calibri"/>
                <w:sz w:val="20"/>
              </w:rPr>
              <w:t>)</w:t>
            </w:r>
          </w:p>
          <w:p w14:paraId="74D522F8" w14:textId="3B85DD7F" w:rsidR="00B41C8C" w:rsidRPr="008654CF" w:rsidRDefault="00B41C8C" w:rsidP="00F767F1">
            <w:pPr>
              <w:spacing w:after="0"/>
              <w:rPr>
                <w:rFonts w:cs="Calibri"/>
                <w:sz w:val="20"/>
              </w:rPr>
            </w:pPr>
          </w:p>
        </w:tc>
        <w:tc>
          <w:tcPr>
            <w:tcW w:w="1276" w:type="dxa"/>
            <w:tcBorders>
              <w:left w:val="nil"/>
              <w:right w:val="nil"/>
            </w:tcBorders>
          </w:tcPr>
          <w:p w14:paraId="2FAB8A4B" w14:textId="6B2FF938" w:rsidR="00B41C8C" w:rsidRPr="008654CF" w:rsidRDefault="00B41C8C" w:rsidP="00B3491B">
            <w:pPr>
              <w:spacing w:after="0"/>
              <w:rPr>
                <w:rFonts w:cs="Calibri"/>
                <w:sz w:val="20"/>
              </w:rPr>
            </w:pPr>
            <w:r w:rsidRPr="008654CF">
              <w:rPr>
                <w:rFonts w:cs="Calibri"/>
                <w:sz w:val="20"/>
              </w:rPr>
              <w:t xml:space="preserve">CP4 EPSPS </w:t>
            </w:r>
          </w:p>
        </w:tc>
        <w:tc>
          <w:tcPr>
            <w:tcW w:w="1275" w:type="dxa"/>
            <w:tcBorders>
              <w:left w:val="nil"/>
              <w:right w:val="nil"/>
            </w:tcBorders>
          </w:tcPr>
          <w:p w14:paraId="62E51F02" w14:textId="3FE803B4" w:rsidR="00B41C8C" w:rsidRPr="008654CF" w:rsidRDefault="00B41C8C" w:rsidP="00B3491B">
            <w:pPr>
              <w:spacing w:after="0"/>
              <w:rPr>
                <w:rFonts w:cs="Calibri"/>
                <w:sz w:val="20"/>
              </w:rPr>
            </w:pPr>
            <w:r w:rsidRPr="008654CF">
              <w:rPr>
                <w:rFonts w:cs="Calibri"/>
                <w:sz w:val="20"/>
              </w:rPr>
              <w:t xml:space="preserve">Reduced affinity to glyphosate </w:t>
            </w:r>
          </w:p>
        </w:tc>
      </w:tr>
      <w:tr w:rsidR="00F767F1" w:rsidRPr="008654CF" w14:paraId="2087DFF2" w14:textId="77777777" w:rsidTr="009252FC">
        <w:tc>
          <w:tcPr>
            <w:tcW w:w="2127" w:type="dxa"/>
            <w:tcBorders>
              <w:left w:val="nil"/>
              <w:right w:val="nil"/>
            </w:tcBorders>
          </w:tcPr>
          <w:p w14:paraId="45D86FAB" w14:textId="67F80387" w:rsidR="00B41C8C" w:rsidRPr="008654CF" w:rsidRDefault="00B41C8C" w:rsidP="00B3491B">
            <w:pPr>
              <w:spacing w:after="0"/>
              <w:rPr>
                <w:rFonts w:cs="Calibri"/>
                <w:i/>
                <w:iCs/>
                <w:sz w:val="20"/>
                <w:szCs w:val="20"/>
              </w:rPr>
            </w:pPr>
            <w:r w:rsidRPr="008654CF">
              <w:rPr>
                <w:rFonts w:cs="Calibri"/>
                <w:i/>
                <w:iCs/>
                <w:sz w:val="20"/>
                <w:szCs w:val="20"/>
              </w:rPr>
              <w:t xml:space="preserve">goxv247 </w:t>
            </w:r>
            <w:r w:rsidRPr="008654CF">
              <w:rPr>
                <w:rFonts w:cs="Calibri"/>
                <w:i/>
                <w:iCs/>
                <w:sz w:val="20"/>
                <w:szCs w:val="20"/>
              </w:rPr>
              <w:br/>
              <w:t>(</w:t>
            </w:r>
            <w:proofErr w:type="spellStart"/>
            <w:r w:rsidRPr="008654CF">
              <w:rPr>
                <w:rFonts w:cs="Calibri"/>
                <w:i/>
                <w:iCs/>
                <w:sz w:val="20"/>
                <w:szCs w:val="20"/>
              </w:rPr>
              <w:t>Ochrobactrum</w:t>
            </w:r>
            <w:proofErr w:type="spellEnd"/>
            <w:r w:rsidRPr="008654CF">
              <w:rPr>
                <w:rFonts w:cs="Calibri"/>
                <w:i/>
                <w:iCs/>
                <w:sz w:val="20"/>
                <w:szCs w:val="20"/>
              </w:rPr>
              <w:t xml:space="preserve"> </w:t>
            </w:r>
            <w:proofErr w:type="spellStart"/>
            <w:r w:rsidRPr="008654CF">
              <w:rPr>
                <w:rFonts w:cs="Calibri"/>
                <w:i/>
                <w:iCs/>
                <w:sz w:val="20"/>
                <w:szCs w:val="20"/>
              </w:rPr>
              <w:t>anthropi</w:t>
            </w:r>
            <w:proofErr w:type="spellEnd"/>
            <w:r w:rsidRPr="008654CF">
              <w:rPr>
                <w:rFonts w:cs="Calibri"/>
                <w:i/>
                <w:iCs/>
                <w:sz w:val="20"/>
                <w:szCs w:val="20"/>
              </w:rPr>
              <w:t xml:space="preserve"> strain LBAA)</w:t>
            </w:r>
          </w:p>
        </w:tc>
        <w:tc>
          <w:tcPr>
            <w:tcW w:w="1559" w:type="dxa"/>
            <w:tcBorders>
              <w:left w:val="nil"/>
              <w:right w:val="nil"/>
            </w:tcBorders>
          </w:tcPr>
          <w:p w14:paraId="1B40C4CC" w14:textId="39202968" w:rsidR="00B41C8C" w:rsidRPr="008654CF" w:rsidRDefault="00F767F1" w:rsidP="00B3491B">
            <w:pPr>
              <w:spacing w:after="0"/>
              <w:rPr>
                <w:rFonts w:cs="Calibri"/>
                <w:i/>
                <w:iCs/>
                <w:sz w:val="20"/>
                <w:szCs w:val="20"/>
              </w:rPr>
            </w:pPr>
            <w:r w:rsidRPr="00ED4450">
              <w:rPr>
                <w:rFonts w:cs="Calibri"/>
                <w:i/>
                <w:sz w:val="20"/>
              </w:rPr>
              <w:t>P-</w:t>
            </w:r>
            <w:proofErr w:type="spellStart"/>
            <w:r w:rsidRPr="00ED4450">
              <w:rPr>
                <w:rFonts w:cs="Calibri"/>
                <w:i/>
                <w:sz w:val="20"/>
              </w:rPr>
              <w:t>CMoVb</w:t>
            </w:r>
            <w:proofErr w:type="spellEnd"/>
            <w:r w:rsidRPr="008654CF">
              <w:rPr>
                <w:rFonts w:cs="Calibri"/>
                <w:iCs/>
                <w:sz w:val="20"/>
              </w:rPr>
              <w:t xml:space="preserve"> </w:t>
            </w:r>
            <w:r w:rsidRPr="008654CF">
              <w:rPr>
                <w:rFonts w:cs="Calibri"/>
                <w:iCs/>
                <w:sz w:val="20"/>
              </w:rPr>
              <w:br/>
              <w:t>(</w:t>
            </w:r>
            <w:r w:rsidR="007379E4" w:rsidRPr="008654CF">
              <w:rPr>
                <w:rFonts w:cs="Calibri"/>
                <w:iCs/>
                <w:sz w:val="20"/>
              </w:rPr>
              <w:t>F</w:t>
            </w:r>
            <w:r w:rsidRPr="008654CF">
              <w:rPr>
                <w:rFonts w:cs="Calibri"/>
                <w:iCs/>
                <w:sz w:val="20"/>
              </w:rPr>
              <w:t>igwort mosaic virus)</w:t>
            </w:r>
          </w:p>
        </w:tc>
        <w:tc>
          <w:tcPr>
            <w:tcW w:w="1276" w:type="dxa"/>
            <w:tcBorders>
              <w:left w:val="nil"/>
              <w:right w:val="nil"/>
            </w:tcBorders>
          </w:tcPr>
          <w:p w14:paraId="1ECA7923" w14:textId="2C7185D9" w:rsidR="00B41C8C" w:rsidRPr="008654CF" w:rsidRDefault="00F767F1" w:rsidP="00B3491B">
            <w:pPr>
              <w:spacing w:after="0"/>
              <w:rPr>
                <w:rFonts w:cs="Calibri"/>
                <w:i/>
                <w:iCs/>
                <w:sz w:val="20"/>
              </w:rPr>
            </w:pPr>
            <w:r w:rsidRPr="008654CF">
              <w:rPr>
                <w:rFonts w:cs="Calibri"/>
                <w:i/>
                <w:iCs/>
                <w:sz w:val="20"/>
              </w:rPr>
              <w:t>E9 3’</w:t>
            </w:r>
            <w:r w:rsidRPr="008654CF">
              <w:rPr>
                <w:rFonts w:cs="Calibri"/>
                <w:i/>
                <w:iCs/>
                <w:sz w:val="20"/>
              </w:rPr>
              <w:br/>
            </w:r>
            <w:r w:rsidRPr="008654CF">
              <w:rPr>
                <w:rFonts w:cs="Calibri"/>
                <w:iCs/>
                <w:sz w:val="20"/>
              </w:rPr>
              <w:t>(</w:t>
            </w:r>
            <w:r w:rsidRPr="008654CF">
              <w:rPr>
                <w:rFonts w:cs="Calibri"/>
                <w:i/>
                <w:iCs/>
                <w:sz w:val="20"/>
                <w:szCs w:val="20"/>
              </w:rPr>
              <w:t>P. sativum</w:t>
            </w:r>
            <w:r w:rsidRPr="008654CF">
              <w:rPr>
                <w:rFonts w:cs="Calibri"/>
                <w:iCs/>
                <w:sz w:val="20"/>
              </w:rPr>
              <w:t>)</w:t>
            </w:r>
          </w:p>
        </w:tc>
        <w:tc>
          <w:tcPr>
            <w:tcW w:w="2126" w:type="dxa"/>
            <w:tcBorders>
              <w:left w:val="nil"/>
              <w:right w:val="nil"/>
            </w:tcBorders>
          </w:tcPr>
          <w:p w14:paraId="589601F0" w14:textId="1BCF54DE" w:rsidR="00B41C8C" w:rsidRPr="008654CF" w:rsidRDefault="00F767F1" w:rsidP="00B3491B">
            <w:pPr>
              <w:spacing w:after="0"/>
              <w:rPr>
                <w:rFonts w:cs="Calibri"/>
                <w:sz w:val="20"/>
              </w:rPr>
            </w:pPr>
            <w:r w:rsidRPr="008654CF">
              <w:rPr>
                <w:rFonts w:cs="Calibri"/>
                <w:sz w:val="20"/>
              </w:rPr>
              <w:t xml:space="preserve">SSU1A/CTP1 </w:t>
            </w:r>
            <w:r w:rsidRPr="008654CF">
              <w:rPr>
                <w:rFonts w:cs="Calibri"/>
                <w:sz w:val="20"/>
              </w:rPr>
              <w:br/>
              <w:t>(</w:t>
            </w:r>
            <w:r w:rsidRPr="008654CF">
              <w:rPr>
                <w:rFonts w:cs="Calibri"/>
                <w:i/>
                <w:sz w:val="20"/>
              </w:rPr>
              <w:t>Arabidopsis thaliana</w:t>
            </w:r>
            <w:r w:rsidRPr="008654CF">
              <w:rPr>
                <w:rFonts w:cs="Calibri"/>
                <w:sz w:val="20"/>
              </w:rPr>
              <w:t>)</w:t>
            </w:r>
          </w:p>
        </w:tc>
        <w:tc>
          <w:tcPr>
            <w:tcW w:w="1276" w:type="dxa"/>
            <w:tcBorders>
              <w:left w:val="nil"/>
              <w:right w:val="nil"/>
            </w:tcBorders>
          </w:tcPr>
          <w:p w14:paraId="0DD5464F" w14:textId="13DF3E7B" w:rsidR="00B41C8C" w:rsidRPr="008654CF" w:rsidRDefault="00F767F1" w:rsidP="00B3491B">
            <w:pPr>
              <w:spacing w:after="0"/>
              <w:rPr>
                <w:rFonts w:cs="Calibri"/>
                <w:sz w:val="20"/>
              </w:rPr>
            </w:pPr>
            <w:r w:rsidRPr="008654CF">
              <w:rPr>
                <w:rFonts w:cs="Calibri"/>
                <w:iCs/>
                <w:sz w:val="20"/>
              </w:rPr>
              <w:t>GOX</w:t>
            </w:r>
          </w:p>
        </w:tc>
        <w:tc>
          <w:tcPr>
            <w:tcW w:w="1275" w:type="dxa"/>
            <w:tcBorders>
              <w:left w:val="nil"/>
              <w:right w:val="nil"/>
            </w:tcBorders>
          </w:tcPr>
          <w:p w14:paraId="49F6EA50" w14:textId="627C2EA3" w:rsidR="00B41C8C" w:rsidRPr="008654CF" w:rsidRDefault="00B41C8C" w:rsidP="00B3491B">
            <w:pPr>
              <w:spacing w:after="0"/>
              <w:rPr>
                <w:rFonts w:cs="Calibri"/>
                <w:sz w:val="20"/>
              </w:rPr>
            </w:pPr>
            <w:r w:rsidRPr="008654CF">
              <w:rPr>
                <w:rFonts w:cs="Calibri"/>
                <w:sz w:val="20"/>
              </w:rPr>
              <w:t>Detoxifying glyphosate</w:t>
            </w:r>
          </w:p>
        </w:tc>
      </w:tr>
    </w:tbl>
    <w:p w14:paraId="5B78AC1A" w14:textId="77777777" w:rsidR="00B41C8C" w:rsidRPr="008654CF" w:rsidRDefault="00B41C8C" w:rsidP="00A0203F">
      <w:pPr>
        <w:pStyle w:val="RARMPPara"/>
        <w:numPr>
          <w:ilvl w:val="0"/>
          <w:numId w:val="0"/>
        </w:numPr>
      </w:pPr>
    </w:p>
    <w:p w14:paraId="0D4445BF" w14:textId="447661EF" w:rsidR="00404C5B" w:rsidRPr="008654CF" w:rsidRDefault="00B934B7" w:rsidP="00621F54">
      <w:pPr>
        <w:pStyle w:val="RARMPPara"/>
      </w:pPr>
      <w:r w:rsidRPr="008654CF">
        <w:t>The detailed descriptions of the two introduced genes and other genetic</w:t>
      </w:r>
      <w:r w:rsidR="00F56A14" w:rsidRPr="008654CF">
        <w:t xml:space="preserve"> elements can be found in the </w:t>
      </w:r>
      <w:bookmarkStart w:id="5" w:name="_Hlk106971857"/>
      <w:r w:rsidR="00F56A14" w:rsidRPr="008654CF">
        <w:t xml:space="preserve">RARMPs for </w:t>
      </w:r>
      <w:hyperlink r:id="rId16" w:history="1">
        <w:r w:rsidR="00F56A14" w:rsidRPr="008654CF">
          <w:rPr>
            <w:rStyle w:val="Hyperlink"/>
            <w:color w:val="auto"/>
          </w:rPr>
          <w:t>DIR 020/2002</w:t>
        </w:r>
      </w:hyperlink>
      <w:bookmarkEnd w:id="5"/>
      <w:r w:rsidR="00F56A14" w:rsidRPr="008654CF">
        <w:t xml:space="preserve"> and </w:t>
      </w:r>
      <w:hyperlink r:id="rId17" w:history="1">
        <w:r w:rsidR="00F56A14" w:rsidRPr="008654CF">
          <w:rPr>
            <w:rStyle w:val="Hyperlink"/>
            <w:color w:val="auto"/>
          </w:rPr>
          <w:t>DIR 108</w:t>
        </w:r>
      </w:hyperlink>
      <w:r w:rsidR="00F56A14" w:rsidRPr="008654CF">
        <w:t>.</w:t>
      </w:r>
    </w:p>
    <w:p w14:paraId="5A5D34A6" w14:textId="03EBB639" w:rsidR="00856B48" w:rsidRPr="008654CF" w:rsidRDefault="00856B48" w:rsidP="00D45D6D">
      <w:pPr>
        <w:pStyle w:val="Heading3"/>
        <w:spacing w:before="240" w:after="120"/>
      </w:pPr>
      <w:r w:rsidRPr="008654CF">
        <w:t xml:space="preserve">Experience with </w:t>
      </w:r>
      <w:r w:rsidR="00801233" w:rsidRPr="008654CF">
        <w:t xml:space="preserve">cultivation of </w:t>
      </w:r>
      <w:r w:rsidR="00074836" w:rsidRPr="008654CF">
        <w:t xml:space="preserve">MON-ØØØ73-7 </w:t>
      </w:r>
      <w:r w:rsidR="00801233" w:rsidRPr="008654CF">
        <w:t>canola</w:t>
      </w:r>
    </w:p>
    <w:p w14:paraId="48D87C82" w14:textId="0900B5B3" w:rsidR="0006058E" w:rsidRPr="008654CF" w:rsidRDefault="0006058E" w:rsidP="00D45D6D">
      <w:pPr>
        <w:pStyle w:val="Heading4"/>
        <w:spacing w:before="240" w:after="120"/>
      </w:pPr>
      <w:r w:rsidRPr="008654CF">
        <w:t>Cultivation of canola</w:t>
      </w:r>
    </w:p>
    <w:p w14:paraId="17C90058" w14:textId="31AB9049" w:rsidR="00CD1CC0" w:rsidRPr="008654CF" w:rsidRDefault="00CD1CC0" w:rsidP="0006058E">
      <w:pPr>
        <w:pStyle w:val="RARMPPara"/>
      </w:pPr>
      <w:r w:rsidRPr="008654CF">
        <w:t>Canola (</w:t>
      </w:r>
      <w:r w:rsidRPr="008654CF">
        <w:rPr>
          <w:i/>
          <w:iCs/>
        </w:rPr>
        <w:t>Brassica napus L.</w:t>
      </w:r>
      <w:r w:rsidRPr="008654CF">
        <w:t xml:space="preserve">) is exotic to Australia and </w:t>
      </w:r>
      <w:r w:rsidR="00B93E8C" w:rsidRPr="008654CF">
        <w:t xml:space="preserve">has been </w:t>
      </w:r>
      <w:r w:rsidRPr="008654CF">
        <w:t xml:space="preserve">grown </w:t>
      </w:r>
      <w:r w:rsidR="00B93E8C" w:rsidRPr="008654CF">
        <w:t xml:space="preserve">in Australia </w:t>
      </w:r>
      <w:r w:rsidRPr="008654CF">
        <w:t>as an agricultural crop since the 19</w:t>
      </w:r>
      <w:r w:rsidR="005E1AFF" w:rsidRPr="008654CF">
        <w:t>7</w:t>
      </w:r>
      <w:r w:rsidRPr="008654CF">
        <w:t>0s</w:t>
      </w:r>
      <w:r w:rsidR="005E1AFF" w:rsidRPr="008654CF">
        <w:t xml:space="preserve">. Canola is cultivated mainly </w:t>
      </w:r>
      <w:r w:rsidRPr="008654CF">
        <w:t>for its seed</w:t>
      </w:r>
      <w:r w:rsidR="00762FC0" w:rsidRPr="008654CF">
        <w:t>,</w:t>
      </w:r>
      <w:r w:rsidRPr="008654CF">
        <w:t xml:space="preserve"> to produce canola oil</w:t>
      </w:r>
      <w:r w:rsidR="002E11D3" w:rsidRPr="008654CF">
        <w:t xml:space="preserve"> for human consumption as cooking oil or </w:t>
      </w:r>
      <w:r w:rsidR="005E1AFF" w:rsidRPr="008654CF">
        <w:rPr>
          <w:iCs/>
        </w:rPr>
        <w:t xml:space="preserve">food </w:t>
      </w:r>
      <w:r w:rsidR="002E11D3" w:rsidRPr="008654CF">
        <w:rPr>
          <w:iCs/>
        </w:rPr>
        <w:t>ingredient, and canola meal as animal feed</w:t>
      </w:r>
      <w:r w:rsidR="005E1AFF" w:rsidRPr="008654CF">
        <w:rPr>
          <w:iCs/>
        </w:rPr>
        <w:t xml:space="preserve"> </w:t>
      </w:r>
      <w:r w:rsidR="005E1AFF" w:rsidRPr="008654CF">
        <w:rPr>
          <w:iCs/>
        </w:rPr>
        <w:fldChar w:fldCharType="begin"/>
      </w:r>
      <w:r w:rsidR="00E32813" w:rsidRPr="008654CF">
        <w:rPr>
          <w:iCs/>
        </w:rPr>
        <w:instrText xml:space="preserve"> ADDIN EN.CITE &lt;EndNote&gt;&lt;Cite&gt;&lt;Author&gt;GRDC&lt;/Author&gt;&lt;Year&gt;2017&lt;/Year&gt;&lt;RecNum&gt;24767&lt;/RecNum&gt;&lt;DisplayText&gt;(GRDC, 2017)&lt;/DisplayText&gt;&lt;record&gt;&lt;rec-number&gt;24767&lt;/rec-number&gt;&lt;foreign-keys&gt;&lt;key app="EN" db-id="avrzt5sv7wwaa2epps1vzttcw5r5awswf02e" timestamp="1621825693"&gt;24767&lt;/key&gt;&lt;/foreign-keys&gt;&lt;ref-type name="Report"&gt;27&lt;/ref-type&gt;&lt;contributors&gt;&lt;authors&gt;&lt;author&gt;GRDC&lt;/author&gt;&lt;/authors&gt;&lt;secondary-authors&gt;&lt;author&gt;GRDC panel&lt;/author&gt;&lt;/secondary-authors&gt;&lt;/contributors&gt;&lt;titles&gt;&lt;title&gt;GRDC Canola GrowNotes: Northern&lt;/title&gt;&lt;/titles&gt;&lt;keywords&gt;&lt;keyword&gt;canola&lt;/keyword&gt;&lt;keyword&gt;management&lt;/keyword&gt;&lt;keyword&gt;AUSTRALIA&lt;/keyword&gt;&lt;/keywords&gt;&lt;dates&gt;&lt;year&gt;2017&lt;/year&gt;&lt;pub-dates&gt;&lt;date&gt;2017&lt;/date&gt;&lt;/pub-dates&gt;&lt;/dates&gt;&lt;publisher&gt;Grains Research and Development Corporation&lt;/publisher&gt;&lt;urls&gt;&lt;related-urls&gt;&lt;url&gt;&lt;style face="underline" font="default" size="100%"&gt;https://grdc.com.au/__data/assets/pdf_file/0029/240887/GRDC-GrowNotes-Canola-Northern.pdf&lt;/style&gt;&lt;/url&gt;&lt;/related-urls&gt;&lt;/urls&gt;&lt;/record&gt;&lt;/Cite&gt;&lt;/EndNote&gt;</w:instrText>
      </w:r>
      <w:r w:rsidR="005E1AFF" w:rsidRPr="008654CF">
        <w:rPr>
          <w:iCs/>
        </w:rPr>
        <w:fldChar w:fldCharType="separate"/>
      </w:r>
      <w:r w:rsidR="00E32813" w:rsidRPr="008654CF">
        <w:rPr>
          <w:iCs/>
          <w:noProof/>
        </w:rPr>
        <w:t>(GRDC, 2017)</w:t>
      </w:r>
      <w:r w:rsidR="005E1AFF" w:rsidRPr="008654CF">
        <w:fldChar w:fldCharType="end"/>
      </w:r>
      <w:r w:rsidR="005E1AFF" w:rsidRPr="008654CF">
        <w:t>.</w:t>
      </w:r>
    </w:p>
    <w:p w14:paraId="7B4759B5" w14:textId="3768B499" w:rsidR="0006058E" w:rsidRPr="008654CF" w:rsidRDefault="006D275D" w:rsidP="0006058E">
      <w:pPr>
        <w:pStyle w:val="RARMPPara"/>
      </w:pPr>
      <w:r w:rsidRPr="008654CF">
        <w:t xml:space="preserve">The area sown to canola in Australia increased considerably in the 1990s with the introduction of improved varieties, agronomic developments and good prices </w:t>
      </w:r>
      <w:r w:rsidR="00E60A15" w:rsidRPr="00E60A15">
        <w:fldChar w:fldCharType="begin"/>
      </w:r>
      <w:r w:rsidR="00E60A15" w:rsidRPr="00E60A15">
        <w:instrText xml:space="preserve"> ADDIN EN.CITE &lt;EndNote&gt;&lt;Cite&gt;&lt;Author&gt;Colton&lt;/Author&gt;&lt;Year&gt;1999&lt;/Year&gt;&lt;RecNum&gt;24768&lt;/RecNum&gt;&lt;DisplayText&gt;(Colton and Potter, 1999)&lt;/DisplayText&gt;&lt;record&gt;&lt;rec-number&gt;24768&lt;/rec-number&gt;&lt;foreign-keys&gt;&lt;key app="EN" db-id="avrzt5sv7wwaa2epps1vzttcw5r5awswf02e" timestamp="1621825694"&gt;24768&lt;/key&gt;&lt;/foreign-keys&gt;&lt;ref-type name="Book Section"&gt;5&lt;/ref-type&gt;&lt;contributors&gt;&lt;authors&gt;&lt;author&gt;Colton, B.&lt;/author&gt;&lt;author&gt;Potter, T.D.&lt;/author&gt;&lt;/authors&gt;&lt;secondary-authors&gt;&lt;author&gt;Salisbury, P.A.  &lt;/author&gt;&lt;author&gt;Potter, T.D.  &lt;/author&gt;&lt;author&gt;McDonald, G. &lt;/author&gt;&lt;author&gt;Green, A.G.&lt;/author&gt;&lt;/secondary-authors&gt;&lt;/contributors&gt;&lt;titles&gt;&lt;title&gt;History&lt;/title&gt;&lt;secondary-title&gt;Canola in Australia: the first 30 years&lt;/secondary-title&gt;&lt;/titles&gt;&lt;section&gt;1&lt;/section&gt;&lt;dates&gt;&lt;year&gt;1999&lt;/year&gt;&lt;/dates&gt;&lt;publisher&gt;Organising Committee of the 10th International Rapeseed Congress&lt;/publisher&gt;&lt;urls&gt;&lt;related-urls&gt;&lt;url&gt;http://www.australianoilseeds.com/commodity_groups/canola_association_of_australia/canola_in_australia_-_the_first_30_years&lt;/url&gt;&lt;/related-urls&gt;&lt;/urls&gt;&lt;/record&gt;&lt;/Cite&gt;&lt;/EndNote&gt;</w:instrText>
      </w:r>
      <w:r w:rsidR="00E60A15" w:rsidRPr="00E60A15">
        <w:fldChar w:fldCharType="separate"/>
      </w:r>
      <w:r w:rsidR="00E60A15" w:rsidRPr="00E60A15">
        <w:t>(Colton and Potter, 1999)</w:t>
      </w:r>
      <w:r w:rsidR="00E60A15" w:rsidRPr="00E60A15">
        <w:fldChar w:fldCharType="end"/>
      </w:r>
      <w:r w:rsidR="00E60A15" w:rsidRPr="00E60A15">
        <w:t>. The canola growing area</w:t>
      </w:r>
      <w:r w:rsidRPr="008654CF">
        <w:t xml:space="preserve"> peak</w:t>
      </w:r>
      <w:r w:rsidR="00E60A15">
        <w:t>ed</w:t>
      </w:r>
      <w:r w:rsidRPr="008654CF">
        <w:t xml:space="preserve"> in 2013 with over 3</w:t>
      </w:r>
      <w:r w:rsidR="00C66D68" w:rsidRPr="008654CF">
        <w:t>.2</w:t>
      </w:r>
      <w:r w:rsidR="009252FC">
        <w:t>5</w:t>
      </w:r>
      <w:r w:rsidRPr="008654CF">
        <w:t xml:space="preserve"> million h</w:t>
      </w:r>
      <w:r w:rsidR="00C66D68" w:rsidRPr="008654CF">
        <w:t>ect</w:t>
      </w:r>
      <w:r w:rsidRPr="008654CF">
        <w:t>a</w:t>
      </w:r>
      <w:r w:rsidR="00C66D68" w:rsidRPr="008654CF">
        <w:t>res</w:t>
      </w:r>
      <w:r w:rsidR="009D4568" w:rsidRPr="008654CF">
        <w:t xml:space="preserve"> (ha)</w:t>
      </w:r>
      <w:r w:rsidRPr="008654CF">
        <w:t xml:space="preserve"> harvested</w:t>
      </w:r>
      <w:r w:rsidR="00E60A15">
        <w:t>,</w:t>
      </w:r>
      <w:r w:rsidRPr="008654CF">
        <w:t xml:space="preserve"> </w:t>
      </w:r>
      <w:r w:rsidR="00E60A15" w:rsidRPr="00E60A15">
        <w:t xml:space="preserve">but fluctuated in the following years, and increased back to 3.25 million ha in 2022 </w:t>
      </w:r>
      <w:r w:rsidRPr="008654CF">
        <w:t>(</w:t>
      </w:r>
      <w:hyperlink r:id="rId18" w:anchor="data" w:history="1">
        <w:r w:rsidRPr="008654CF">
          <w:rPr>
            <w:rStyle w:val="Hyperlink"/>
            <w:color w:val="auto"/>
          </w:rPr>
          <w:t>FAOSTAT website</w:t>
        </w:r>
      </w:hyperlink>
      <w:r w:rsidRPr="008654CF">
        <w:t xml:space="preserve">, accessed </w:t>
      </w:r>
      <w:r w:rsidR="00E60A15">
        <w:t>February</w:t>
      </w:r>
      <w:r w:rsidR="00E60A15" w:rsidRPr="008654CF">
        <w:t xml:space="preserve"> </w:t>
      </w:r>
      <w:r w:rsidRPr="008654CF">
        <w:t>202</w:t>
      </w:r>
      <w:r w:rsidR="00E60A15">
        <w:t>4</w:t>
      </w:r>
      <w:r w:rsidRPr="008654CF">
        <w:t>)</w:t>
      </w:r>
      <w:r w:rsidR="00C66D68" w:rsidRPr="008654CF">
        <w:t xml:space="preserve">. </w:t>
      </w:r>
      <w:r w:rsidR="009D4568" w:rsidRPr="008654CF">
        <w:t xml:space="preserve">The </w:t>
      </w:r>
      <w:r w:rsidR="00BB0C17">
        <w:t xml:space="preserve">total </w:t>
      </w:r>
      <w:r w:rsidR="009D4568" w:rsidRPr="008654CF">
        <w:t>canola planting area</w:t>
      </w:r>
      <w:r w:rsidR="00BB0C17">
        <w:t xml:space="preserve">, including </w:t>
      </w:r>
      <w:r w:rsidR="00E66298">
        <w:t>both GM and non-GM</w:t>
      </w:r>
      <w:r w:rsidR="00BB0C17">
        <w:t xml:space="preserve"> canola,</w:t>
      </w:r>
      <w:r w:rsidR="00E66298">
        <w:t xml:space="preserve"> </w:t>
      </w:r>
      <w:r w:rsidR="009D4568" w:rsidRPr="008654CF">
        <w:t xml:space="preserve">was </w:t>
      </w:r>
      <w:r w:rsidR="00E60A15">
        <w:t>estimated to reach 3.9</w:t>
      </w:r>
      <w:r w:rsidR="009D4568" w:rsidRPr="008654CF">
        <w:t xml:space="preserve"> million ha in 202</w:t>
      </w:r>
      <w:r w:rsidR="00E60A15">
        <w:t>3</w:t>
      </w:r>
      <w:r w:rsidR="00E60A15" w:rsidRPr="00E60A15">
        <w:t xml:space="preserve"> </w:t>
      </w:r>
      <w:r w:rsidR="00E60A15" w:rsidRPr="00E60A15">
        <w:fldChar w:fldCharType="begin"/>
      </w:r>
      <w:r w:rsidR="00E60A15" w:rsidRPr="00E60A15">
        <w:instrText xml:space="preserve"> ADDIN EN.CITE &lt;EndNote&gt;&lt;Cite&gt;&lt;Author&gt;ABARES&lt;/Author&gt;&lt;Year&gt;2023&lt;/Year&gt;&lt;RecNum&gt;53&lt;/RecNum&gt;&lt;DisplayText&gt;(ABARES, 2023)&lt;/DisplayText&gt;&lt;record&gt;&lt;rec-number&gt;53&lt;/rec-number&gt;&lt;foreign-keys&gt;&lt;key app="EN" db-id="9dp50sxsprrex2eedwtvdxsjxpw9tv52v0ae" timestamp="1707976008"&gt;53&lt;/key&gt;&lt;/foreign-keys&gt;&lt;ref-type name="Report"&gt;27&lt;/ref-type&gt;&lt;contributors&gt;&lt;authors&gt;&lt;author&gt;ABARES&lt;/author&gt;&lt;/authors&gt;&lt;/contributors&gt;&lt;titles&gt;&lt;title&gt;Crop data underpinning Australian Crop Report No. 208: December 2023&lt;/title&gt;&lt;/titles&gt;&lt;dates&gt;&lt;year&gt;2023&lt;/year&gt;&lt;/dates&gt;&lt;pub-location&gt;Canberra, Australia&lt;/pub-location&gt;&lt;publisher&gt;Australian Bureau of Agricultural and Resource Economics and Sciences&lt;/publisher&gt;&lt;urls&gt;&lt;/urls&gt;&lt;/record&gt;&lt;/Cite&gt;&lt;/EndNote&gt;</w:instrText>
      </w:r>
      <w:r w:rsidR="00E60A15" w:rsidRPr="00E60A15">
        <w:fldChar w:fldCharType="separate"/>
      </w:r>
      <w:r w:rsidR="00E60A15" w:rsidRPr="00E60A15">
        <w:t>(ABARES, 2023)</w:t>
      </w:r>
      <w:r w:rsidR="00E60A15" w:rsidRPr="00E60A15">
        <w:fldChar w:fldCharType="end"/>
      </w:r>
      <w:r w:rsidRPr="008654CF">
        <w:t>.</w:t>
      </w:r>
    </w:p>
    <w:p w14:paraId="7988580A" w14:textId="7CE24392" w:rsidR="002E1D2F" w:rsidRPr="008654CF" w:rsidRDefault="002E1D2F" w:rsidP="00D45D6D">
      <w:pPr>
        <w:pStyle w:val="Heading4"/>
        <w:spacing w:before="240" w:after="120"/>
      </w:pPr>
      <w:r w:rsidRPr="008654CF">
        <w:t xml:space="preserve">Approvals for </w:t>
      </w:r>
      <w:r w:rsidR="00074836" w:rsidRPr="008654CF">
        <w:t xml:space="preserve">MON-ØØØ73-7 </w:t>
      </w:r>
      <w:r w:rsidR="00801233" w:rsidRPr="008654CF">
        <w:t>canola</w:t>
      </w:r>
    </w:p>
    <w:p w14:paraId="4E95D5E2" w14:textId="20EE714F" w:rsidR="006204C6" w:rsidRPr="008654CF" w:rsidRDefault="00F870D7" w:rsidP="00331C09">
      <w:pPr>
        <w:pStyle w:val="RARMPPara"/>
      </w:pPr>
      <w:r w:rsidRPr="008654CF">
        <w:t xml:space="preserve">Canada was the first country to commercially plant </w:t>
      </w:r>
      <w:r w:rsidR="009C6F7A" w:rsidRPr="008654CF">
        <w:t>MON-ØØØ73-7</w:t>
      </w:r>
      <w:r w:rsidR="00685B9A">
        <w:t xml:space="preserve"> canola</w:t>
      </w:r>
      <w:r w:rsidR="009C6F7A" w:rsidRPr="008654CF">
        <w:t xml:space="preserve"> </w:t>
      </w:r>
      <w:r w:rsidR="00730FDC" w:rsidRPr="008654CF">
        <w:t>in 1996</w:t>
      </w:r>
      <w:r w:rsidR="003D1581" w:rsidRPr="008654CF">
        <w:t xml:space="preserve"> (</w:t>
      </w:r>
      <w:hyperlink r:id="rId19" w:history="1">
        <w:r w:rsidR="003D1581" w:rsidRPr="008654CF">
          <w:rPr>
            <w:rStyle w:val="Hyperlink"/>
            <w:color w:val="auto"/>
          </w:rPr>
          <w:t>Canola Council of Canada</w:t>
        </w:r>
      </w:hyperlink>
      <w:r w:rsidR="003D1581" w:rsidRPr="008654CF">
        <w:t>)</w:t>
      </w:r>
      <w:r w:rsidRPr="008654CF">
        <w:t xml:space="preserve"> and Australia started </w:t>
      </w:r>
      <w:r w:rsidR="00C80B32" w:rsidRPr="008654CF">
        <w:t xml:space="preserve">commercially </w:t>
      </w:r>
      <w:r w:rsidRPr="008654CF">
        <w:t xml:space="preserve">growing </w:t>
      </w:r>
      <w:r w:rsidR="009C6F7A" w:rsidRPr="008654CF">
        <w:t xml:space="preserve">MON-ØØØ73-7 </w:t>
      </w:r>
      <w:r w:rsidR="00685B9A">
        <w:t xml:space="preserve">canola </w:t>
      </w:r>
      <w:r w:rsidRPr="008654CF">
        <w:t xml:space="preserve">in 2008 </w:t>
      </w:r>
      <w:r w:rsidRPr="008654CF">
        <w:fldChar w:fldCharType="begin"/>
      </w:r>
      <w:r w:rsidR="00AB0B6E" w:rsidRPr="008654CF">
        <w:instrText xml:space="preserve"> ADDIN EN.CITE &lt;EndNote&gt;&lt;Cite&gt;&lt;Author&gt;Salisbury&lt;/Author&gt;&lt;Year&gt;2016&lt;/Year&gt;&lt;RecNum&gt;19788&lt;/RecNum&gt;&lt;DisplayText&gt;(Salisbury et al., 2016)&lt;/DisplayText&gt;&lt;record&gt;&lt;rec-number&gt;19788&lt;/rec-number&gt;&lt;foreign-keys&gt;&lt;key app="EN" db-id="avrzt5sv7wwaa2epps1vzttcw5r5awswf02e" timestamp="1503881621"&gt;19788&lt;/key&gt;&lt;/foreign-keys&gt;&lt;ref-type name="Journal Article"&gt;17&lt;/ref-type&gt;&lt;contributors&gt;&lt;authors&gt;&lt;author&gt;Salisbury, Phillip A.&lt;/author&gt;&lt;author&gt;Cowling, Wallace A.&lt;/author&gt;&lt;author&gt;Potter, Trent D.&lt;/author&gt;&lt;/authors&gt;&lt;/contributors&gt;&lt;titles&gt;&lt;title&gt;Continuing innovation in Australian canola breeding&lt;/title&gt;&lt;secondary-title&gt;Crop and Pasture Science&lt;/secondary-title&gt;&lt;/titles&gt;&lt;periodical&gt;&lt;full-title&gt;Crop and Pasture Science&lt;/full-title&gt;&lt;/periodical&gt;&lt;pages&gt;266-272&lt;/pages&gt;&lt;volume&gt;67&lt;/volume&gt;&lt;number&gt;4&lt;/number&gt;&lt;reprint-edition&gt;In File&lt;/reprint-edition&gt;&lt;keywords&gt;&lt;keyword&gt;and&lt;/keyword&gt;&lt;keyword&gt;Brassica&lt;/keyword&gt;&lt;keyword&gt;Brassica napus&lt;/keyword&gt;&lt;keyword&gt;Brassica napus L&lt;/keyword&gt;&lt;keyword&gt;BRASSICA-NAPUS&lt;/keyword&gt;&lt;keyword&gt;breeding&lt;/keyword&gt;&lt;keyword&gt;canola&lt;/keyword&gt;&lt;keyword&gt;cultivar&lt;/keyword&gt;&lt;keyword&gt;cultivars&lt;/keyword&gt;&lt;keyword&gt;development&lt;/keyword&gt;&lt;keyword&gt;genetically&lt;/keyword&gt;&lt;keyword&gt;genetically modified&lt;/keyword&gt;&lt;keyword&gt;Genetically-modified&lt;/keyword&gt;&lt;keyword&gt;germplasm&lt;/keyword&gt;&lt;keyword&gt;herbicide&lt;/keyword&gt;&lt;keyword&gt;herbicide resistance&lt;/keyword&gt;&lt;keyword&gt;HERBICIDE-RESISTANCE&lt;/keyword&gt;&lt;keyword&gt;hybrid&lt;/keyword&gt;&lt;keyword&gt;Industry&lt;/keyword&gt;&lt;keyword&gt;Major&lt;/keyword&gt;&lt;keyword&gt;modified&lt;/keyword&gt;&lt;keyword&gt;of&lt;/keyword&gt;&lt;keyword&gt;oil&lt;/keyword&gt;&lt;keyword&gt;QUALITY&lt;/keyword&gt;&lt;keyword&gt;rapeseed&lt;/keyword&gt;&lt;keyword&gt;resistance&lt;/keyword&gt;&lt;keyword&gt;review&lt;/keyword&gt;&lt;/keywords&gt;&lt;dates&gt;&lt;year&gt;2016&lt;/year&gt;&lt;pub-dates&gt;&lt;date&gt;2016&lt;/date&gt;&lt;/pub-dates&gt;&lt;/dates&gt;&lt;label&gt;21344&lt;/label&gt;&lt;urls&gt;&lt;related-urls&gt;&lt;url&gt;http://dx.doi.org/10.1071/CP15262&lt;/url&gt;&lt;url&gt;https://www.publish.csiro.au/paper/CP15262&lt;/url&gt;&lt;/related-urls&gt;&lt;/urls&gt;&lt;electronic-resource-num&gt;10.1071/CP15262&lt;/electronic-resource-num&gt;&lt;/record&gt;&lt;/Cite&gt;&lt;/EndNote&gt;</w:instrText>
      </w:r>
      <w:r w:rsidRPr="008654CF">
        <w:fldChar w:fldCharType="separate"/>
      </w:r>
      <w:r w:rsidRPr="008654CF">
        <w:rPr>
          <w:noProof/>
        </w:rPr>
        <w:t>(Salisbury et al., 2016)</w:t>
      </w:r>
      <w:r w:rsidRPr="008654CF">
        <w:fldChar w:fldCharType="end"/>
      </w:r>
      <w:r w:rsidRPr="008654CF">
        <w:t xml:space="preserve">. In addition, </w:t>
      </w:r>
      <w:r w:rsidR="00074836" w:rsidRPr="008654CF">
        <w:t xml:space="preserve">MON-ØØØ73-7 </w:t>
      </w:r>
      <w:r w:rsidR="00C80B32" w:rsidRPr="008654CF">
        <w:t>canola has been</w:t>
      </w:r>
      <w:r w:rsidRPr="008654CF">
        <w:t xml:space="preserve"> commercially grown in </w:t>
      </w:r>
      <w:r w:rsidR="00C908F9" w:rsidRPr="008654CF">
        <w:t xml:space="preserve">the </w:t>
      </w:r>
      <w:r w:rsidR="00464775">
        <w:t>United States of America (</w:t>
      </w:r>
      <w:r w:rsidRPr="008654CF">
        <w:t>USA</w:t>
      </w:r>
      <w:r w:rsidR="00464775">
        <w:t>)</w:t>
      </w:r>
      <w:r w:rsidR="002326A3" w:rsidRPr="008654CF">
        <w:t xml:space="preserve"> </w:t>
      </w:r>
      <w:r w:rsidR="00FB532D" w:rsidRPr="008654CF">
        <w:fldChar w:fldCharType="begin"/>
      </w:r>
      <w:r w:rsidR="00FB532D" w:rsidRPr="008654CF">
        <w:instrText xml:space="preserve"> ADDIN EN.CITE &lt;EndNote&gt;&lt;Cite&gt;&lt;Author&gt;Fernandez-Cornejo&lt;/Author&gt;&lt;Year&gt;2016&lt;/Year&gt;&lt;RecNum&gt;5&lt;/RecNum&gt;&lt;DisplayText&gt;(Fernandez-Cornejo et al., 2016)&lt;/DisplayText&gt;&lt;record&gt;&lt;rec-number&gt;5&lt;/rec-number&gt;&lt;foreign-keys&gt;&lt;key app="EN" db-id="9dp50sxsprrex2eedwtvdxsjxpw9tv52v0ae" timestamp="1636294256"&gt;5&lt;/key&gt;&lt;/foreign-keys&gt;&lt;ref-type name="Report"&gt;27&lt;/ref-type&gt;&lt;contributors&gt;&lt;authors&gt;&lt;author&gt;Fernandez-Cornejo, J.&lt;/author&gt;&lt;author&gt;Wechsler, S.&lt;/author&gt;&lt;author&gt;Milkove, D&lt;/author&gt;&lt;/authors&gt;&lt;/contributors&gt;&lt;titles&gt;&lt;title&gt;The adoption of genetically engineered alfalfa, canola, and sugarbeets in the United States. Economic Information Bulletin No. 163&lt;/title&gt;&lt;/titles&gt;&lt;dates&gt;&lt;year&gt;2016&lt;/year&gt;&lt;/dates&gt;&lt;publisher&gt;U.S. Department of Agriculture, Economic Research Service&lt;/publisher&gt;&lt;urls&gt;&lt;/urls&gt;&lt;/record&gt;&lt;/Cite&gt;&lt;/EndNote&gt;</w:instrText>
      </w:r>
      <w:r w:rsidR="00FB532D" w:rsidRPr="008654CF">
        <w:fldChar w:fldCharType="separate"/>
      </w:r>
      <w:r w:rsidR="00FB532D" w:rsidRPr="008654CF">
        <w:rPr>
          <w:noProof/>
        </w:rPr>
        <w:t>(Fernandez-Cornejo et al., 2016)</w:t>
      </w:r>
      <w:r w:rsidR="00FB532D" w:rsidRPr="008654CF">
        <w:fldChar w:fldCharType="end"/>
      </w:r>
      <w:r w:rsidR="00F67B10">
        <w:t>.</w:t>
      </w:r>
      <w:r w:rsidR="00A11099">
        <w:t xml:space="preserve"> </w:t>
      </w:r>
      <w:r w:rsidR="00F67B10">
        <w:t>C</w:t>
      </w:r>
      <w:r w:rsidR="00BC3EA2" w:rsidRPr="008654CF">
        <w:t xml:space="preserve">ultivation </w:t>
      </w:r>
      <w:r w:rsidR="00F67B10">
        <w:t xml:space="preserve">was </w:t>
      </w:r>
      <w:r w:rsidR="00BC3EA2" w:rsidRPr="008654CF">
        <w:t xml:space="preserve">also approved in </w:t>
      </w:r>
      <w:r w:rsidR="00C80B32" w:rsidRPr="008654CF">
        <w:t>Japan</w:t>
      </w:r>
      <w:r w:rsidR="00F67B10">
        <w:t xml:space="preserve"> in 2006</w:t>
      </w:r>
      <w:r w:rsidR="00C80B32" w:rsidRPr="008654CF">
        <w:t xml:space="preserve"> </w:t>
      </w:r>
      <w:r w:rsidRPr="008654CF">
        <w:fldChar w:fldCharType="begin"/>
      </w:r>
      <w:r w:rsidR="00FB410F" w:rsidRPr="008654CF">
        <w:instrText xml:space="preserve"> ADDIN EN.CITE &lt;EndNote&gt;&lt;Cite&gt;&lt;Author&gt;ISAAA&lt;/Author&gt;&lt;Year&gt;2018&lt;/Year&gt;&lt;RecNum&gt;23331&lt;/RecNum&gt;&lt;DisplayText&gt;(ISAAA, 2018)&lt;/DisplayText&gt;&lt;record&gt;&lt;rec-number&gt;23331&lt;/rec-number&gt;&lt;foreign-keys&gt;&lt;key app="EN" db-id="avrzt5sv7wwaa2epps1vzttcw5r5awswf02e" timestamp="1608177122"&gt;23331&lt;/key&gt;&lt;/foreign-keys&gt;&lt;ref-type name="Report"&gt;27&lt;/ref-type&gt;&lt;contributors&gt;&lt;authors&gt;&lt;author&gt;ISAAA&lt;/author&gt;&lt;/authors&gt;&lt;/contributors&gt;&lt;titles&gt;&lt;title&gt;&lt;style face="normal" font="default" size="100%"&gt;Global Status of Commercialized Biotech/GM Crops in 2018: Biotech Crops Continue to Help Meet the Challenges of Increased Population and Climate Change. &lt;/style&gt;&lt;style face="italic" font="default" size="100%"&gt;ISAAA Brief No. 54&lt;/style&gt;&lt;/title&gt;&lt;/titles&gt;&lt;dates&gt;&lt;year&gt;2018&lt;/year&gt;&lt;/dates&gt;&lt;pub-location&gt;ISAAA: Ithaca, NY.&lt;/pub-location&gt;&lt;urls&gt;&lt;/urls&gt;&lt;/record&gt;&lt;/Cite&gt;&lt;/EndNote&gt;</w:instrText>
      </w:r>
      <w:r w:rsidRPr="008654CF">
        <w:fldChar w:fldCharType="separate"/>
      </w:r>
      <w:r w:rsidRPr="008654CF">
        <w:rPr>
          <w:noProof/>
        </w:rPr>
        <w:t>(ISAAA, 2018)</w:t>
      </w:r>
      <w:r w:rsidRPr="008654CF">
        <w:fldChar w:fldCharType="end"/>
      </w:r>
      <w:r w:rsidR="00F67B10">
        <w:t>,</w:t>
      </w:r>
      <w:r w:rsidR="00A11099">
        <w:t xml:space="preserve"> </w:t>
      </w:r>
      <w:r w:rsidR="00F67B10">
        <w:t>h</w:t>
      </w:r>
      <w:r w:rsidR="00BC3EA2" w:rsidRPr="008654CF">
        <w:t xml:space="preserve">owever, no GM crops are commercially cultivated in Japan </w:t>
      </w:r>
      <w:r w:rsidR="00BC3EA2" w:rsidRPr="008654CF">
        <w:fldChar w:fldCharType="begin">
          <w:fldData xml:space="preserve">PEVuZE5vdGU+PENpdGU+PEF1dGhvcj5NYXRzdXNoaXRhPC9BdXRob3I+PFllYXI+MjAyMDwvWWVh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</w:fldData>
        </w:fldChar>
      </w:r>
      <w:r w:rsidR="00BC3EA2" w:rsidRPr="008654CF">
        <w:instrText xml:space="preserve"> ADDIN EN.CITE </w:instrText>
      </w:r>
      <w:r w:rsidR="00BC3EA2" w:rsidRPr="008654CF">
        <w:fldChar w:fldCharType="begin">
          <w:fldData xml:space="preserve">PEVuZE5vdGU+PENpdGU+PEF1dGhvcj5NYXRzdXNoaXRhPC9BdXRob3I+PFllYXI+MjAyMDwvWWVh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</w:fldData>
        </w:fldChar>
      </w:r>
      <w:r w:rsidR="00BC3EA2" w:rsidRPr="008654CF">
        <w:instrText xml:space="preserve"> ADDIN EN.CITE.DATA </w:instrText>
      </w:r>
      <w:r w:rsidR="00BC3EA2" w:rsidRPr="008654CF">
        <w:fldChar w:fldCharType="end"/>
      </w:r>
      <w:r w:rsidR="00BC3EA2" w:rsidRPr="008654CF">
        <w:fldChar w:fldCharType="separate"/>
      </w:r>
      <w:r w:rsidR="00BC3EA2" w:rsidRPr="008654CF">
        <w:rPr>
          <w:noProof/>
        </w:rPr>
        <w:t>(Matsushita et al., 2020)</w:t>
      </w:r>
      <w:r w:rsidR="00BC3EA2" w:rsidRPr="008654CF">
        <w:fldChar w:fldCharType="end"/>
      </w:r>
      <w:r w:rsidR="00BC3EA2" w:rsidRPr="008654CF">
        <w:t xml:space="preserve">. </w:t>
      </w:r>
      <w:r w:rsidRPr="008654CF">
        <w:t xml:space="preserve">Globally, </w:t>
      </w:r>
      <w:r w:rsidR="00902CBA" w:rsidRPr="008654CF">
        <w:t>GM</w:t>
      </w:r>
      <w:r w:rsidRPr="008654CF">
        <w:t xml:space="preserve"> canola, including </w:t>
      </w:r>
      <w:r w:rsidR="00074836" w:rsidRPr="008654CF">
        <w:t>MON-ØØØ73-7</w:t>
      </w:r>
      <w:r w:rsidR="00B00143" w:rsidRPr="008654CF">
        <w:t>,</w:t>
      </w:r>
      <w:r w:rsidRPr="008654CF">
        <w:t xml:space="preserve"> </w:t>
      </w:r>
      <w:r w:rsidR="000C224F" w:rsidRPr="008654CF">
        <w:t>was</w:t>
      </w:r>
      <w:r w:rsidRPr="008654CF">
        <w:t xml:space="preserve"> grown on 10.1 million hectares</w:t>
      </w:r>
      <w:r w:rsidR="00762FC0" w:rsidRPr="008654CF">
        <w:t xml:space="preserve"> in 2018</w:t>
      </w:r>
      <w:r w:rsidRPr="008654CF">
        <w:t xml:space="preserve">, which </w:t>
      </w:r>
      <w:r w:rsidR="00B00143" w:rsidRPr="008654CF">
        <w:t xml:space="preserve">accounted </w:t>
      </w:r>
      <w:r w:rsidRPr="008654CF">
        <w:t xml:space="preserve">for 29% of all canola production </w:t>
      </w:r>
      <w:r w:rsidR="00A25467" w:rsidRPr="008654CF">
        <w:t xml:space="preserve">in </w:t>
      </w:r>
      <w:r w:rsidR="00762FC0" w:rsidRPr="008654CF">
        <w:t xml:space="preserve">that year </w:t>
      </w:r>
      <w:r w:rsidRPr="008654CF">
        <w:fldChar w:fldCharType="begin"/>
      </w:r>
      <w:r w:rsidR="00FB410F" w:rsidRPr="008654CF">
        <w:instrText xml:space="preserve"> ADDIN EN.CITE &lt;EndNote&gt;&lt;Cite&gt;&lt;Author&gt;ISAAA&lt;/Author&gt;&lt;Year&gt;2018&lt;/Year&gt;&lt;RecNum&gt;23331&lt;/RecNum&gt;&lt;DisplayText&gt;(ISAAA, 2018)&lt;/DisplayText&gt;&lt;record&gt;&lt;rec-number&gt;23331&lt;/rec-number&gt;&lt;foreign-keys&gt;&lt;key app="EN" db-id="avrzt5sv7wwaa2epps1vzttcw5r5awswf02e" timestamp="1608177122"&gt;23331&lt;/key&gt;&lt;/foreign-keys&gt;&lt;ref-type name="Report"&gt;27&lt;/ref-type&gt;&lt;contributors&gt;&lt;authors&gt;&lt;author&gt;ISAAA&lt;/author&gt;&lt;/authors&gt;&lt;/contributors&gt;&lt;titles&gt;&lt;title&gt;&lt;style face="normal" font="default" size="100%"&gt;Global Status of Commercialized Biotech/GM Crops in 2018: Biotech Crops Continue to Help Meet the Challenges of Increased Population and Climate Change. &lt;/style&gt;&lt;style face="italic" font="default" size="100%"&gt;ISAAA Brief No. 54&lt;/style&gt;&lt;/title&gt;&lt;/titles&gt;&lt;dates&gt;&lt;year&gt;2018&lt;/year&gt;&lt;/dates&gt;&lt;pub-location&gt;ISAAA: Ithaca, NY.&lt;/pub-location&gt;&lt;urls&gt;&lt;/urls&gt;&lt;/record&gt;&lt;/Cite&gt;&lt;/EndNote&gt;</w:instrText>
      </w:r>
      <w:r w:rsidRPr="008654CF">
        <w:fldChar w:fldCharType="separate"/>
      </w:r>
      <w:r w:rsidRPr="008654CF">
        <w:rPr>
          <w:noProof/>
        </w:rPr>
        <w:t>(ISAAA, 2018)</w:t>
      </w:r>
      <w:r w:rsidRPr="008654CF">
        <w:fldChar w:fldCharType="end"/>
      </w:r>
      <w:r w:rsidR="006204C6" w:rsidRPr="008654CF">
        <w:t>.</w:t>
      </w:r>
      <w:r w:rsidR="00331C09" w:rsidRPr="008654CF">
        <w:t xml:space="preserve"> </w:t>
      </w:r>
      <w:r w:rsidR="006204C6" w:rsidRPr="008654CF">
        <w:t xml:space="preserve">Authorisations </w:t>
      </w:r>
      <w:r w:rsidR="000C224F" w:rsidRPr="008654CF">
        <w:t>of</w:t>
      </w:r>
      <w:r w:rsidR="006204C6" w:rsidRPr="008654CF">
        <w:t xml:space="preserve"> </w:t>
      </w:r>
      <w:r w:rsidR="00074836" w:rsidRPr="008654CF">
        <w:t xml:space="preserve">MON-ØØØ73-7 </w:t>
      </w:r>
      <w:r w:rsidR="000C224F" w:rsidRPr="008654CF">
        <w:t xml:space="preserve">canola globally for food and feed use and </w:t>
      </w:r>
      <w:r w:rsidR="00762FC0" w:rsidRPr="008654CF">
        <w:t xml:space="preserve">for </w:t>
      </w:r>
      <w:r w:rsidR="000C224F" w:rsidRPr="008654CF">
        <w:t xml:space="preserve">commercial cultivation </w:t>
      </w:r>
      <w:r w:rsidR="006204C6" w:rsidRPr="008654CF">
        <w:t xml:space="preserve">are summarised in Table </w:t>
      </w:r>
      <w:r w:rsidR="00B00143" w:rsidRPr="008654CF">
        <w:t xml:space="preserve">2 </w:t>
      </w:r>
      <w:r w:rsidR="006204C6" w:rsidRPr="008654CF">
        <w:t>below.</w:t>
      </w:r>
    </w:p>
    <w:p w14:paraId="4EF431B0" w14:textId="634A0379" w:rsidR="006204C6" w:rsidRPr="008654CF" w:rsidRDefault="006204C6" w:rsidP="003D7A01">
      <w:pPr>
        <w:pStyle w:val="RARMPPara"/>
        <w:numPr>
          <w:ilvl w:val="0"/>
          <w:numId w:val="0"/>
        </w:numPr>
        <w:spacing w:before="240" w:after="240"/>
        <w:ind w:left="142"/>
        <w:rPr>
          <w:b/>
          <w:bCs/>
        </w:rPr>
      </w:pPr>
      <w:r w:rsidRPr="008654CF">
        <w:rPr>
          <w:b/>
          <w:bCs/>
        </w:rPr>
        <w:t xml:space="preserve">Table </w:t>
      </w:r>
      <w:r w:rsidR="007711FC" w:rsidRPr="008654CF">
        <w:rPr>
          <w:b/>
          <w:bCs/>
        </w:rPr>
        <w:t>2</w:t>
      </w:r>
      <w:r w:rsidR="007F63ED" w:rsidRPr="008654CF">
        <w:rPr>
          <w:b/>
          <w:bCs/>
        </w:rPr>
        <w:tab/>
        <w:t xml:space="preserve">International approvals of </w:t>
      </w:r>
      <w:r w:rsidR="009C6F7A" w:rsidRPr="005C5908">
        <w:rPr>
          <w:b/>
          <w:bCs/>
        </w:rPr>
        <w:t>MON-ØØØ73-7</w:t>
      </w:r>
      <w:r w:rsidR="00E71FBA">
        <w:rPr>
          <w:b/>
          <w:bCs/>
        </w:rPr>
        <w:t xml:space="preserve"> canola</w:t>
      </w:r>
      <w:r w:rsidR="00194A69" w:rsidRPr="008654CF">
        <w:rPr>
          <w:b/>
          <w:bCs/>
        </w:rPr>
        <w:t>*</w:t>
      </w:r>
    </w:p>
    <w:tbl>
      <w:tblPr>
        <w:tblStyle w:val="TableGrid"/>
        <w:tblW w:w="6804" w:type="dxa"/>
        <w:tblInd w:w="142" w:type="dxa"/>
        <w:tblCellMar>
          <w:top w:w="28" w:type="dxa"/>
          <w:bottom w:w="28" w:type="dxa"/>
        </w:tblCellMar>
        <w:tblLook w:val="04A0" w:firstRow="1" w:lastRow="0" w:firstColumn="1" w:lastColumn="0" w:noHBand="0" w:noVBand="1"/>
        <w:tblCaption w:val="Table 3  International approvals of MS11, RF3 and MON 88302"/>
        <w:tblDescription w:val="This table contains a list of the countries in which MS11, RF3 and MON 88302 canola have been approved for cultivation and food or feed use. The table has four columns, one each for Country, MS11, RF3 and MON 88302."/>
      </w:tblPr>
      <w:tblGrid>
        <w:gridCol w:w="1843"/>
        <w:gridCol w:w="1559"/>
        <w:gridCol w:w="1701"/>
        <w:gridCol w:w="1701"/>
      </w:tblGrid>
      <w:tr w:rsidR="008654CF" w:rsidRPr="008654CF" w14:paraId="51A186B3" w14:textId="77777777" w:rsidTr="00C04BC2">
        <w:trPr>
          <w:tblHeader/>
        </w:trPr>
        <w:tc>
          <w:tcPr>
            <w:tcW w:w="1843" w:type="dxa"/>
            <w:tcBorders>
              <w:left w:val="nil"/>
              <w:bottom w:val="single" w:sz="4" w:space="0" w:color="auto"/>
              <w:right w:val="nil"/>
            </w:tcBorders>
            <w:shd w:val="clear" w:color="auto" w:fill="D9D9D9" w:themeFill="background1" w:themeFillShade="D9"/>
          </w:tcPr>
          <w:p w14:paraId="7FA12576" w14:textId="77777777" w:rsidR="007F63ED" w:rsidRPr="008654CF" w:rsidRDefault="007F63ED" w:rsidP="00B3491B">
            <w:pPr>
              <w:spacing w:after="0"/>
              <w:contextualSpacing/>
              <w:rPr>
                <w:b/>
              </w:rPr>
            </w:pPr>
            <w:bookmarkStart w:id="6" w:name="_Ref46842216"/>
            <w:r w:rsidRPr="008654CF">
              <w:rPr>
                <w:b/>
              </w:rPr>
              <w:t>Country</w:t>
            </w:r>
          </w:p>
        </w:tc>
        <w:tc>
          <w:tcPr>
            <w:tcW w:w="1559" w:type="dxa"/>
            <w:tcBorders>
              <w:left w:val="nil"/>
              <w:bottom w:val="single" w:sz="4" w:space="0" w:color="auto"/>
              <w:right w:val="nil"/>
            </w:tcBorders>
            <w:shd w:val="clear" w:color="auto" w:fill="D9D9D9" w:themeFill="background1" w:themeFillShade="D9"/>
          </w:tcPr>
          <w:p w14:paraId="6427240A" w14:textId="134B5D4A" w:rsidR="007F63ED" w:rsidRPr="008654CF" w:rsidRDefault="007F63ED" w:rsidP="00B3491B">
            <w:pPr>
              <w:spacing w:after="0"/>
              <w:contextualSpacing/>
              <w:jc w:val="center"/>
              <w:rPr>
                <w:b/>
              </w:rPr>
            </w:pPr>
            <w:r w:rsidRPr="008654CF">
              <w:rPr>
                <w:b/>
              </w:rPr>
              <w:t>Food</w:t>
            </w:r>
          </w:p>
        </w:tc>
        <w:tc>
          <w:tcPr>
            <w:tcW w:w="1701" w:type="dxa"/>
            <w:tcBorders>
              <w:left w:val="nil"/>
              <w:bottom w:val="single" w:sz="4" w:space="0" w:color="auto"/>
              <w:right w:val="nil"/>
            </w:tcBorders>
            <w:shd w:val="clear" w:color="auto" w:fill="D9D9D9" w:themeFill="background1" w:themeFillShade="D9"/>
          </w:tcPr>
          <w:p w14:paraId="4C9E7D5B" w14:textId="0B6F1F42" w:rsidR="007F63ED" w:rsidRPr="008654CF" w:rsidRDefault="007F63ED" w:rsidP="00B3491B">
            <w:pPr>
              <w:spacing w:after="0"/>
              <w:contextualSpacing/>
              <w:jc w:val="center"/>
              <w:rPr>
                <w:b/>
              </w:rPr>
            </w:pPr>
            <w:r w:rsidRPr="008654CF">
              <w:rPr>
                <w:b/>
              </w:rPr>
              <w:t>Feed</w:t>
            </w:r>
          </w:p>
        </w:tc>
        <w:tc>
          <w:tcPr>
            <w:tcW w:w="1701" w:type="dxa"/>
            <w:tcBorders>
              <w:left w:val="nil"/>
              <w:bottom w:val="single" w:sz="4" w:space="0" w:color="auto"/>
              <w:right w:val="nil"/>
            </w:tcBorders>
            <w:shd w:val="clear" w:color="auto" w:fill="D9D9D9" w:themeFill="background1" w:themeFillShade="D9"/>
          </w:tcPr>
          <w:p w14:paraId="773BF135" w14:textId="62E1F252" w:rsidR="007F63ED" w:rsidRPr="008654CF" w:rsidRDefault="007F63ED" w:rsidP="00B3491B">
            <w:pPr>
              <w:spacing w:after="0"/>
              <w:contextualSpacing/>
              <w:jc w:val="center"/>
              <w:rPr>
                <w:b/>
              </w:rPr>
            </w:pPr>
            <w:r w:rsidRPr="008654CF">
              <w:rPr>
                <w:b/>
              </w:rPr>
              <w:t>Cultivation</w:t>
            </w:r>
          </w:p>
        </w:tc>
      </w:tr>
      <w:tr w:rsidR="008654CF" w:rsidRPr="008654CF" w14:paraId="53D38A66" w14:textId="77777777" w:rsidTr="00C04BC2">
        <w:tc>
          <w:tcPr>
            <w:tcW w:w="1843" w:type="dxa"/>
            <w:tcBorders>
              <w:top w:val="nil"/>
              <w:left w:val="nil"/>
              <w:bottom w:val="nil"/>
              <w:right w:val="nil"/>
            </w:tcBorders>
          </w:tcPr>
          <w:p w14:paraId="3CB95206" w14:textId="77777777" w:rsidR="007F63ED" w:rsidRPr="008654CF" w:rsidRDefault="007F63ED" w:rsidP="00B3491B">
            <w:pPr>
              <w:spacing w:after="0"/>
              <w:contextualSpacing/>
            </w:pPr>
            <w:r w:rsidRPr="008654CF">
              <w:t>Canada</w:t>
            </w:r>
          </w:p>
        </w:tc>
        <w:tc>
          <w:tcPr>
            <w:tcW w:w="1559" w:type="dxa"/>
            <w:tcBorders>
              <w:top w:val="nil"/>
              <w:left w:val="nil"/>
              <w:bottom w:val="nil"/>
              <w:right w:val="nil"/>
            </w:tcBorders>
          </w:tcPr>
          <w:p w14:paraId="2C8C9795" w14:textId="33BE755E" w:rsidR="007F63ED" w:rsidRPr="008654CF" w:rsidRDefault="00C04BC2" w:rsidP="007F63ED">
            <w:pPr>
              <w:spacing w:after="0"/>
              <w:contextualSpacing/>
              <w:jc w:val="center"/>
            </w:pPr>
            <w:r w:rsidRPr="008654CF">
              <w:rPr>
                <w:rFonts w:cs="Calibri"/>
              </w:rPr>
              <w:t>1994</w:t>
            </w:r>
          </w:p>
        </w:tc>
        <w:tc>
          <w:tcPr>
            <w:tcW w:w="1701" w:type="dxa"/>
            <w:tcBorders>
              <w:top w:val="nil"/>
              <w:left w:val="nil"/>
              <w:bottom w:val="nil"/>
              <w:right w:val="nil"/>
            </w:tcBorders>
          </w:tcPr>
          <w:p w14:paraId="289FFC15" w14:textId="0A3D5BDA" w:rsidR="007F63ED" w:rsidRPr="008654CF" w:rsidRDefault="00C04BC2" w:rsidP="007F63ED">
            <w:pPr>
              <w:spacing w:after="0"/>
              <w:contextualSpacing/>
              <w:jc w:val="center"/>
            </w:pPr>
            <w:r w:rsidRPr="008654CF">
              <w:rPr>
                <w:rFonts w:cs="Calibri"/>
              </w:rPr>
              <w:t>1995</w:t>
            </w:r>
          </w:p>
        </w:tc>
        <w:tc>
          <w:tcPr>
            <w:tcW w:w="1701" w:type="dxa"/>
            <w:tcBorders>
              <w:top w:val="nil"/>
              <w:left w:val="nil"/>
              <w:bottom w:val="nil"/>
              <w:right w:val="nil"/>
            </w:tcBorders>
          </w:tcPr>
          <w:p w14:paraId="1C967A03" w14:textId="706B1DC9" w:rsidR="007F63ED" w:rsidRPr="008654CF" w:rsidRDefault="00C04BC2" w:rsidP="007F63ED">
            <w:pPr>
              <w:spacing w:after="0"/>
              <w:contextualSpacing/>
              <w:jc w:val="center"/>
            </w:pPr>
            <w:r w:rsidRPr="008654CF">
              <w:rPr>
                <w:rFonts w:cs="Calibri"/>
              </w:rPr>
              <w:t>1995</w:t>
            </w:r>
          </w:p>
        </w:tc>
      </w:tr>
      <w:tr w:rsidR="008654CF" w:rsidRPr="008654CF" w14:paraId="4593AD04" w14:textId="77777777" w:rsidTr="00C04BC2">
        <w:tc>
          <w:tcPr>
            <w:tcW w:w="1843" w:type="dxa"/>
            <w:tcBorders>
              <w:top w:val="nil"/>
              <w:left w:val="nil"/>
              <w:bottom w:val="nil"/>
              <w:right w:val="nil"/>
            </w:tcBorders>
          </w:tcPr>
          <w:p w14:paraId="75714591" w14:textId="77777777" w:rsidR="007F63ED" w:rsidRPr="008654CF" w:rsidRDefault="007F63ED" w:rsidP="00B3491B">
            <w:pPr>
              <w:spacing w:after="0"/>
              <w:contextualSpacing/>
            </w:pPr>
            <w:r w:rsidRPr="008654CF">
              <w:t>China</w:t>
            </w:r>
          </w:p>
        </w:tc>
        <w:tc>
          <w:tcPr>
            <w:tcW w:w="1559" w:type="dxa"/>
            <w:tcBorders>
              <w:top w:val="nil"/>
              <w:left w:val="nil"/>
              <w:bottom w:val="nil"/>
              <w:right w:val="nil"/>
            </w:tcBorders>
          </w:tcPr>
          <w:p w14:paraId="1586B5B4" w14:textId="7326E372" w:rsidR="007F63ED" w:rsidRPr="008654CF" w:rsidRDefault="00C04BC2" w:rsidP="007F63ED">
            <w:pPr>
              <w:spacing w:after="0"/>
              <w:contextualSpacing/>
              <w:jc w:val="center"/>
            </w:pPr>
            <w:r w:rsidRPr="008654CF">
              <w:rPr>
                <w:rFonts w:cs="Calibri"/>
              </w:rPr>
              <w:t>2002</w:t>
            </w:r>
          </w:p>
        </w:tc>
        <w:tc>
          <w:tcPr>
            <w:tcW w:w="1701" w:type="dxa"/>
            <w:tcBorders>
              <w:top w:val="nil"/>
              <w:left w:val="nil"/>
              <w:bottom w:val="nil"/>
              <w:right w:val="nil"/>
            </w:tcBorders>
          </w:tcPr>
          <w:p w14:paraId="6BF56EC3" w14:textId="4FAB3EB4" w:rsidR="007F63ED" w:rsidRPr="008654CF" w:rsidRDefault="00C04BC2" w:rsidP="007F63ED">
            <w:pPr>
              <w:spacing w:after="0"/>
              <w:contextualSpacing/>
              <w:jc w:val="center"/>
            </w:pPr>
            <w:r w:rsidRPr="008654CF">
              <w:rPr>
                <w:rFonts w:cs="Calibri"/>
              </w:rPr>
              <w:t>2002</w:t>
            </w:r>
          </w:p>
        </w:tc>
        <w:tc>
          <w:tcPr>
            <w:tcW w:w="1701" w:type="dxa"/>
            <w:tcBorders>
              <w:top w:val="nil"/>
              <w:left w:val="nil"/>
              <w:bottom w:val="nil"/>
              <w:right w:val="nil"/>
            </w:tcBorders>
          </w:tcPr>
          <w:p w14:paraId="41A72DC5" w14:textId="5DC4B779" w:rsidR="007F63ED" w:rsidRPr="008654CF" w:rsidRDefault="007F63ED" w:rsidP="007F63ED">
            <w:pPr>
              <w:spacing w:after="0"/>
              <w:contextualSpacing/>
              <w:jc w:val="center"/>
            </w:pPr>
          </w:p>
        </w:tc>
      </w:tr>
      <w:tr w:rsidR="008654CF" w:rsidRPr="008654CF" w14:paraId="04825383" w14:textId="77777777" w:rsidTr="00C04BC2">
        <w:tc>
          <w:tcPr>
            <w:tcW w:w="1843" w:type="dxa"/>
            <w:tcBorders>
              <w:top w:val="nil"/>
              <w:left w:val="nil"/>
              <w:bottom w:val="nil"/>
              <w:right w:val="nil"/>
            </w:tcBorders>
          </w:tcPr>
          <w:p w14:paraId="4D61531C" w14:textId="4A11CC87" w:rsidR="007F63ED" w:rsidRPr="008654CF" w:rsidRDefault="007F63ED" w:rsidP="00B3491B">
            <w:pPr>
              <w:spacing w:after="0"/>
              <w:contextualSpacing/>
            </w:pPr>
            <w:r w:rsidRPr="008654CF">
              <w:t>E</w:t>
            </w:r>
            <w:r w:rsidR="00C04BC2" w:rsidRPr="008654CF">
              <w:t xml:space="preserve">uropean </w:t>
            </w:r>
            <w:r w:rsidRPr="008654CF">
              <w:t>U</w:t>
            </w:r>
            <w:r w:rsidR="00C04BC2" w:rsidRPr="008654CF">
              <w:t>nion</w:t>
            </w:r>
          </w:p>
        </w:tc>
        <w:tc>
          <w:tcPr>
            <w:tcW w:w="1559" w:type="dxa"/>
            <w:tcBorders>
              <w:top w:val="nil"/>
              <w:left w:val="nil"/>
              <w:bottom w:val="nil"/>
              <w:right w:val="nil"/>
            </w:tcBorders>
          </w:tcPr>
          <w:p w14:paraId="29BE3F27" w14:textId="11A8796B" w:rsidR="007F63ED" w:rsidRPr="008654CF" w:rsidRDefault="00783960" w:rsidP="007F63ED">
            <w:pPr>
              <w:spacing w:after="0"/>
              <w:contextualSpacing/>
              <w:jc w:val="center"/>
            </w:pPr>
            <w:r w:rsidRPr="008654CF">
              <w:rPr>
                <w:rFonts w:cs="Calibri"/>
              </w:rPr>
              <w:t>1997</w:t>
            </w:r>
          </w:p>
        </w:tc>
        <w:tc>
          <w:tcPr>
            <w:tcW w:w="1701" w:type="dxa"/>
            <w:tcBorders>
              <w:top w:val="nil"/>
              <w:left w:val="nil"/>
              <w:bottom w:val="nil"/>
              <w:right w:val="nil"/>
            </w:tcBorders>
          </w:tcPr>
          <w:p w14:paraId="028976D1" w14:textId="40CBD573" w:rsidR="007F63ED" w:rsidRPr="008654CF" w:rsidRDefault="00C04BC2" w:rsidP="007F63ED">
            <w:pPr>
              <w:spacing w:after="0"/>
              <w:contextualSpacing/>
              <w:jc w:val="center"/>
            </w:pPr>
            <w:r w:rsidRPr="008654CF">
              <w:rPr>
                <w:rFonts w:cs="Calibri"/>
              </w:rPr>
              <w:t>200</w:t>
            </w:r>
            <w:r w:rsidR="00783960" w:rsidRPr="008654CF">
              <w:rPr>
                <w:rFonts w:cs="Calibri"/>
              </w:rPr>
              <w:t>7</w:t>
            </w:r>
          </w:p>
        </w:tc>
        <w:tc>
          <w:tcPr>
            <w:tcW w:w="1701" w:type="dxa"/>
            <w:tcBorders>
              <w:top w:val="nil"/>
              <w:left w:val="nil"/>
              <w:bottom w:val="nil"/>
              <w:right w:val="nil"/>
            </w:tcBorders>
          </w:tcPr>
          <w:p w14:paraId="6E9FD384" w14:textId="5EBF804F" w:rsidR="007F63ED" w:rsidRPr="008654CF" w:rsidRDefault="007F63ED" w:rsidP="007F63ED">
            <w:pPr>
              <w:spacing w:after="0"/>
              <w:contextualSpacing/>
              <w:jc w:val="center"/>
            </w:pPr>
          </w:p>
        </w:tc>
      </w:tr>
      <w:tr w:rsidR="008654CF" w:rsidRPr="008654CF" w14:paraId="591B41E7" w14:textId="77777777" w:rsidTr="00C04BC2">
        <w:tc>
          <w:tcPr>
            <w:tcW w:w="1843" w:type="dxa"/>
            <w:tcBorders>
              <w:top w:val="nil"/>
              <w:left w:val="nil"/>
              <w:bottom w:val="nil"/>
              <w:right w:val="nil"/>
            </w:tcBorders>
          </w:tcPr>
          <w:p w14:paraId="339B2A57" w14:textId="7E4A20D3" w:rsidR="005124B4" w:rsidRPr="008654CF" w:rsidRDefault="005124B4" w:rsidP="00B3491B">
            <w:pPr>
              <w:spacing w:after="0"/>
              <w:contextualSpacing/>
            </w:pPr>
            <w:r w:rsidRPr="008654CF">
              <w:t>Iran</w:t>
            </w:r>
          </w:p>
        </w:tc>
        <w:tc>
          <w:tcPr>
            <w:tcW w:w="1559" w:type="dxa"/>
            <w:tcBorders>
              <w:top w:val="nil"/>
              <w:left w:val="nil"/>
              <w:bottom w:val="nil"/>
              <w:right w:val="nil"/>
            </w:tcBorders>
          </w:tcPr>
          <w:p w14:paraId="62B411E3" w14:textId="18E904FD" w:rsidR="005124B4" w:rsidRPr="008654CF" w:rsidRDefault="005124B4" w:rsidP="007F63ED">
            <w:pPr>
              <w:spacing w:after="0"/>
              <w:contextualSpacing/>
              <w:jc w:val="center"/>
              <w:rPr>
                <w:rFonts w:cs="Calibri"/>
              </w:rPr>
            </w:pPr>
            <w:r w:rsidRPr="008654CF">
              <w:rPr>
                <w:rFonts w:cs="Calibri"/>
              </w:rPr>
              <w:t>2019</w:t>
            </w:r>
          </w:p>
        </w:tc>
        <w:tc>
          <w:tcPr>
            <w:tcW w:w="1701" w:type="dxa"/>
            <w:tcBorders>
              <w:top w:val="nil"/>
              <w:left w:val="nil"/>
              <w:bottom w:val="nil"/>
              <w:right w:val="nil"/>
            </w:tcBorders>
          </w:tcPr>
          <w:p w14:paraId="311F19D7" w14:textId="77777777" w:rsidR="005124B4" w:rsidRPr="008654CF" w:rsidRDefault="005124B4" w:rsidP="007F63ED">
            <w:pPr>
              <w:spacing w:after="0"/>
              <w:contextualSpacing/>
              <w:jc w:val="center"/>
              <w:rPr>
                <w:rFonts w:cs="Calibri"/>
              </w:rPr>
            </w:pPr>
          </w:p>
        </w:tc>
        <w:tc>
          <w:tcPr>
            <w:tcW w:w="1701" w:type="dxa"/>
            <w:tcBorders>
              <w:top w:val="nil"/>
              <w:left w:val="nil"/>
              <w:bottom w:val="nil"/>
              <w:right w:val="nil"/>
            </w:tcBorders>
          </w:tcPr>
          <w:p w14:paraId="112F27EC" w14:textId="77777777" w:rsidR="005124B4" w:rsidRPr="008654CF" w:rsidRDefault="005124B4" w:rsidP="007F63ED">
            <w:pPr>
              <w:spacing w:after="0"/>
              <w:contextualSpacing/>
              <w:jc w:val="center"/>
            </w:pPr>
          </w:p>
        </w:tc>
      </w:tr>
      <w:tr w:rsidR="008654CF" w:rsidRPr="008654CF" w14:paraId="270DCA15" w14:textId="77777777" w:rsidTr="00C04BC2">
        <w:tc>
          <w:tcPr>
            <w:tcW w:w="1843" w:type="dxa"/>
            <w:tcBorders>
              <w:top w:val="nil"/>
              <w:left w:val="nil"/>
              <w:bottom w:val="nil"/>
              <w:right w:val="nil"/>
            </w:tcBorders>
          </w:tcPr>
          <w:p w14:paraId="16CA8A01" w14:textId="77777777" w:rsidR="007F63ED" w:rsidRPr="008654CF" w:rsidRDefault="007F63ED" w:rsidP="00B3491B">
            <w:pPr>
              <w:spacing w:after="0"/>
              <w:contextualSpacing/>
            </w:pPr>
            <w:r w:rsidRPr="008654CF">
              <w:t>Japan</w:t>
            </w:r>
          </w:p>
        </w:tc>
        <w:tc>
          <w:tcPr>
            <w:tcW w:w="1559" w:type="dxa"/>
            <w:tcBorders>
              <w:top w:val="nil"/>
              <w:left w:val="nil"/>
              <w:bottom w:val="nil"/>
              <w:right w:val="nil"/>
            </w:tcBorders>
          </w:tcPr>
          <w:p w14:paraId="731D11CA" w14:textId="58FC0342" w:rsidR="007F63ED" w:rsidRPr="008654CF" w:rsidRDefault="00C04BC2" w:rsidP="007F63ED">
            <w:pPr>
              <w:spacing w:after="0"/>
              <w:contextualSpacing/>
              <w:jc w:val="center"/>
            </w:pPr>
            <w:r w:rsidRPr="008654CF">
              <w:rPr>
                <w:rFonts w:cs="Calibri"/>
              </w:rPr>
              <w:t>2001</w:t>
            </w:r>
          </w:p>
        </w:tc>
        <w:tc>
          <w:tcPr>
            <w:tcW w:w="1701" w:type="dxa"/>
            <w:tcBorders>
              <w:top w:val="nil"/>
              <w:left w:val="nil"/>
              <w:bottom w:val="nil"/>
              <w:right w:val="nil"/>
            </w:tcBorders>
          </w:tcPr>
          <w:p w14:paraId="3D4072E3" w14:textId="15ED21DA" w:rsidR="007F63ED" w:rsidRPr="008654CF" w:rsidRDefault="00C04BC2" w:rsidP="007F63ED">
            <w:pPr>
              <w:spacing w:after="0"/>
              <w:contextualSpacing/>
              <w:jc w:val="center"/>
            </w:pPr>
            <w:r w:rsidRPr="008654CF">
              <w:rPr>
                <w:rFonts w:cs="Calibri"/>
              </w:rPr>
              <w:t>2003</w:t>
            </w:r>
          </w:p>
        </w:tc>
        <w:tc>
          <w:tcPr>
            <w:tcW w:w="1701" w:type="dxa"/>
            <w:tcBorders>
              <w:top w:val="nil"/>
              <w:left w:val="nil"/>
              <w:bottom w:val="nil"/>
              <w:right w:val="nil"/>
            </w:tcBorders>
          </w:tcPr>
          <w:p w14:paraId="6C8435B8" w14:textId="1465194F" w:rsidR="007F63ED" w:rsidRPr="008654CF" w:rsidRDefault="00C04BC2" w:rsidP="007F63ED">
            <w:pPr>
              <w:spacing w:after="0"/>
              <w:contextualSpacing/>
              <w:jc w:val="center"/>
            </w:pPr>
            <w:r w:rsidRPr="008654CF">
              <w:rPr>
                <w:rFonts w:cs="Calibri"/>
              </w:rPr>
              <w:t>2006</w:t>
            </w:r>
          </w:p>
        </w:tc>
      </w:tr>
      <w:tr w:rsidR="008654CF" w:rsidRPr="008654CF" w14:paraId="186AC43B" w14:textId="77777777" w:rsidTr="00C04BC2">
        <w:tc>
          <w:tcPr>
            <w:tcW w:w="1843" w:type="dxa"/>
            <w:tcBorders>
              <w:top w:val="nil"/>
              <w:left w:val="nil"/>
              <w:bottom w:val="nil"/>
              <w:right w:val="nil"/>
            </w:tcBorders>
          </w:tcPr>
          <w:p w14:paraId="7C39EBFB" w14:textId="26C49B45" w:rsidR="005124B4" w:rsidRPr="008654CF" w:rsidRDefault="005124B4" w:rsidP="00B3491B">
            <w:pPr>
              <w:spacing w:after="0"/>
              <w:contextualSpacing/>
            </w:pPr>
            <w:r w:rsidRPr="008654CF">
              <w:t>Malaysia</w:t>
            </w:r>
          </w:p>
        </w:tc>
        <w:tc>
          <w:tcPr>
            <w:tcW w:w="1559" w:type="dxa"/>
            <w:tcBorders>
              <w:top w:val="nil"/>
              <w:left w:val="nil"/>
              <w:bottom w:val="nil"/>
              <w:right w:val="nil"/>
            </w:tcBorders>
          </w:tcPr>
          <w:p w14:paraId="551EE455" w14:textId="210DE87F" w:rsidR="005124B4" w:rsidRPr="008654CF" w:rsidRDefault="005124B4" w:rsidP="007F63ED">
            <w:pPr>
              <w:spacing w:after="0"/>
              <w:contextualSpacing/>
              <w:jc w:val="center"/>
              <w:rPr>
                <w:rFonts w:cs="Calibri"/>
              </w:rPr>
            </w:pPr>
            <w:r w:rsidRPr="008654CF">
              <w:rPr>
                <w:rFonts w:cs="Calibri"/>
              </w:rPr>
              <w:t>2020</w:t>
            </w:r>
          </w:p>
        </w:tc>
        <w:tc>
          <w:tcPr>
            <w:tcW w:w="1701" w:type="dxa"/>
            <w:tcBorders>
              <w:top w:val="nil"/>
              <w:left w:val="nil"/>
              <w:bottom w:val="nil"/>
              <w:right w:val="nil"/>
            </w:tcBorders>
          </w:tcPr>
          <w:p w14:paraId="1D2A7D4D" w14:textId="2E907B71" w:rsidR="005124B4" w:rsidRPr="008654CF" w:rsidRDefault="005124B4" w:rsidP="007F63ED">
            <w:pPr>
              <w:spacing w:after="0"/>
              <w:contextualSpacing/>
              <w:jc w:val="center"/>
              <w:rPr>
                <w:rFonts w:cs="Calibri"/>
              </w:rPr>
            </w:pPr>
            <w:r w:rsidRPr="008654CF">
              <w:rPr>
                <w:rFonts w:cs="Calibri"/>
              </w:rPr>
              <w:t>2020</w:t>
            </w:r>
          </w:p>
        </w:tc>
        <w:tc>
          <w:tcPr>
            <w:tcW w:w="1701" w:type="dxa"/>
            <w:tcBorders>
              <w:top w:val="nil"/>
              <w:left w:val="nil"/>
              <w:bottom w:val="nil"/>
              <w:right w:val="nil"/>
            </w:tcBorders>
          </w:tcPr>
          <w:p w14:paraId="0215C672" w14:textId="77777777" w:rsidR="005124B4" w:rsidRPr="008654CF" w:rsidRDefault="005124B4" w:rsidP="007F63ED">
            <w:pPr>
              <w:spacing w:after="0"/>
              <w:contextualSpacing/>
              <w:jc w:val="center"/>
              <w:rPr>
                <w:rFonts w:cs="Calibri"/>
              </w:rPr>
            </w:pPr>
          </w:p>
        </w:tc>
      </w:tr>
      <w:tr w:rsidR="008654CF" w:rsidRPr="008654CF" w14:paraId="492B004C" w14:textId="77777777" w:rsidTr="00C04BC2">
        <w:tc>
          <w:tcPr>
            <w:tcW w:w="1843" w:type="dxa"/>
            <w:tcBorders>
              <w:top w:val="nil"/>
              <w:left w:val="nil"/>
              <w:bottom w:val="nil"/>
              <w:right w:val="nil"/>
            </w:tcBorders>
          </w:tcPr>
          <w:p w14:paraId="570E5361" w14:textId="77777777" w:rsidR="007F63ED" w:rsidRPr="008654CF" w:rsidRDefault="007F63ED" w:rsidP="00B3491B">
            <w:pPr>
              <w:spacing w:after="0"/>
              <w:contextualSpacing/>
            </w:pPr>
            <w:r w:rsidRPr="008654CF">
              <w:t>Mexico</w:t>
            </w:r>
          </w:p>
        </w:tc>
        <w:tc>
          <w:tcPr>
            <w:tcW w:w="1559" w:type="dxa"/>
            <w:tcBorders>
              <w:top w:val="nil"/>
              <w:left w:val="nil"/>
              <w:bottom w:val="nil"/>
              <w:right w:val="nil"/>
            </w:tcBorders>
          </w:tcPr>
          <w:p w14:paraId="5BA1A294" w14:textId="2B9EEEA2" w:rsidR="007F63ED" w:rsidRPr="008654CF" w:rsidRDefault="00C04BC2" w:rsidP="007F63ED">
            <w:pPr>
              <w:spacing w:after="0"/>
              <w:contextualSpacing/>
              <w:jc w:val="center"/>
            </w:pPr>
            <w:r w:rsidRPr="008654CF">
              <w:rPr>
                <w:rFonts w:cs="Calibri"/>
              </w:rPr>
              <w:t>1996</w:t>
            </w:r>
          </w:p>
        </w:tc>
        <w:tc>
          <w:tcPr>
            <w:tcW w:w="1701" w:type="dxa"/>
            <w:tcBorders>
              <w:top w:val="nil"/>
              <w:left w:val="nil"/>
              <w:bottom w:val="nil"/>
              <w:right w:val="nil"/>
            </w:tcBorders>
          </w:tcPr>
          <w:p w14:paraId="62E6E8A5" w14:textId="73AA515B" w:rsidR="007F63ED" w:rsidRPr="008654CF" w:rsidRDefault="007F63ED" w:rsidP="007F63ED">
            <w:pPr>
              <w:spacing w:after="0"/>
              <w:contextualSpacing/>
              <w:jc w:val="center"/>
            </w:pPr>
          </w:p>
        </w:tc>
        <w:tc>
          <w:tcPr>
            <w:tcW w:w="1701" w:type="dxa"/>
            <w:tcBorders>
              <w:top w:val="nil"/>
              <w:left w:val="nil"/>
              <w:bottom w:val="nil"/>
              <w:right w:val="nil"/>
            </w:tcBorders>
          </w:tcPr>
          <w:p w14:paraId="4F77FCD3" w14:textId="67FFF728" w:rsidR="007F63ED" w:rsidRPr="008654CF" w:rsidRDefault="007F63ED" w:rsidP="007F63ED">
            <w:pPr>
              <w:spacing w:after="0"/>
              <w:contextualSpacing/>
              <w:jc w:val="center"/>
            </w:pPr>
          </w:p>
        </w:tc>
      </w:tr>
      <w:tr w:rsidR="008654CF" w:rsidRPr="008654CF" w14:paraId="66C102E4" w14:textId="77777777" w:rsidTr="00C04BC2">
        <w:tc>
          <w:tcPr>
            <w:tcW w:w="1843" w:type="dxa"/>
            <w:tcBorders>
              <w:top w:val="nil"/>
              <w:left w:val="nil"/>
              <w:bottom w:val="nil"/>
              <w:right w:val="nil"/>
            </w:tcBorders>
          </w:tcPr>
          <w:p w14:paraId="11B72EB1" w14:textId="77777777" w:rsidR="007F63ED" w:rsidRPr="008654CF" w:rsidRDefault="007F63ED" w:rsidP="00B3491B">
            <w:pPr>
              <w:spacing w:after="0"/>
              <w:contextualSpacing/>
            </w:pPr>
            <w:r w:rsidRPr="008654CF">
              <w:t>New Zealand</w:t>
            </w:r>
          </w:p>
        </w:tc>
        <w:tc>
          <w:tcPr>
            <w:tcW w:w="1559" w:type="dxa"/>
            <w:tcBorders>
              <w:top w:val="nil"/>
              <w:left w:val="nil"/>
              <w:bottom w:val="nil"/>
              <w:right w:val="nil"/>
            </w:tcBorders>
          </w:tcPr>
          <w:p w14:paraId="3B86EFED" w14:textId="4E184A28" w:rsidR="007F63ED" w:rsidRPr="008654CF" w:rsidRDefault="00C04BC2" w:rsidP="007F63ED">
            <w:pPr>
              <w:spacing w:after="0"/>
              <w:contextualSpacing/>
              <w:jc w:val="center"/>
            </w:pPr>
            <w:r w:rsidRPr="008654CF">
              <w:rPr>
                <w:rFonts w:cs="Calibri"/>
              </w:rPr>
              <w:t>2000</w:t>
            </w:r>
          </w:p>
        </w:tc>
        <w:tc>
          <w:tcPr>
            <w:tcW w:w="1701" w:type="dxa"/>
            <w:tcBorders>
              <w:top w:val="nil"/>
              <w:left w:val="nil"/>
              <w:bottom w:val="nil"/>
              <w:right w:val="nil"/>
            </w:tcBorders>
          </w:tcPr>
          <w:p w14:paraId="42AF36B5" w14:textId="61B9B756" w:rsidR="007F63ED" w:rsidRPr="008654CF" w:rsidRDefault="007F63ED" w:rsidP="007F63ED">
            <w:pPr>
              <w:spacing w:after="0"/>
              <w:contextualSpacing/>
              <w:jc w:val="center"/>
            </w:pPr>
          </w:p>
        </w:tc>
        <w:tc>
          <w:tcPr>
            <w:tcW w:w="1701" w:type="dxa"/>
            <w:tcBorders>
              <w:top w:val="nil"/>
              <w:left w:val="nil"/>
              <w:bottom w:val="nil"/>
              <w:right w:val="nil"/>
            </w:tcBorders>
          </w:tcPr>
          <w:p w14:paraId="56D28EE6" w14:textId="2CBB371C" w:rsidR="007F63ED" w:rsidRPr="008654CF" w:rsidRDefault="007F63ED" w:rsidP="007F63ED">
            <w:pPr>
              <w:spacing w:after="0"/>
              <w:contextualSpacing/>
              <w:jc w:val="center"/>
            </w:pPr>
          </w:p>
        </w:tc>
      </w:tr>
      <w:tr w:rsidR="008654CF" w:rsidRPr="008654CF" w14:paraId="5E20442C" w14:textId="77777777" w:rsidTr="00C04BC2">
        <w:tc>
          <w:tcPr>
            <w:tcW w:w="1843" w:type="dxa"/>
            <w:tcBorders>
              <w:top w:val="nil"/>
              <w:left w:val="nil"/>
              <w:bottom w:val="nil"/>
              <w:right w:val="nil"/>
            </w:tcBorders>
          </w:tcPr>
          <w:p w14:paraId="1598CFE7" w14:textId="77777777" w:rsidR="007F63ED" w:rsidRPr="008654CF" w:rsidRDefault="007F63ED" w:rsidP="00B3491B">
            <w:pPr>
              <w:spacing w:after="0"/>
              <w:contextualSpacing/>
            </w:pPr>
            <w:r w:rsidRPr="008654CF">
              <w:t>Philippines</w:t>
            </w:r>
          </w:p>
        </w:tc>
        <w:tc>
          <w:tcPr>
            <w:tcW w:w="1559" w:type="dxa"/>
            <w:tcBorders>
              <w:top w:val="nil"/>
              <w:left w:val="nil"/>
              <w:bottom w:val="nil"/>
              <w:right w:val="nil"/>
            </w:tcBorders>
          </w:tcPr>
          <w:p w14:paraId="226C9A0D" w14:textId="094DF013" w:rsidR="007F63ED" w:rsidRPr="008654CF" w:rsidRDefault="00C04BC2" w:rsidP="007F63ED">
            <w:pPr>
              <w:spacing w:after="0"/>
              <w:contextualSpacing/>
              <w:jc w:val="center"/>
            </w:pPr>
            <w:r w:rsidRPr="008654CF">
              <w:rPr>
                <w:rFonts w:cs="Calibri"/>
              </w:rPr>
              <w:t>2003</w:t>
            </w:r>
          </w:p>
        </w:tc>
        <w:tc>
          <w:tcPr>
            <w:tcW w:w="1701" w:type="dxa"/>
            <w:tcBorders>
              <w:top w:val="nil"/>
              <w:left w:val="nil"/>
              <w:bottom w:val="nil"/>
              <w:right w:val="nil"/>
            </w:tcBorders>
          </w:tcPr>
          <w:p w14:paraId="3B5EA2FD" w14:textId="154F0BB7" w:rsidR="007F63ED" w:rsidRPr="008654CF" w:rsidRDefault="00C04BC2" w:rsidP="007F63ED">
            <w:pPr>
              <w:spacing w:after="0"/>
              <w:contextualSpacing/>
              <w:jc w:val="center"/>
            </w:pPr>
            <w:r w:rsidRPr="008654CF">
              <w:rPr>
                <w:rFonts w:cs="Calibri"/>
              </w:rPr>
              <w:t>2003</w:t>
            </w:r>
          </w:p>
        </w:tc>
        <w:tc>
          <w:tcPr>
            <w:tcW w:w="1701" w:type="dxa"/>
            <w:tcBorders>
              <w:top w:val="nil"/>
              <w:left w:val="nil"/>
              <w:bottom w:val="nil"/>
              <w:right w:val="nil"/>
            </w:tcBorders>
          </w:tcPr>
          <w:p w14:paraId="389F9B94" w14:textId="253DF0FC" w:rsidR="007F63ED" w:rsidRPr="008654CF" w:rsidRDefault="007F63ED" w:rsidP="007F63ED">
            <w:pPr>
              <w:spacing w:after="0"/>
              <w:contextualSpacing/>
              <w:jc w:val="center"/>
              <w:rPr>
                <w:vertAlign w:val="superscript"/>
              </w:rPr>
            </w:pPr>
          </w:p>
        </w:tc>
      </w:tr>
      <w:tr w:rsidR="008654CF" w:rsidRPr="008654CF" w14:paraId="66FBAB97" w14:textId="77777777" w:rsidTr="00C04BC2">
        <w:tc>
          <w:tcPr>
            <w:tcW w:w="1843" w:type="dxa"/>
            <w:tcBorders>
              <w:top w:val="nil"/>
              <w:left w:val="nil"/>
              <w:bottom w:val="nil"/>
              <w:right w:val="nil"/>
            </w:tcBorders>
          </w:tcPr>
          <w:p w14:paraId="16E429CC" w14:textId="77777777" w:rsidR="007F63ED" w:rsidRPr="008654CF" w:rsidRDefault="007F63ED" w:rsidP="00B3491B">
            <w:pPr>
              <w:spacing w:after="0"/>
              <w:contextualSpacing/>
            </w:pPr>
            <w:r w:rsidRPr="008654CF">
              <w:t>Singapore</w:t>
            </w:r>
          </w:p>
        </w:tc>
        <w:tc>
          <w:tcPr>
            <w:tcW w:w="1559" w:type="dxa"/>
            <w:tcBorders>
              <w:top w:val="nil"/>
              <w:left w:val="nil"/>
              <w:bottom w:val="nil"/>
              <w:right w:val="nil"/>
            </w:tcBorders>
          </w:tcPr>
          <w:p w14:paraId="4A243A78" w14:textId="04DE2F74" w:rsidR="007F63ED" w:rsidRPr="008654CF" w:rsidRDefault="00C04BC2" w:rsidP="007F63ED">
            <w:pPr>
              <w:spacing w:after="0"/>
              <w:contextualSpacing/>
              <w:jc w:val="center"/>
            </w:pPr>
            <w:r w:rsidRPr="008654CF">
              <w:rPr>
                <w:rFonts w:cs="Calibri"/>
              </w:rPr>
              <w:t>2014</w:t>
            </w:r>
          </w:p>
        </w:tc>
        <w:tc>
          <w:tcPr>
            <w:tcW w:w="1701" w:type="dxa"/>
            <w:tcBorders>
              <w:top w:val="nil"/>
              <w:left w:val="nil"/>
              <w:bottom w:val="nil"/>
              <w:right w:val="nil"/>
            </w:tcBorders>
          </w:tcPr>
          <w:p w14:paraId="6AE3F2BF" w14:textId="4F1B3E70" w:rsidR="007F63ED" w:rsidRPr="008654CF" w:rsidRDefault="00C04BC2" w:rsidP="007F63ED">
            <w:pPr>
              <w:spacing w:after="0"/>
              <w:contextualSpacing/>
              <w:jc w:val="center"/>
              <w:rPr>
                <w:rFonts w:cs="Calibri"/>
              </w:rPr>
            </w:pPr>
            <w:r w:rsidRPr="008654CF">
              <w:rPr>
                <w:rFonts w:cs="Calibri"/>
              </w:rPr>
              <w:t>2014</w:t>
            </w:r>
          </w:p>
        </w:tc>
        <w:tc>
          <w:tcPr>
            <w:tcW w:w="1701" w:type="dxa"/>
            <w:tcBorders>
              <w:top w:val="nil"/>
              <w:left w:val="nil"/>
              <w:bottom w:val="nil"/>
              <w:right w:val="nil"/>
            </w:tcBorders>
          </w:tcPr>
          <w:p w14:paraId="45E46B78" w14:textId="5452B5C8" w:rsidR="007F63ED" w:rsidRPr="008654CF" w:rsidRDefault="007F63ED" w:rsidP="007F63ED">
            <w:pPr>
              <w:spacing w:after="0"/>
              <w:contextualSpacing/>
              <w:jc w:val="center"/>
              <w:rPr>
                <w:rFonts w:cs="Calibri"/>
              </w:rPr>
            </w:pPr>
          </w:p>
        </w:tc>
      </w:tr>
      <w:tr w:rsidR="008654CF" w:rsidRPr="008654CF" w14:paraId="00386C8D" w14:textId="77777777" w:rsidTr="00C04BC2">
        <w:tc>
          <w:tcPr>
            <w:tcW w:w="1843" w:type="dxa"/>
            <w:tcBorders>
              <w:top w:val="nil"/>
              <w:left w:val="nil"/>
              <w:bottom w:val="nil"/>
              <w:right w:val="nil"/>
            </w:tcBorders>
          </w:tcPr>
          <w:p w14:paraId="5FF2A741" w14:textId="77777777" w:rsidR="007F63ED" w:rsidRPr="008654CF" w:rsidRDefault="007F63ED" w:rsidP="00B3491B">
            <w:pPr>
              <w:spacing w:after="0"/>
              <w:contextualSpacing/>
            </w:pPr>
            <w:r w:rsidRPr="008654CF">
              <w:t>South Korea</w:t>
            </w:r>
          </w:p>
        </w:tc>
        <w:tc>
          <w:tcPr>
            <w:tcW w:w="1559" w:type="dxa"/>
            <w:tcBorders>
              <w:top w:val="nil"/>
              <w:left w:val="nil"/>
              <w:bottom w:val="nil"/>
              <w:right w:val="nil"/>
            </w:tcBorders>
          </w:tcPr>
          <w:p w14:paraId="7B075BED" w14:textId="59AD2C10" w:rsidR="007F63ED" w:rsidRPr="008654CF" w:rsidRDefault="00C04BC2" w:rsidP="007F63ED">
            <w:pPr>
              <w:spacing w:after="0"/>
              <w:contextualSpacing/>
              <w:jc w:val="center"/>
            </w:pPr>
            <w:r w:rsidRPr="008654CF">
              <w:rPr>
                <w:rFonts w:cs="Calibri"/>
              </w:rPr>
              <w:t>2003</w:t>
            </w:r>
          </w:p>
        </w:tc>
        <w:tc>
          <w:tcPr>
            <w:tcW w:w="1701" w:type="dxa"/>
            <w:tcBorders>
              <w:top w:val="nil"/>
              <w:left w:val="nil"/>
              <w:bottom w:val="nil"/>
              <w:right w:val="nil"/>
            </w:tcBorders>
          </w:tcPr>
          <w:p w14:paraId="645E81D7" w14:textId="22FE6027" w:rsidR="007F63ED" w:rsidRPr="008654CF" w:rsidRDefault="00C04BC2" w:rsidP="007F63ED">
            <w:pPr>
              <w:spacing w:after="0"/>
              <w:contextualSpacing/>
              <w:jc w:val="center"/>
            </w:pPr>
            <w:r w:rsidRPr="008654CF">
              <w:rPr>
                <w:rFonts w:cs="Calibri"/>
              </w:rPr>
              <w:t>2005</w:t>
            </w:r>
          </w:p>
        </w:tc>
        <w:tc>
          <w:tcPr>
            <w:tcW w:w="1701" w:type="dxa"/>
            <w:tcBorders>
              <w:top w:val="nil"/>
              <w:left w:val="nil"/>
              <w:bottom w:val="nil"/>
              <w:right w:val="nil"/>
            </w:tcBorders>
          </w:tcPr>
          <w:p w14:paraId="18A800EE" w14:textId="0414A961" w:rsidR="007F63ED" w:rsidRPr="008654CF" w:rsidRDefault="007F63ED" w:rsidP="007F63ED">
            <w:pPr>
              <w:spacing w:after="0"/>
              <w:contextualSpacing/>
              <w:jc w:val="center"/>
            </w:pPr>
          </w:p>
        </w:tc>
      </w:tr>
      <w:tr w:rsidR="008654CF" w:rsidRPr="008654CF" w14:paraId="7ECAAB72" w14:textId="77777777" w:rsidTr="00C04BC2">
        <w:tc>
          <w:tcPr>
            <w:tcW w:w="1843" w:type="dxa"/>
            <w:tcBorders>
              <w:top w:val="nil"/>
              <w:left w:val="nil"/>
              <w:bottom w:val="nil"/>
              <w:right w:val="nil"/>
            </w:tcBorders>
          </w:tcPr>
          <w:p w14:paraId="0FA918A5" w14:textId="77777777" w:rsidR="007F63ED" w:rsidRPr="008654CF" w:rsidRDefault="007F63ED" w:rsidP="00B3491B">
            <w:pPr>
              <w:spacing w:after="0"/>
              <w:contextualSpacing/>
            </w:pPr>
            <w:r w:rsidRPr="008654CF">
              <w:t>Taiwan</w:t>
            </w:r>
          </w:p>
        </w:tc>
        <w:tc>
          <w:tcPr>
            <w:tcW w:w="1559" w:type="dxa"/>
            <w:tcBorders>
              <w:top w:val="nil"/>
              <w:left w:val="nil"/>
              <w:bottom w:val="nil"/>
              <w:right w:val="nil"/>
            </w:tcBorders>
          </w:tcPr>
          <w:p w14:paraId="652326FD" w14:textId="5992931E" w:rsidR="007F63ED" w:rsidRPr="008654CF" w:rsidRDefault="00C04BC2" w:rsidP="007F63ED">
            <w:pPr>
              <w:spacing w:after="0"/>
              <w:contextualSpacing/>
              <w:jc w:val="center"/>
            </w:pPr>
            <w:r w:rsidRPr="008654CF">
              <w:rPr>
                <w:rFonts w:cs="Calibri"/>
              </w:rPr>
              <w:t>2015</w:t>
            </w:r>
          </w:p>
        </w:tc>
        <w:tc>
          <w:tcPr>
            <w:tcW w:w="1701" w:type="dxa"/>
            <w:tcBorders>
              <w:top w:val="nil"/>
              <w:left w:val="nil"/>
              <w:bottom w:val="nil"/>
              <w:right w:val="nil"/>
            </w:tcBorders>
          </w:tcPr>
          <w:p w14:paraId="109BB733" w14:textId="27B29B0C" w:rsidR="007F63ED" w:rsidRPr="008654CF" w:rsidRDefault="007F63ED" w:rsidP="007F63ED">
            <w:pPr>
              <w:spacing w:after="0"/>
              <w:contextualSpacing/>
              <w:jc w:val="center"/>
              <w:rPr>
                <w:b/>
                <w:vertAlign w:val="superscript"/>
              </w:rPr>
            </w:pPr>
          </w:p>
        </w:tc>
        <w:tc>
          <w:tcPr>
            <w:tcW w:w="1701" w:type="dxa"/>
            <w:tcBorders>
              <w:top w:val="nil"/>
              <w:left w:val="nil"/>
              <w:bottom w:val="nil"/>
              <w:right w:val="nil"/>
            </w:tcBorders>
          </w:tcPr>
          <w:p w14:paraId="40CFCBCF" w14:textId="77777777" w:rsidR="007F63ED" w:rsidRPr="008654CF" w:rsidRDefault="007F63ED" w:rsidP="007F63ED">
            <w:pPr>
              <w:spacing w:after="0"/>
              <w:contextualSpacing/>
              <w:jc w:val="center"/>
              <w:rPr>
                <w:vertAlign w:val="superscript"/>
              </w:rPr>
            </w:pPr>
          </w:p>
        </w:tc>
      </w:tr>
      <w:tr w:rsidR="008654CF" w:rsidRPr="008654CF" w14:paraId="2298B4B8" w14:textId="77777777" w:rsidTr="0082299C">
        <w:tc>
          <w:tcPr>
            <w:tcW w:w="1843" w:type="dxa"/>
            <w:tcBorders>
              <w:top w:val="nil"/>
              <w:left w:val="nil"/>
              <w:bottom w:val="nil"/>
              <w:right w:val="nil"/>
            </w:tcBorders>
          </w:tcPr>
          <w:p w14:paraId="40204028" w14:textId="77777777" w:rsidR="007F63ED" w:rsidRPr="008654CF" w:rsidRDefault="007F63ED" w:rsidP="00B3491B">
            <w:pPr>
              <w:spacing w:after="0"/>
              <w:contextualSpacing/>
            </w:pPr>
            <w:r w:rsidRPr="008654CF">
              <w:t>USA</w:t>
            </w:r>
          </w:p>
        </w:tc>
        <w:tc>
          <w:tcPr>
            <w:tcW w:w="1559" w:type="dxa"/>
            <w:tcBorders>
              <w:top w:val="nil"/>
              <w:left w:val="nil"/>
              <w:bottom w:val="nil"/>
              <w:right w:val="nil"/>
            </w:tcBorders>
          </w:tcPr>
          <w:p w14:paraId="304A0F3B" w14:textId="2441EB79" w:rsidR="007F63ED" w:rsidRPr="008654CF" w:rsidRDefault="00C04BC2" w:rsidP="007F63ED">
            <w:pPr>
              <w:spacing w:after="0"/>
              <w:contextualSpacing/>
              <w:jc w:val="center"/>
            </w:pPr>
            <w:r w:rsidRPr="008654CF">
              <w:rPr>
                <w:rFonts w:cs="Calibri"/>
              </w:rPr>
              <w:t>1995</w:t>
            </w:r>
          </w:p>
        </w:tc>
        <w:tc>
          <w:tcPr>
            <w:tcW w:w="1701" w:type="dxa"/>
            <w:tcBorders>
              <w:top w:val="nil"/>
              <w:left w:val="nil"/>
              <w:bottom w:val="nil"/>
              <w:right w:val="nil"/>
            </w:tcBorders>
          </w:tcPr>
          <w:p w14:paraId="243715F7" w14:textId="0C7FC5D0" w:rsidR="007F63ED" w:rsidRPr="008654CF" w:rsidRDefault="005124B4" w:rsidP="007F63ED">
            <w:pPr>
              <w:spacing w:after="0"/>
              <w:contextualSpacing/>
              <w:jc w:val="center"/>
            </w:pPr>
            <w:r w:rsidRPr="008654CF">
              <w:t>1995</w:t>
            </w:r>
          </w:p>
        </w:tc>
        <w:tc>
          <w:tcPr>
            <w:tcW w:w="1701" w:type="dxa"/>
            <w:tcBorders>
              <w:top w:val="nil"/>
              <w:left w:val="nil"/>
              <w:bottom w:val="nil"/>
              <w:right w:val="nil"/>
            </w:tcBorders>
          </w:tcPr>
          <w:p w14:paraId="70525BCD" w14:textId="1F5B8CCD" w:rsidR="007F63ED" w:rsidRPr="008654CF" w:rsidRDefault="00C04BC2" w:rsidP="007F63ED">
            <w:pPr>
              <w:spacing w:after="0"/>
              <w:contextualSpacing/>
              <w:jc w:val="center"/>
            </w:pPr>
            <w:r w:rsidRPr="008654CF">
              <w:t>1999</w:t>
            </w:r>
          </w:p>
        </w:tc>
      </w:tr>
      <w:tr w:rsidR="008654CF" w:rsidRPr="008654CF" w14:paraId="3F9E36E2" w14:textId="77777777" w:rsidTr="00C04BC2">
        <w:tc>
          <w:tcPr>
            <w:tcW w:w="1843" w:type="dxa"/>
            <w:tcBorders>
              <w:top w:val="nil"/>
              <w:left w:val="nil"/>
              <w:right w:val="nil"/>
            </w:tcBorders>
          </w:tcPr>
          <w:p w14:paraId="0285FA88" w14:textId="4317B31C" w:rsidR="0082299C" w:rsidRPr="008654CF" w:rsidRDefault="000E6E4D" w:rsidP="00B3491B">
            <w:pPr>
              <w:spacing w:after="0"/>
              <w:contextualSpacing/>
            </w:pPr>
            <w:r w:rsidRPr="008654CF">
              <w:t>Viet</w:t>
            </w:r>
            <w:r w:rsidR="00902CBA" w:rsidRPr="008654CF">
              <w:t>n</w:t>
            </w:r>
            <w:r w:rsidRPr="008654CF">
              <w:t>am</w:t>
            </w:r>
          </w:p>
        </w:tc>
        <w:tc>
          <w:tcPr>
            <w:tcW w:w="1559" w:type="dxa"/>
            <w:tcBorders>
              <w:top w:val="nil"/>
              <w:left w:val="nil"/>
              <w:right w:val="nil"/>
            </w:tcBorders>
          </w:tcPr>
          <w:p w14:paraId="68E8DB44" w14:textId="2A19612D" w:rsidR="0082299C" w:rsidRPr="008654CF" w:rsidRDefault="000E6E4D" w:rsidP="007F63ED">
            <w:pPr>
              <w:spacing w:after="0"/>
              <w:contextualSpacing/>
              <w:jc w:val="center"/>
              <w:rPr>
                <w:rFonts w:cs="Calibri"/>
              </w:rPr>
            </w:pPr>
            <w:r w:rsidRPr="008654CF">
              <w:rPr>
                <w:rFonts w:cs="Calibri"/>
              </w:rPr>
              <w:t>2020</w:t>
            </w:r>
          </w:p>
        </w:tc>
        <w:tc>
          <w:tcPr>
            <w:tcW w:w="1701" w:type="dxa"/>
            <w:tcBorders>
              <w:top w:val="nil"/>
              <w:left w:val="nil"/>
              <w:right w:val="nil"/>
            </w:tcBorders>
          </w:tcPr>
          <w:p w14:paraId="4830B1D2" w14:textId="5F0C87EB" w:rsidR="0082299C" w:rsidRPr="008654CF" w:rsidRDefault="000E6E4D" w:rsidP="007F63ED">
            <w:pPr>
              <w:spacing w:after="0"/>
              <w:contextualSpacing/>
              <w:jc w:val="center"/>
            </w:pPr>
            <w:r w:rsidRPr="008654CF">
              <w:t>2020</w:t>
            </w:r>
          </w:p>
        </w:tc>
        <w:tc>
          <w:tcPr>
            <w:tcW w:w="1701" w:type="dxa"/>
            <w:tcBorders>
              <w:top w:val="nil"/>
              <w:left w:val="nil"/>
              <w:right w:val="nil"/>
            </w:tcBorders>
          </w:tcPr>
          <w:p w14:paraId="0F22A846" w14:textId="77777777" w:rsidR="0082299C" w:rsidRPr="008654CF" w:rsidRDefault="0082299C" w:rsidP="007F63ED">
            <w:pPr>
              <w:spacing w:after="0"/>
              <w:contextualSpacing/>
              <w:jc w:val="center"/>
            </w:pPr>
          </w:p>
        </w:tc>
      </w:tr>
    </w:tbl>
    <w:bookmarkEnd w:id="6"/>
    <w:p w14:paraId="3C5B0F54" w14:textId="7D196332" w:rsidR="006204C6" w:rsidRPr="008654CF" w:rsidRDefault="00194A69" w:rsidP="00DE0864">
      <w:pPr>
        <w:spacing w:before="120" w:after="240"/>
        <w:ind w:right="140"/>
        <w:rPr>
          <w:sz w:val="20"/>
        </w:rPr>
      </w:pPr>
      <w:r w:rsidRPr="008654CF">
        <w:rPr>
          <w:sz w:val="20"/>
        </w:rPr>
        <w:t>*</w:t>
      </w:r>
      <w:r w:rsidR="000C5FB6" w:rsidRPr="008654CF">
        <w:rPr>
          <w:sz w:val="20"/>
        </w:rPr>
        <w:t xml:space="preserve">Information from GMO databases: </w:t>
      </w:r>
      <w:hyperlink r:id="rId20" w:history="1">
        <w:r w:rsidR="006204C6" w:rsidRPr="008654CF">
          <w:rPr>
            <w:rStyle w:val="Hyperlink"/>
            <w:color w:val="auto"/>
            <w:sz w:val="20"/>
          </w:rPr>
          <w:t>ISAAA GMO database</w:t>
        </w:r>
      </w:hyperlink>
      <w:r w:rsidR="000C5FB6" w:rsidRPr="008654CF">
        <w:rPr>
          <w:sz w:val="20"/>
        </w:rPr>
        <w:t xml:space="preserve">; </w:t>
      </w:r>
      <w:hyperlink r:id="rId21" w:history="1">
        <w:r w:rsidR="000C5FB6" w:rsidRPr="008654CF">
          <w:rPr>
            <w:rStyle w:val="Hyperlink"/>
            <w:color w:val="auto"/>
            <w:sz w:val="20"/>
          </w:rPr>
          <w:t>Biosafety Clearing House database</w:t>
        </w:r>
      </w:hyperlink>
      <w:r w:rsidR="000C5FB6" w:rsidRPr="008654CF">
        <w:rPr>
          <w:sz w:val="20"/>
        </w:rPr>
        <w:t xml:space="preserve">; </w:t>
      </w:r>
      <w:hyperlink r:id="rId22" w:history="1">
        <w:r w:rsidR="000C5FB6" w:rsidRPr="008654CF">
          <w:rPr>
            <w:rStyle w:val="Hyperlink"/>
            <w:color w:val="auto"/>
            <w:sz w:val="20"/>
          </w:rPr>
          <w:t>EU GMO Register</w:t>
        </w:r>
      </w:hyperlink>
      <w:r w:rsidR="000C5FB6" w:rsidRPr="008654CF">
        <w:rPr>
          <w:sz w:val="20"/>
        </w:rPr>
        <w:t xml:space="preserve">; </w:t>
      </w:r>
      <w:hyperlink r:id="rId23" w:history="1">
        <w:proofErr w:type="spellStart"/>
        <w:r w:rsidR="004E5AAB" w:rsidRPr="008654CF">
          <w:rPr>
            <w:rStyle w:val="Hyperlink"/>
            <w:color w:val="auto"/>
            <w:sz w:val="20"/>
          </w:rPr>
          <w:t>Biotrack</w:t>
        </w:r>
        <w:proofErr w:type="spellEnd"/>
        <w:r w:rsidR="004E5AAB" w:rsidRPr="008654CF">
          <w:rPr>
            <w:rStyle w:val="Hyperlink"/>
            <w:color w:val="auto"/>
            <w:sz w:val="20"/>
          </w:rPr>
          <w:t xml:space="preserve"> Product Database</w:t>
        </w:r>
      </w:hyperlink>
      <w:r w:rsidR="00DF0F01" w:rsidRPr="008654CF">
        <w:rPr>
          <w:sz w:val="20"/>
        </w:rPr>
        <w:t xml:space="preserve">. </w:t>
      </w:r>
      <w:r w:rsidR="007E3BF9" w:rsidRPr="008654CF">
        <w:rPr>
          <w:rStyle w:val="Hyperlink"/>
          <w:color w:val="auto"/>
          <w:sz w:val="20"/>
          <w:u w:val="none"/>
        </w:rPr>
        <w:t>The years of approval refer only to the initial approvals</w:t>
      </w:r>
      <w:r w:rsidR="0065064F" w:rsidRPr="008654CF">
        <w:rPr>
          <w:rStyle w:val="Hyperlink"/>
          <w:color w:val="auto"/>
          <w:sz w:val="20"/>
          <w:u w:val="none"/>
        </w:rPr>
        <w:t xml:space="preserve">; </w:t>
      </w:r>
      <w:r w:rsidR="007E3BF9" w:rsidRPr="008654CF">
        <w:rPr>
          <w:rStyle w:val="Hyperlink"/>
          <w:color w:val="auto"/>
          <w:sz w:val="20"/>
          <w:u w:val="none"/>
        </w:rPr>
        <w:t>authorisation renewal years are not shown.</w:t>
      </w:r>
    </w:p>
    <w:p w14:paraId="53EB9F46" w14:textId="686432E5" w:rsidR="000B7929" w:rsidRPr="008654CF" w:rsidRDefault="000B7929" w:rsidP="000B7929">
      <w:pPr>
        <w:pStyle w:val="RARMPPara"/>
      </w:pPr>
      <w:r w:rsidRPr="008654CF">
        <w:rPr>
          <w:lang w:eastAsia="en-AU"/>
        </w:rPr>
        <w:t>In Australia t</w:t>
      </w:r>
      <w:r w:rsidRPr="008654CF">
        <w:t xml:space="preserve">o date, </w:t>
      </w:r>
      <w:r w:rsidR="00902CBA" w:rsidRPr="008654CF">
        <w:t xml:space="preserve">all production of </w:t>
      </w:r>
      <w:r w:rsidR="009C6F7A" w:rsidRPr="008654CF">
        <w:t xml:space="preserve">MON-ØØØ73-7 </w:t>
      </w:r>
      <w:r w:rsidR="00E71FBA">
        <w:t xml:space="preserve">canola </w:t>
      </w:r>
      <w:r w:rsidR="00B72B37" w:rsidRPr="008654CF">
        <w:t>is</w:t>
      </w:r>
      <w:r w:rsidR="00902CBA" w:rsidRPr="008654CF">
        <w:t xml:space="preserve"> carried out under licence </w:t>
      </w:r>
      <w:r w:rsidR="00902CBA" w:rsidRPr="008654CF">
        <w:rPr>
          <w:lang w:eastAsia="en-AU"/>
        </w:rPr>
        <w:t>DIR 020/2002</w:t>
      </w:r>
      <w:r w:rsidR="0065064F" w:rsidRPr="008654CF">
        <w:rPr>
          <w:lang w:eastAsia="en-AU"/>
        </w:rPr>
        <w:t>. T</w:t>
      </w:r>
      <w:r w:rsidRPr="008654CF">
        <w:t xml:space="preserve">here has been no commercial production of </w:t>
      </w:r>
      <w:r w:rsidR="008507F5" w:rsidRPr="008654CF">
        <w:t>GM canola with the GT73 event</w:t>
      </w:r>
      <w:r w:rsidRPr="008654CF">
        <w:t xml:space="preserve"> under licence DIR</w:t>
      </w:r>
      <w:r w:rsidR="001F5B3A">
        <w:t> </w:t>
      </w:r>
      <w:r w:rsidRPr="008654CF">
        <w:t>108</w:t>
      </w:r>
      <w:r w:rsidR="00C40DE5" w:rsidRPr="008654CF">
        <w:t xml:space="preserve"> </w:t>
      </w:r>
      <w:bookmarkStart w:id="7" w:name="_Hlk87399517"/>
      <w:r w:rsidR="00C40DE5" w:rsidRPr="008654CF">
        <w:fldChar w:fldCharType="begin"/>
      </w:r>
      <w:r w:rsidR="00C40DE5" w:rsidRPr="008654CF">
        <w:instrText xml:space="preserve"> ADDIN EN.CITE &lt;EndNote&gt;&lt;Cite&gt;&lt;Author&gt;OGTR&lt;/Author&gt;&lt;Year&gt;2021&lt;/Year&gt;&lt;RecNum&gt;2&lt;/RecNum&gt;&lt;DisplayText&gt;(OGTR, 2021)&lt;/DisplayText&gt;&lt;record&gt;&lt;rec-number&gt;2&lt;/rec-number&gt;&lt;foreign-keys&gt;&lt;key app="EN" db-id="9dp50sxsprrex2eedwtvdxsjxpw9tv52v0ae" timestamp="1635744129"&gt;2&lt;/key&gt;&lt;/foreign-keys&gt;&lt;ref-type name="Report"&gt;27&lt;/ref-type&gt;&lt;contributors&gt;&lt;authors&gt;&lt;author&gt;OGTR&lt;/author&gt;&lt;/authors&gt;&lt;/contributors&gt;&lt;titles&gt;&lt;title&gt;Risk Assessment and Risk Management Plan for DIR 178 - Commercial release of canola genetically modified for herbicide tolerance and a hybrid breeding system (MS11 × RF3 and MS11 × RF3 × MON 88302)&lt;/title&gt;&lt;/titles&gt;&lt;dates&gt;&lt;year&gt;2021&lt;/year&gt;&lt;/dates&gt;&lt;pub-location&gt;Canberra, Australia&lt;/pub-location&gt;&lt;publisher&gt;Office of the Gene Technology Regulator&lt;/publisher&gt;&lt;urls&gt;&lt;/urls&gt;&lt;/record&gt;&lt;/Cite&gt;&lt;/EndNote&gt;</w:instrText>
      </w:r>
      <w:r w:rsidR="00C40DE5" w:rsidRPr="008654CF">
        <w:fldChar w:fldCharType="separate"/>
      </w:r>
      <w:r w:rsidR="00C40DE5" w:rsidRPr="008654CF">
        <w:rPr>
          <w:noProof/>
        </w:rPr>
        <w:t>(OGTR, 2021)</w:t>
      </w:r>
      <w:r w:rsidR="00C40DE5" w:rsidRPr="008654CF">
        <w:fldChar w:fldCharType="end"/>
      </w:r>
      <w:bookmarkEnd w:id="7"/>
      <w:r w:rsidRPr="008654CF">
        <w:rPr>
          <w:lang w:eastAsia="en-AU"/>
        </w:rPr>
        <w:t xml:space="preserve">. The </w:t>
      </w:r>
      <w:r w:rsidR="00FB745A" w:rsidRPr="008654CF">
        <w:rPr>
          <w:lang w:eastAsia="en-AU"/>
        </w:rPr>
        <w:t>area</w:t>
      </w:r>
      <w:r w:rsidRPr="008654CF">
        <w:rPr>
          <w:lang w:eastAsia="en-AU"/>
        </w:rPr>
        <w:t xml:space="preserve"> of </w:t>
      </w:r>
      <w:r w:rsidR="009C6F7A" w:rsidRPr="008654CF">
        <w:t xml:space="preserve">MON-ØØØ73-7 </w:t>
      </w:r>
      <w:r w:rsidRPr="008654CF">
        <w:rPr>
          <w:lang w:eastAsia="en-AU"/>
        </w:rPr>
        <w:t xml:space="preserve">canola planted </w:t>
      </w:r>
      <w:r w:rsidR="00D01EE5" w:rsidRPr="008654CF">
        <w:rPr>
          <w:lang w:eastAsia="en-AU"/>
        </w:rPr>
        <w:t xml:space="preserve">annually </w:t>
      </w:r>
      <w:r w:rsidRPr="008654CF">
        <w:rPr>
          <w:lang w:eastAsia="en-AU"/>
        </w:rPr>
        <w:t>in Australia since</w:t>
      </w:r>
      <w:r w:rsidR="00ED671D" w:rsidRPr="008654CF">
        <w:rPr>
          <w:lang w:eastAsia="en-AU"/>
        </w:rPr>
        <w:t xml:space="preserve"> first plantings in</w:t>
      </w:r>
      <w:r w:rsidRPr="008654CF">
        <w:rPr>
          <w:lang w:eastAsia="en-AU"/>
        </w:rPr>
        <w:t xml:space="preserve"> 2008</w:t>
      </w:r>
      <w:r w:rsidR="00C908F9" w:rsidRPr="008654CF">
        <w:rPr>
          <w:lang w:eastAsia="en-AU"/>
        </w:rPr>
        <w:t>,</w:t>
      </w:r>
      <w:r w:rsidRPr="008654CF">
        <w:rPr>
          <w:lang w:eastAsia="en-AU"/>
        </w:rPr>
        <w:t xml:space="preserve"> is presented in</w:t>
      </w:r>
      <w:r w:rsidR="00DD0C9F">
        <w:rPr>
          <w:lang w:eastAsia="en-AU"/>
        </w:rPr>
        <w:t xml:space="preserve"> Table 3</w:t>
      </w:r>
      <w:r w:rsidRPr="008654CF">
        <w:rPr>
          <w:lang w:eastAsia="en-AU"/>
        </w:rPr>
        <w:t xml:space="preserve">, with </w:t>
      </w:r>
      <w:r w:rsidR="00FB745A" w:rsidRPr="008654CF">
        <w:rPr>
          <w:lang w:eastAsia="en-AU"/>
        </w:rPr>
        <w:t>data</w:t>
      </w:r>
      <w:r w:rsidRPr="008654CF">
        <w:rPr>
          <w:lang w:eastAsia="en-AU"/>
        </w:rPr>
        <w:t xml:space="preserve"> collected from the annual </w:t>
      </w:r>
      <w:r w:rsidR="00FB745A" w:rsidRPr="008654CF">
        <w:rPr>
          <w:lang w:eastAsia="en-AU"/>
        </w:rPr>
        <w:t>briefs</w:t>
      </w:r>
      <w:r w:rsidRPr="008654CF">
        <w:rPr>
          <w:lang w:eastAsia="en-AU"/>
        </w:rPr>
        <w:t xml:space="preserve"> on the global status of commercialised biotech/GM Crops (</w:t>
      </w:r>
      <w:hyperlink r:id="rId24" w:history="1">
        <w:r w:rsidRPr="008654CF">
          <w:rPr>
            <w:rStyle w:val="Hyperlink"/>
            <w:color w:val="auto"/>
            <w:lang w:eastAsia="en-AU"/>
          </w:rPr>
          <w:t>ISAAA</w:t>
        </w:r>
      </w:hyperlink>
      <w:r w:rsidRPr="008654CF">
        <w:rPr>
          <w:lang w:eastAsia="en-AU"/>
        </w:rPr>
        <w:t>)</w:t>
      </w:r>
      <w:r w:rsidR="0076332E" w:rsidRPr="008654CF">
        <w:rPr>
          <w:lang w:eastAsia="en-AU"/>
        </w:rPr>
        <w:t xml:space="preserve"> and </w:t>
      </w:r>
      <w:r w:rsidRPr="008654CF">
        <w:t xml:space="preserve">annual reports submitted </w:t>
      </w:r>
      <w:r w:rsidR="0076332E" w:rsidRPr="008654CF">
        <w:t xml:space="preserve">to the OGTR by the licence holder </w:t>
      </w:r>
      <w:r w:rsidRPr="008654CF">
        <w:t>as part of DIR 020</w:t>
      </w:r>
      <w:r w:rsidR="00FB745A" w:rsidRPr="008654CF">
        <w:t>/2002</w:t>
      </w:r>
      <w:r w:rsidRPr="008654CF">
        <w:t xml:space="preserve"> licence conditions.</w:t>
      </w:r>
    </w:p>
    <w:p w14:paraId="3DFC4832" w14:textId="75BA16E8" w:rsidR="00B250D7" w:rsidRPr="008654CF" w:rsidRDefault="00050F4A" w:rsidP="0023169B">
      <w:pPr>
        <w:pStyle w:val="RARMPPara"/>
      </w:pPr>
      <w:r w:rsidRPr="008654CF">
        <w:t xml:space="preserve">Food from </w:t>
      </w:r>
      <w:r w:rsidR="009C6F7A" w:rsidRPr="008654CF">
        <w:t>MON-ØØØ73-7</w:t>
      </w:r>
      <w:r w:rsidRPr="008654CF">
        <w:t xml:space="preserve"> canola has been approved for human consumption by Food Standards Australia New Zealand</w:t>
      </w:r>
      <w:r w:rsidR="00DB09CF" w:rsidRPr="008654CF">
        <w:t xml:space="preserve"> (FSANZ)</w:t>
      </w:r>
      <w:r w:rsidR="0016136E" w:rsidRPr="008654CF">
        <w:t xml:space="preserve"> </w:t>
      </w:r>
      <w:r w:rsidR="00FB410F" w:rsidRPr="008654CF">
        <w:fldChar w:fldCharType="begin"/>
      </w:r>
      <w:r w:rsidR="00E32813" w:rsidRPr="008654CF">
        <w:instrText xml:space="preserve"> ADDIN EN.CITE &lt;EndNote&gt;&lt;Cite&gt;&lt;Author&gt;ANZFA&lt;/Author&gt;&lt;Year&gt;2000&lt;/Year&gt;&lt;RecNum&gt;23310&lt;/RecNum&gt;&lt;DisplayText&gt;(ANZFA, 2000)&lt;/DisplayText&gt;&lt;record&gt;&lt;rec-number&gt;23310&lt;/rec-number&gt;&lt;foreign-keys&gt;&lt;key app="EN" db-id="avrzt5sv7wwaa2epps1vzttcw5r5awswf02e" timestamp="1608177117"&gt;23310&lt;/key&gt;&lt;/foreign-keys&gt;&lt;ref-type name="Report"&gt;27&lt;/ref-type&gt;&lt;contributors&gt;&lt;authors&gt;&lt;author&gt;ANZFA&lt;/author&gt;&lt;/authors&gt;&lt;/contributors&gt;&lt;titles&gt;&lt;title&gt;Final risk analysis report - Application A363: Food produced from glyphosate-tolerant canola line GT73&lt;/title&gt;&lt;/titles&gt;&lt;keywords&gt;&lt;keyword&gt;Brassica napus&lt;/keyword&gt;&lt;keyword&gt;canola&lt;/keyword&gt;&lt;keyword&gt;canola oil&lt;/keyword&gt;&lt;keyword&gt;CP4 EPSPS&lt;/keyword&gt;&lt;keyword&gt;glyphosate&lt;/keyword&gt;&lt;keyword&gt;glyphosate-tolerant&lt;/keyword&gt;&lt;keyword&gt;goxv247&lt;/keyword&gt;&lt;keyword&gt;Monsanto&lt;/keyword&gt;&lt;keyword&gt;Roundup Ready&lt;/keyword&gt;&lt;/keywords&gt;&lt;dates&gt;&lt;year&gt;2000&lt;/year&gt;&lt;pub-dates&gt;&lt;date&gt;2000&lt;/date&gt;&lt;/pub-dates&gt;&lt;/dates&gt;&lt;pub-location&gt;Canberra, Australia&lt;/pub-location&gt;&lt;publisher&gt;Australia New Zealand Food Authority&lt;/publisher&gt;&lt;label&gt;1552&lt;/label&gt;&lt;urls&gt;&lt;related-urls&gt;&lt;url&gt;http://www.foodstandards.gov.au/code/applications/documents/A363%20draft%20IR.pdf&lt;/url&gt;&lt;/related-urls&gt;&lt;/urls&gt;&lt;/record&gt;&lt;/Cite&gt;&lt;/EndNote&gt;</w:instrText>
      </w:r>
      <w:r w:rsidR="00FB410F" w:rsidRPr="008654CF">
        <w:fldChar w:fldCharType="separate"/>
      </w:r>
      <w:r w:rsidR="00FB410F" w:rsidRPr="008654CF">
        <w:rPr>
          <w:noProof/>
        </w:rPr>
        <w:t>(ANZFA, 2000)</w:t>
      </w:r>
      <w:r w:rsidR="00FB410F" w:rsidRPr="008654CF">
        <w:fldChar w:fldCharType="end"/>
      </w:r>
      <w:r w:rsidRPr="008654CF">
        <w:t>.</w:t>
      </w:r>
    </w:p>
    <w:p w14:paraId="2E452679" w14:textId="40E9E5B7" w:rsidR="00050F4A" w:rsidRPr="008654CF" w:rsidRDefault="00B250D7" w:rsidP="00B250D7">
      <w:pPr>
        <w:spacing w:after="160"/>
      </w:pPr>
      <w:r w:rsidRPr="008654CF">
        <w:br w:type="page"/>
      </w:r>
    </w:p>
    <w:p w14:paraId="1F32E84B" w14:textId="4EE4F59E" w:rsidR="00B250D7" w:rsidRPr="008654CF" w:rsidRDefault="00B250D7" w:rsidP="00B250D7">
      <w:pPr>
        <w:pStyle w:val="RARMPPara"/>
        <w:numPr>
          <w:ilvl w:val="0"/>
          <w:numId w:val="0"/>
        </w:numPr>
        <w:spacing w:before="240" w:after="240"/>
        <w:ind w:left="284"/>
        <w:rPr>
          <w:b/>
          <w:bCs/>
        </w:rPr>
      </w:pPr>
      <w:r w:rsidRPr="008654CF">
        <w:rPr>
          <w:b/>
          <w:bCs/>
        </w:rPr>
        <w:t>Table 3</w:t>
      </w:r>
      <w:r w:rsidRPr="008654CF">
        <w:rPr>
          <w:b/>
          <w:bCs/>
        </w:rPr>
        <w:tab/>
        <w:t xml:space="preserve">Areas of </w:t>
      </w:r>
      <w:r w:rsidR="009C6F7A" w:rsidRPr="005C5908">
        <w:rPr>
          <w:b/>
          <w:bCs/>
        </w:rPr>
        <w:t>MON-ØØØ73-7</w:t>
      </w:r>
      <w:r w:rsidR="009C6F7A" w:rsidRPr="008654CF">
        <w:t xml:space="preserve"> </w:t>
      </w:r>
      <w:r w:rsidRPr="008654CF">
        <w:rPr>
          <w:b/>
          <w:bCs/>
        </w:rPr>
        <w:t>canola planted in Australia since 2008</w:t>
      </w:r>
    </w:p>
    <w:tbl>
      <w:tblPr>
        <w:tblW w:w="594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0"/>
        <w:gridCol w:w="663"/>
        <w:gridCol w:w="2172"/>
      </w:tblGrid>
      <w:tr w:rsidR="008654CF" w:rsidRPr="008654CF" w14:paraId="081E0F7D" w14:textId="77777777" w:rsidTr="0050257A">
        <w:trPr>
          <w:tblHeader/>
        </w:trPr>
        <w:tc>
          <w:tcPr>
            <w:tcW w:w="1413" w:type="dxa"/>
            <w:tcBorders>
              <w:right w:val="nil"/>
            </w:tcBorders>
            <w:shd w:val="clear" w:color="auto" w:fill="BFBFBF" w:themeFill="background1" w:themeFillShade="BF"/>
            <w:noWrap/>
            <w:vAlign w:val="bottom"/>
          </w:tcPr>
          <w:p w14:paraId="757A5673" w14:textId="77777777" w:rsidR="00B250D7" w:rsidRPr="008654CF" w:rsidRDefault="00B250D7" w:rsidP="0050257A">
            <w:pPr>
              <w:jc w:val="center"/>
              <w:rPr>
                <w:rFonts w:ascii="Calibri" w:hAnsi="Calibri" w:cs="Calibri"/>
                <w:b/>
              </w:rPr>
            </w:pPr>
            <w:r w:rsidRPr="008654CF">
              <w:rPr>
                <w:rFonts w:ascii="Calibri" w:hAnsi="Calibri" w:cs="Calibri"/>
                <w:b/>
              </w:rPr>
              <w:t>Year</w:t>
            </w:r>
          </w:p>
        </w:tc>
        <w:tc>
          <w:tcPr>
            <w:tcW w:w="1700" w:type="dxa"/>
            <w:tcBorders>
              <w:left w:val="nil"/>
            </w:tcBorders>
            <w:shd w:val="clear" w:color="auto" w:fill="BFBFBF" w:themeFill="background1" w:themeFillShade="BF"/>
            <w:noWrap/>
            <w:vAlign w:val="bottom"/>
          </w:tcPr>
          <w:p w14:paraId="71537FF9" w14:textId="77777777" w:rsidR="00B250D7" w:rsidRPr="008654CF" w:rsidRDefault="00B250D7" w:rsidP="0050257A">
            <w:pPr>
              <w:jc w:val="center"/>
              <w:rPr>
                <w:rFonts w:ascii="Calibri" w:hAnsi="Calibri" w:cs="Calibri"/>
                <w:b/>
              </w:rPr>
            </w:pPr>
            <w:r w:rsidRPr="008654CF">
              <w:rPr>
                <w:rFonts w:ascii="Calibri" w:hAnsi="Calibri" w:cs="Calibri"/>
                <w:b/>
              </w:rPr>
              <w:t>Hectares</w:t>
            </w:r>
          </w:p>
        </w:tc>
        <w:tc>
          <w:tcPr>
            <w:tcW w:w="663" w:type="dxa"/>
            <w:tcBorders>
              <w:right w:val="nil"/>
            </w:tcBorders>
            <w:shd w:val="clear" w:color="auto" w:fill="BFBFBF" w:themeFill="background1" w:themeFillShade="BF"/>
            <w:vAlign w:val="bottom"/>
          </w:tcPr>
          <w:p w14:paraId="2B615996" w14:textId="77777777" w:rsidR="00B250D7" w:rsidRPr="008654CF" w:rsidRDefault="00B250D7" w:rsidP="0050257A">
            <w:pPr>
              <w:jc w:val="center"/>
              <w:rPr>
                <w:rFonts w:ascii="Calibri" w:hAnsi="Calibri" w:cs="Calibri"/>
                <w:b/>
              </w:rPr>
            </w:pPr>
            <w:r w:rsidRPr="008654CF">
              <w:rPr>
                <w:rFonts w:ascii="Calibri" w:hAnsi="Calibri" w:cs="Calibri"/>
                <w:b/>
              </w:rPr>
              <w:t>Year</w:t>
            </w:r>
          </w:p>
        </w:tc>
        <w:tc>
          <w:tcPr>
            <w:tcW w:w="2172" w:type="dxa"/>
            <w:tcBorders>
              <w:left w:val="nil"/>
            </w:tcBorders>
            <w:shd w:val="clear" w:color="auto" w:fill="BFBFBF" w:themeFill="background1" w:themeFillShade="BF"/>
            <w:vAlign w:val="bottom"/>
          </w:tcPr>
          <w:p w14:paraId="50B69925" w14:textId="77777777" w:rsidR="00B250D7" w:rsidRPr="008654CF" w:rsidRDefault="00B250D7" w:rsidP="0050257A">
            <w:pPr>
              <w:jc w:val="center"/>
              <w:rPr>
                <w:rFonts w:ascii="Calibri" w:hAnsi="Calibri" w:cs="Calibri"/>
                <w:b/>
              </w:rPr>
            </w:pPr>
            <w:r w:rsidRPr="008654CF">
              <w:rPr>
                <w:rFonts w:ascii="Calibri" w:hAnsi="Calibri" w:cs="Calibri"/>
                <w:b/>
              </w:rPr>
              <w:t>Hectares</w:t>
            </w:r>
          </w:p>
        </w:tc>
      </w:tr>
      <w:tr w:rsidR="008654CF" w:rsidRPr="008654CF" w14:paraId="52E5802F" w14:textId="77777777" w:rsidTr="0050257A">
        <w:tc>
          <w:tcPr>
            <w:tcW w:w="1413" w:type="dxa"/>
            <w:tcBorders>
              <w:right w:val="nil"/>
            </w:tcBorders>
            <w:shd w:val="clear" w:color="auto" w:fill="auto"/>
            <w:noWrap/>
            <w:vAlign w:val="bottom"/>
          </w:tcPr>
          <w:p w14:paraId="0444E93C" w14:textId="77777777" w:rsidR="00B250D7" w:rsidRPr="008654CF" w:rsidRDefault="00B250D7" w:rsidP="0050257A">
            <w:pPr>
              <w:jc w:val="center"/>
              <w:rPr>
                <w:rFonts w:ascii="Calibri" w:hAnsi="Calibri" w:cs="Calibri"/>
              </w:rPr>
            </w:pPr>
            <w:r w:rsidRPr="008654CF">
              <w:rPr>
                <w:rFonts w:ascii="Calibri" w:hAnsi="Calibri" w:cs="Calibri"/>
              </w:rPr>
              <w:t>2008</w:t>
            </w:r>
          </w:p>
        </w:tc>
        <w:tc>
          <w:tcPr>
            <w:tcW w:w="1700" w:type="dxa"/>
            <w:tcBorders>
              <w:left w:val="nil"/>
            </w:tcBorders>
            <w:shd w:val="clear" w:color="auto" w:fill="auto"/>
            <w:noWrap/>
            <w:vAlign w:val="bottom"/>
          </w:tcPr>
          <w:p w14:paraId="62B44676" w14:textId="77777777" w:rsidR="00B250D7" w:rsidRPr="008654CF" w:rsidRDefault="00B250D7" w:rsidP="0050257A">
            <w:pPr>
              <w:jc w:val="center"/>
              <w:rPr>
                <w:rFonts w:ascii="Calibri" w:hAnsi="Calibri" w:cs="Calibri"/>
              </w:rPr>
            </w:pPr>
            <w:r w:rsidRPr="008654CF">
              <w:rPr>
                <w:rFonts w:ascii="Calibri" w:hAnsi="Calibri" w:cs="Calibri"/>
              </w:rPr>
              <w:t>9,500</w:t>
            </w:r>
          </w:p>
        </w:tc>
        <w:tc>
          <w:tcPr>
            <w:tcW w:w="663" w:type="dxa"/>
            <w:tcBorders>
              <w:right w:val="nil"/>
            </w:tcBorders>
            <w:vAlign w:val="bottom"/>
          </w:tcPr>
          <w:p w14:paraId="39000864" w14:textId="44A0EFD8" w:rsidR="00B250D7" w:rsidRPr="008654CF" w:rsidRDefault="000778CB" w:rsidP="0050257A">
            <w:pPr>
              <w:jc w:val="center"/>
              <w:rPr>
                <w:rFonts w:ascii="Calibri" w:hAnsi="Calibri" w:cs="Calibri"/>
              </w:rPr>
            </w:pPr>
            <w:r w:rsidRPr="008654CF">
              <w:rPr>
                <w:rFonts w:ascii="Calibri" w:hAnsi="Calibri" w:cs="Calibri"/>
              </w:rPr>
              <w:t>2016</w:t>
            </w:r>
          </w:p>
        </w:tc>
        <w:tc>
          <w:tcPr>
            <w:tcW w:w="2172" w:type="dxa"/>
            <w:tcBorders>
              <w:left w:val="nil"/>
            </w:tcBorders>
            <w:vAlign w:val="bottom"/>
          </w:tcPr>
          <w:p w14:paraId="514EB0E7" w14:textId="6D1E066F" w:rsidR="00B250D7" w:rsidRPr="008654CF" w:rsidRDefault="000778CB" w:rsidP="0050257A">
            <w:pPr>
              <w:jc w:val="center"/>
              <w:rPr>
                <w:rFonts w:ascii="Calibri" w:hAnsi="Calibri" w:cs="Calibri"/>
              </w:rPr>
            </w:pPr>
            <w:r w:rsidRPr="008654CF">
              <w:rPr>
                <w:rFonts w:ascii="Calibri" w:hAnsi="Calibri" w:cs="Calibri"/>
              </w:rPr>
              <w:t>446,226</w:t>
            </w:r>
          </w:p>
        </w:tc>
      </w:tr>
      <w:tr w:rsidR="008654CF" w:rsidRPr="008654CF" w14:paraId="0E0A6EED" w14:textId="77777777" w:rsidTr="0050257A">
        <w:tc>
          <w:tcPr>
            <w:tcW w:w="1413" w:type="dxa"/>
            <w:tcBorders>
              <w:right w:val="nil"/>
            </w:tcBorders>
            <w:shd w:val="clear" w:color="auto" w:fill="auto"/>
            <w:noWrap/>
            <w:vAlign w:val="bottom"/>
            <w:hideMark/>
          </w:tcPr>
          <w:p w14:paraId="497364FD" w14:textId="77777777" w:rsidR="00B250D7" w:rsidRPr="008654CF" w:rsidRDefault="00B250D7" w:rsidP="0050257A">
            <w:pPr>
              <w:jc w:val="center"/>
              <w:rPr>
                <w:rFonts w:ascii="Calibri" w:hAnsi="Calibri" w:cs="Calibri"/>
                <w:lang w:eastAsia="en-AU"/>
              </w:rPr>
            </w:pPr>
            <w:r w:rsidRPr="008654CF">
              <w:rPr>
                <w:rFonts w:ascii="Calibri" w:hAnsi="Calibri" w:cs="Calibri"/>
              </w:rPr>
              <w:t>2009</w:t>
            </w:r>
          </w:p>
        </w:tc>
        <w:tc>
          <w:tcPr>
            <w:tcW w:w="1700" w:type="dxa"/>
            <w:tcBorders>
              <w:left w:val="nil"/>
            </w:tcBorders>
            <w:shd w:val="clear" w:color="auto" w:fill="auto"/>
            <w:noWrap/>
            <w:vAlign w:val="bottom"/>
            <w:hideMark/>
          </w:tcPr>
          <w:p w14:paraId="6AF6168C" w14:textId="77777777" w:rsidR="00B250D7" w:rsidRPr="008654CF" w:rsidRDefault="00B250D7" w:rsidP="0050257A">
            <w:pPr>
              <w:jc w:val="center"/>
              <w:rPr>
                <w:rFonts w:ascii="Calibri" w:hAnsi="Calibri" w:cs="Calibri"/>
              </w:rPr>
            </w:pPr>
            <w:r w:rsidRPr="008654CF">
              <w:rPr>
                <w:rFonts w:ascii="Calibri" w:hAnsi="Calibri" w:cs="Calibri"/>
              </w:rPr>
              <w:t>41,200</w:t>
            </w:r>
          </w:p>
        </w:tc>
        <w:tc>
          <w:tcPr>
            <w:tcW w:w="663" w:type="dxa"/>
            <w:tcBorders>
              <w:right w:val="nil"/>
            </w:tcBorders>
            <w:vAlign w:val="bottom"/>
          </w:tcPr>
          <w:p w14:paraId="7DCBF47D" w14:textId="33E9CFC7" w:rsidR="00B250D7" w:rsidRPr="008654CF" w:rsidRDefault="000778CB" w:rsidP="0050257A">
            <w:pPr>
              <w:jc w:val="center"/>
              <w:rPr>
                <w:rFonts w:ascii="Calibri" w:hAnsi="Calibri" w:cs="Calibri"/>
              </w:rPr>
            </w:pPr>
            <w:r w:rsidRPr="008654CF">
              <w:rPr>
                <w:rFonts w:ascii="Calibri" w:hAnsi="Calibri" w:cs="Calibri"/>
              </w:rPr>
              <w:t>2017</w:t>
            </w:r>
          </w:p>
        </w:tc>
        <w:tc>
          <w:tcPr>
            <w:tcW w:w="2172" w:type="dxa"/>
            <w:tcBorders>
              <w:left w:val="nil"/>
            </w:tcBorders>
            <w:vAlign w:val="bottom"/>
          </w:tcPr>
          <w:p w14:paraId="146F5487" w14:textId="2BD4DE16" w:rsidR="00B250D7" w:rsidRPr="008654CF" w:rsidRDefault="000778CB" w:rsidP="0050257A">
            <w:pPr>
              <w:jc w:val="center"/>
              <w:rPr>
                <w:rFonts w:ascii="Calibri" w:hAnsi="Calibri" w:cs="Calibri"/>
              </w:rPr>
            </w:pPr>
            <w:r w:rsidRPr="008654CF">
              <w:rPr>
                <w:rFonts w:ascii="Calibri" w:hAnsi="Calibri" w:cs="Calibri"/>
              </w:rPr>
              <w:t>491,528</w:t>
            </w:r>
          </w:p>
        </w:tc>
      </w:tr>
      <w:tr w:rsidR="008654CF" w:rsidRPr="008654CF" w14:paraId="115B1AA1" w14:textId="77777777" w:rsidTr="0050257A">
        <w:tc>
          <w:tcPr>
            <w:tcW w:w="1413" w:type="dxa"/>
            <w:tcBorders>
              <w:right w:val="nil"/>
            </w:tcBorders>
            <w:shd w:val="clear" w:color="auto" w:fill="auto"/>
            <w:noWrap/>
            <w:vAlign w:val="bottom"/>
            <w:hideMark/>
          </w:tcPr>
          <w:p w14:paraId="414E3032" w14:textId="77777777" w:rsidR="00B250D7" w:rsidRPr="008654CF" w:rsidRDefault="00B250D7" w:rsidP="0050257A">
            <w:pPr>
              <w:jc w:val="center"/>
              <w:rPr>
                <w:rFonts w:ascii="Calibri" w:hAnsi="Calibri" w:cs="Calibri"/>
              </w:rPr>
            </w:pPr>
            <w:r w:rsidRPr="008654CF">
              <w:rPr>
                <w:rFonts w:ascii="Calibri" w:hAnsi="Calibri" w:cs="Calibri"/>
              </w:rPr>
              <w:t>2010</w:t>
            </w:r>
          </w:p>
        </w:tc>
        <w:tc>
          <w:tcPr>
            <w:tcW w:w="1700" w:type="dxa"/>
            <w:tcBorders>
              <w:left w:val="nil"/>
            </w:tcBorders>
            <w:shd w:val="clear" w:color="auto" w:fill="auto"/>
            <w:noWrap/>
            <w:vAlign w:val="bottom"/>
            <w:hideMark/>
          </w:tcPr>
          <w:p w14:paraId="6F9BCD8C" w14:textId="77777777" w:rsidR="00B250D7" w:rsidRPr="008654CF" w:rsidRDefault="00B250D7" w:rsidP="0050257A">
            <w:pPr>
              <w:jc w:val="center"/>
              <w:rPr>
                <w:rFonts w:ascii="Calibri" w:hAnsi="Calibri" w:cs="Calibri"/>
              </w:rPr>
            </w:pPr>
            <w:r w:rsidRPr="008654CF">
              <w:rPr>
                <w:rFonts w:ascii="Calibri" w:hAnsi="Calibri" w:cs="Calibri"/>
              </w:rPr>
              <w:t>133,330</w:t>
            </w:r>
          </w:p>
        </w:tc>
        <w:tc>
          <w:tcPr>
            <w:tcW w:w="663" w:type="dxa"/>
            <w:tcBorders>
              <w:right w:val="nil"/>
            </w:tcBorders>
            <w:vAlign w:val="bottom"/>
          </w:tcPr>
          <w:p w14:paraId="47295677" w14:textId="2058AED6" w:rsidR="00B250D7" w:rsidRPr="008654CF" w:rsidRDefault="000778CB" w:rsidP="0050257A">
            <w:pPr>
              <w:jc w:val="center"/>
              <w:rPr>
                <w:rFonts w:ascii="Calibri" w:hAnsi="Calibri" w:cs="Calibri"/>
              </w:rPr>
            </w:pPr>
            <w:r w:rsidRPr="008654CF">
              <w:rPr>
                <w:rFonts w:ascii="Calibri" w:hAnsi="Calibri" w:cs="Calibri"/>
              </w:rPr>
              <w:t>2018</w:t>
            </w:r>
          </w:p>
        </w:tc>
        <w:tc>
          <w:tcPr>
            <w:tcW w:w="2172" w:type="dxa"/>
            <w:tcBorders>
              <w:left w:val="nil"/>
            </w:tcBorders>
            <w:vAlign w:val="bottom"/>
          </w:tcPr>
          <w:p w14:paraId="17E6EE92" w14:textId="3E26B8D0" w:rsidR="00B250D7" w:rsidRPr="008654CF" w:rsidRDefault="000778CB" w:rsidP="0050257A">
            <w:pPr>
              <w:jc w:val="center"/>
              <w:rPr>
                <w:rFonts w:ascii="Calibri" w:hAnsi="Calibri" w:cs="Calibri"/>
              </w:rPr>
            </w:pPr>
            <w:r w:rsidRPr="008654CF">
              <w:rPr>
                <w:rFonts w:ascii="Calibri" w:hAnsi="Calibri" w:cs="Calibri"/>
              </w:rPr>
              <w:t>49</w:t>
            </w:r>
            <w:r w:rsidR="00291516">
              <w:rPr>
                <w:rFonts w:ascii="Calibri" w:hAnsi="Calibri" w:cs="Calibri"/>
              </w:rPr>
              <w:t>8</w:t>
            </w:r>
            <w:r w:rsidR="00BF4A81">
              <w:rPr>
                <w:rFonts w:ascii="Calibri" w:hAnsi="Calibri" w:cs="Calibri"/>
              </w:rPr>
              <w:t>,</w:t>
            </w:r>
            <w:r w:rsidR="00291516">
              <w:rPr>
                <w:rFonts w:ascii="Calibri" w:hAnsi="Calibri" w:cs="Calibri"/>
              </w:rPr>
              <w:t>897</w:t>
            </w:r>
          </w:p>
        </w:tc>
      </w:tr>
      <w:tr w:rsidR="008654CF" w:rsidRPr="008654CF" w14:paraId="41F7D23E" w14:textId="77777777" w:rsidTr="0050257A">
        <w:tc>
          <w:tcPr>
            <w:tcW w:w="1413" w:type="dxa"/>
            <w:tcBorders>
              <w:right w:val="nil"/>
            </w:tcBorders>
            <w:shd w:val="clear" w:color="auto" w:fill="auto"/>
            <w:noWrap/>
            <w:vAlign w:val="bottom"/>
            <w:hideMark/>
          </w:tcPr>
          <w:p w14:paraId="6F193FD1" w14:textId="77777777" w:rsidR="00B250D7" w:rsidRPr="008654CF" w:rsidRDefault="00B250D7" w:rsidP="0050257A">
            <w:pPr>
              <w:jc w:val="center"/>
              <w:rPr>
                <w:rFonts w:ascii="Calibri" w:hAnsi="Calibri" w:cs="Calibri"/>
              </w:rPr>
            </w:pPr>
            <w:r w:rsidRPr="008654CF">
              <w:rPr>
                <w:rFonts w:ascii="Calibri" w:hAnsi="Calibri" w:cs="Calibri"/>
              </w:rPr>
              <w:t>2011</w:t>
            </w:r>
          </w:p>
        </w:tc>
        <w:tc>
          <w:tcPr>
            <w:tcW w:w="1700" w:type="dxa"/>
            <w:tcBorders>
              <w:left w:val="nil"/>
            </w:tcBorders>
            <w:shd w:val="clear" w:color="auto" w:fill="auto"/>
            <w:noWrap/>
            <w:vAlign w:val="bottom"/>
            <w:hideMark/>
          </w:tcPr>
          <w:p w14:paraId="36B23102" w14:textId="77777777" w:rsidR="00B250D7" w:rsidRPr="008654CF" w:rsidRDefault="00B250D7" w:rsidP="0050257A">
            <w:pPr>
              <w:jc w:val="center"/>
              <w:rPr>
                <w:rFonts w:ascii="Calibri" w:hAnsi="Calibri" w:cs="Calibri"/>
              </w:rPr>
            </w:pPr>
            <w:r w:rsidRPr="008654CF">
              <w:rPr>
                <w:rFonts w:ascii="Calibri" w:hAnsi="Calibri" w:cs="Calibri"/>
              </w:rPr>
              <w:t>139,150</w:t>
            </w:r>
          </w:p>
        </w:tc>
        <w:tc>
          <w:tcPr>
            <w:tcW w:w="663" w:type="dxa"/>
            <w:tcBorders>
              <w:right w:val="nil"/>
            </w:tcBorders>
            <w:shd w:val="clear" w:color="auto" w:fill="auto"/>
            <w:vAlign w:val="bottom"/>
          </w:tcPr>
          <w:p w14:paraId="6D0EEBC5" w14:textId="5281C46D" w:rsidR="00B250D7" w:rsidRPr="008654CF" w:rsidRDefault="000778CB" w:rsidP="0050257A">
            <w:pPr>
              <w:jc w:val="center"/>
              <w:rPr>
                <w:rFonts w:ascii="Calibri" w:hAnsi="Calibri" w:cs="Calibri"/>
              </w:rPr>
            </w:pPr>
            <w:r w:rsidRPr="008654CF">
              <w:rPr>
                <w:rFonts w:ascii="Calibri" w:hAnsi="Calibri" w:cs="Calibri"/>
              </w:rPr>
              <w:t>2019</w:t>
            </w:r>
          </w:p>
        </w:tc>
        <w:tc>
          <w:tcPr>
            <w:tcW w:w="2172" w:type="dxa"/>
            <w:tcBorders>
              <w:left w:val="nil"/>
            </w:tcBorders>
            <w:shd w:val="clear" w:color="auto" w:fill="auto"/>
            <w:vAlign w:val="bottom"/>
          </w:tcPr>
          <w:p w14:paraId="7077E0CB" w14:textId="5759604A" w:rsidR="00B250D7" w:rsidRPr="008654CF" w:rsidRDefault="000778CB" w:rsidP="0050257A">
            <w:pPr>
              <w:jc w:val="center"/>
              <w:rPr>
                <w:rFonts w:ascii="Calibri" w:hAnsi="Calibri" w:cs="Calibri"/>
              </w:rPr>
            </w:pPr>
            <w:r w:rsidRPr="008654CF">
              <w:rPr>
                <w:rFonts w:ascii="Calibri" w:hAnsi="Calibri" w:cs="Calibri"/>
              </w:rPr>
              <w:t>529,6</w:t>
            </w:r>
            <w:r w:rsidR="008F3413">
              <w:rPr>
                <w:rFonts w:ascii="Calibri" w:hAnsi="Calibri" w:cs="Calibri"/>
              </w:rPr>
              <w:t>1</w:t>
            </w:r>
            <w:r w:rsidRPr="008654CF">
              <w:rPr>
                <w:rFonts w:ascii="Calibri" w:hAnsi="Calibri" w:cs="Calibri"/>
              </w:rPr>
              <w:t>0*</w:t>
            </w:r>
          </w:p>
        </w:tc>
      </w:tr>
      <w:tr w:rsidR="008654CF" w:rsidRPr="008654CF" w14:paraId="03E3047C" w14:textId="77777777" w:rsidTr="0050257A">
        <w:trPr>
          <w:trHeight w:val="300"/>
        </w:trPr>
        <w:tc>
          <w:tcPr>
            <w:tcW w:w="1413" w:type="dxa"/>
            <w:tcBorders>
              <w:right w:val="nil"/>
            </w:tcBorders>
            <w:shd w:val="clear" w:color="auto" w:fill="auto"/>
            <w:noWrap/>
            <w:vAlign w:val="bottom"/>
            <w:hideMark/>
          </w:tcPr>
          <w:p w14:paraId="5B497029" w14:textId="77777777" w:rsidR="00B250D7" w:rsidRPr="008654CF" w:rsidRDefault="00B250D7" w:rsidP="0050257A">
            <w:pPr>
              <w:jc w:val="center"/>
              <w:rPr>
                <w:rFonts w:ascii="Calibri" w:hAnsi="Calibri" w:cs="Calibri"/>
              </w:rPr>
            </w:pPr>
            <w:r w:rsidRPr="008654CF">
              <w:rPr>
                <w:rFonts w:ascii="Calibri" w:hAnsi="Calibri" w:cs="Calibri"/>
              </w:rPr>
              <w:t>2012</w:t>
            </w:r>
          </w:p>
        </w:tc>
        <w:tc>
          <w:tcPr>
            <w:tcW w:w="1700" w:type="dxa"/>
            <w:tcBorders>
              <w:left w:val="nil"/>
            </w:tcBorders>
            <w:shd w:val="clear" w:color="auto" w:fill="auto"/>
            <w:noWrap/>
            <w:vAlign w:val="bottom"/>
            <w:hideMark/>
          </w:tcPr>
          <w:p w14:paraId="2B60B45B" w14:textId="77777777" w:rsidR="00B250D7" w:rsidRPr="008654CF" w:rsidRDefault="00B250D7" w:rsidP="0050257A">
            <w:pPr>
              <w:jc w:val="center"/>
              <w:rPr>
                <w:rFonts w:ascii="Calibri" w:hAnsi="Calibri" w:cs="Calibri"/>
              </w:rPr>
            </w:pPr>
            <w:r w:rsidRPr="008654CF">
              <w:rPr>
                <w:rFonts w:ascii="Calibri" w:hAnsi="Calibri" w:cs="Calibri"/>
              </w:rPr>
              <w:t>181,030</w:t>
            </w:r>
          </w:p>
        </w:tc>
        <w:tc>
          <w:tcPr>
            <w:tcW w:w="663" w:type="dxa"/>
            <w:tcBorders>
              <w:right w:val="nil"/>
            </w:tcBorders>
            <w:shd w:val="clear" w:color="auto" w:fill="auto"/>
            <w:vAlign w:val="bottom"/>
          </w:tcPr>
          <w:p w14:paraId="37F3CA45" w14:textId="1ACFD6CB" w:rsidR="00B250D7" w:rsidRPr="008654CF" w:rsidRDefault="000778CB" w:rsidP="0050257A">
            <w:pPr>
              <w:jc w:val="center"/>
              <w:rPr>
                <w:rFonts w:ascii="Calibri" w:hAnsi="Calibri" w:cs="Calibri"/>
              </w:rPr>
            </w:pPr>
            <w:r w:rsidRPr="008654CF">
              <w:rPr>
                <w:rFonts w:ascii="Calibri" w:hAnsi="Calibri" w:cs="Calibri"/>
              </w:rPr>
              <w:t>2020</w:t>
            </w:r>
          </w:p>
        </w:tc>
        <w:tc>
          <w:tcPr>
            <w:tcW w:w="2172" w:type="dxa"/>
            <w:tcBorders>
              <w:left w:val="nil"/>
            </w:tcBorders>
            <w:shd w:val="clear" w:color="auto" w:fill="auto"/>
            <w:vAlign w:val="bottom"/>
          </w:tcPr>
          <w:p w14:paraId="1EA39049" w14:textId="5E85D486" w:rsidR="00B250D7" w:rsidRPr="008654CF" w:rsidRDefault="000778CB" w:rsidP="0050257A">
            <w:pPr>
              <w:jc w:val="center"/>
              <w:rPr>
                <w:rFonts w:ascii="Calibri" w:hAnsi="Calibri" w:cs="Calibri"/>
              </w:rPr>
            </w:pPr>
            <w:r w:rsidRPr="008654CF">
              <w:rPr>
                <w:rFonts w:ascii="Calibri" w:hAnsi="Calibri" w:cs="Calibri"/>
              </w:rPr>
              <w:t>434</w:t>
            </w:r>
            <w:r w:rsidR="00BF4A81">
              <w:rPr>
                <w:rFonts w:ascii="Calibri" w:hAnsi="Calibri" w:cs="Calibri"/>
              </w:rPr>
              <w:t>,</w:t>
            </w:r>
            <w:r w:rsidR="008F3413">
              <w:rPr>
                <w:rFonts w:ascii="Calibri" w:hAnsi="Calibri" w:cs="Calibri"/>
              </w:rPr>
              <w:t>150</w:t>
            </w:r>
            <w:r w:rsidRPr="008654CF">
              <w:rPr>
                <w:rFonts w:ascii="Calibri" w:hAnsi="Calibri" w:cs="Calibri"/>
              </w:rPr>
              <w:t>*</w:t>
            </w:r>
          </w:p>
        </w:tc>
      </w:tr>
      <w:tr w:rsidR="008654CF" w:rsidRPr="008654CF" w14:paraId="6FDA9B7E" w14:textId="77777777" w:rsidTr="0050257A">
        <w:tc>
          <w:tcPr>
            <w:tcW w:w="1413" w:type="dxa"/>
            <w:tcBorders>
              <w:right w:val="nil"/>
            </w:tcBorders>
            <w:shd w:val="clear" w:color="auto" w:fill="auto"/>
            <w:noWrap/>
            <w:vAlign w:val="bottom"/>
            <w:hideMark/>
          </w:tcPr>
          <w:p w14:paraId="372FB2DC" w14:textId="77777777" w:rsidR="00B250D7" w:rsidRPr="008654CF" w:rsidRDefault="00B250D7" w:rsidP="0050257A">
            <w:pPr>
              <w:jc w:val="center"/>
              <w:rPr>
                <w:rFonts w:ascii="Calibri" w:hAnsi="Calibri" w:cs="Calibri"/>
              </w:rPr>
            </w:pPr>
            <w:r w:rsidRPr="008654CF">
              <w:rPr>
                <w:rFonts w:ascii="Calibri" w:hAnsi="Calibri" w:cs="Calibri"/>
              </w:rPr>
              <w:t>2013</w:t>
            </w:r>
          </w:p>
        </w:tc>
        <w:tc>
          <w:tcPr>
            <w:tcW w:w="1700" w:type="dxa"/>
            <w:tcBorders>
              <w:left w:val="nil"/>
            </w:tcBorders>
            <w:shd w:val="clear" w:color="auto" w:fill="auto"/>
            <w:noWrap/>
            <w:vAlign w:val="bottom"/>
            <w:hideMark/>
          </w:tcPr>
          <w:p w14:paraId="3BED6309" w14:textId="77777777" w:rsidR="00B250D7" w:rsidRPr="008654CF" w:rsidRDefault="00B250D7" w:rsidP="0050257A">
            <w:pPr>
              <w:jc w:val="center"/>
              <w:rPr>
                <w:rFonts w:ascii="Calibri" w:hAnsi="Calibri" w:cs="Calibri"/>
              </w:rPr>
            </w:pPr>
            <w:r w:rsidRPr="008654CF">
              <w:rPr>
                <w:rFonts w:ascii="Calibri" w:hAnsi="Calibri" w:cs="Calibri"/>
              </w:rPr>
              <w:t>222,361</w:t>
            </w:r>
          </w:p>
        </w:tc>
        <w:tc>
          <w:tcPr>
            <w:tcW w:w="663" w:type="dxa"/>
            <w:tcBorders>
              <w:right w:val="nil"/>
            </w:tcBorders>
            <w:shd w:val="clear" w:color="auto" w:fill="auto"/>
            <w:vAlign w:val="bottom"/>
          </w:tcPr>
          <w:p w14:paraId="1CFD2431" w14:textId="0B668446" w:rsidR="00B250D7" w:rsidRPr="008654CF" w:rsidRDefault="000778CB" w:rsidP="0050257A">
            <w:pPr>
              <w:jc w:val="center"/>
              <w:rPr>
                <w:rFonts w:ascii="Calibri" w:hAnsi="Calibri" w:cs="Calibri"/>
              </w:rPr>
            </w:pPr>
            <w:r>
              <w:rPr>
                <w:rFonts w:ascii="Calibri" w:hAnsi="Calibri" w:cs="Calibri"/>
              </w:rPr>
              <w:t>2021</w:t>
            </w:r>
          </w:p>
        </w:tc>
        <w:tc>
          <w:tcPr>
            <w:tcW w:w="2172" w:type="dxa"/>
            <w:tcBorders>
              <w:left w:val="nil"/>
            </w:tcBorders>
            <w:shd w:val="clear" w:color="auto" w:fill="auto"/>
            <w:vAlign w:val="bottom"/>
          </w:tcPr>
          <w:p w14:paraId="36623010" w14:textId="527110F7" w:rsidR="00B250D7" w:rsidRPr="008654CF" w:rsidRDefault="008F3413" w:rsidP="0050257A">
            <w:pPr>
              <w:jc w:val="center"/>
              <w:rPr>
                <w:rFonts w:ascii="Calibri" w:hAnsi="Calibri" w:cs="Calibri"/>
              </w:rPr>
            </w:pPr>
            <w:r>
              <w:rPr>
                <w:rFonts w:ascii="Calibri" w:hAnsi="Calibri" w:cs="Calibri"/>
              </w:rPr>
              <w:t>618</w:t>
            </w:r>
            <w:r w:rsidR="00BF4A81">
              <w:rPr>
                <w:rFonts w:ascii="Calibri" w:hAnsi="Calibri" w:cs="Calibri"/>
              </w:rPr>
              <w:t>,</w:t>
            </w:r>
            <w:r>
              <w:rPr>
                <w:rFonts w:ascii="Calibri" w:hAnsi="Calibri" w:cs="Calibri"/>
              </w:rPr>
              <w:t>950**</w:t>
            </w:r>
          </w:p>
        </w:tc>
      </w:tr>
      <w:tr w:rsidR="008654CF" w:rsidRPr="008654CF" w14:paraId="3E2938FC" w14:textId="77777777" w:rsidTr="0050257A">
        <w:tc>
          <w:tcPr>
            <w:tcW w:w="1413" w:type="dxa"/>
            <w:tcBorders>
              <w:right w:val="nil"/>
            </w:tcBorders>
            <w:shd w:val="clear" w:color="auto" w:fill="auto"/>
            <w:noWrap/>
            <w:vAlign w:val="bottom"/>
          </w:tcPr>
          <w:p w14:paraId="308C2E21" w14:textId="77777777" w:rsidR="00B250D7" w:rsidRPr="008654CF" w:rsidRDefault="00B250D7" w:rsidP="0050257A">
            <w:pPr>
              <w:jc w:val="center"/>
              <w:rPr>
                <w:rFonts w:ascii="Calibri" w:hAnsi="Calibri" w:cs="Calibri"/>
              </w:rPr>
            </w:pPr>
            <w:r w:rsidRPr="008654CF">
              <w:rPr>
                <w:rFonts w:ascii="Calibri" w:hAnsi="Calibri" w:cs="Calibri"/>
              </w:rPr>
              <w:t>2014</w:t>
            </w:r>
          </w:p>
        </w:tc>
        <w:tc>
          <w:tcPr>
            <w:tcW w:w="1700" w:type="dxa"/>
            <w:tcBorders>
              <w:left w:val="nil"/>
            </w:tcBorders>
            <w:shd w:val="clear" w:color="auto" w:fill="auto"/>
            <w:noWrap/>
            <w:vAlign w:val="bottom"/>
          </w:tcPr>
          <w:p w14:paraId="0CD27D7C" w14:textId="77777777" w:rsidR="00B250D7" w:rsidRPr="008654CF" w:rsidRDefault="00B250D7" w:rsidP="0050257A">
            <w:pPr>
              <w:jc w:val="center"/>
              <w:rPr>
                <w:rFonts w:ascii="Calibri" w:hAnsi="Calibri" w:cs="Calibri"/>
              </w:rPr>
            </w:pPr>
            <w:r w:rsidRPr="008654CF">
              <w:rPr>
                <w:rFonts w:ascii="Calibri" w:hAnsi="Calibri" w:cs="Calibri"/>
              </w:rPr>
              <w:t>342,000</w:t>
            </w:r>
          </w:p>
        </w:tc>
        <w:tc>
          <w:tcPr>
            <w:tcW w:w="663" w:type="dxa"/>
            <w:tcBorders>
              <w:right w:val="nil"/>
            </w:tcBorders>
            <w:shd w:val="clear" w:color="auto" w:fill="auto"/>
            <w:vAlign w:val="bottom"/>
          </w:tcPr>
          <w:p w14:paraId="0224BB31" w14:textId="2B1435E0" w:rsidR="00B250D7" w:rsidRPr="008654CF" w:rsidRDefault="000778CB" w:rsidP="0050257A">
            <w:pPr>
              <w:jc w:val="center"/>
              <w:rPr>
                <w:rFonts w:ascii="Calibri" w:hAnsi="Calibri" w:cs="Calibri"/>
              </w:rPr>
            </w:pPr>
            <w:r>
              <w:rPr>
                <w:rFonts w:ascii="Calibri" w:hAnsi="Calibri" w:cs="Calibri"/>
              </w:rPr>
              <w:t>2022</w:t>
            </w:r>
          </w:p>
        </w:tc>
        <w:tc>
          <w:tcPr>
            <w:tcW w:w="2172" w:type="dxa"/>
            <w:tcBorders>
              <w:left w:val="nil"/>
            </w:tcBorders>
            <w:shd w:val="clear" w:color="auto" w:fill="auto"/>
            <w:vAlign w:val="bottom"/>
          </w:tcPr>
          <w:p w14:paraId="562E02AB" w14:textId="7D83972D" w:rsidR="00B250D7" w:rsidRPr="008654CF" w:rsidRDefault="00291516" w:rsidP="0050257A">
            <w:pPr>
              <w:jc w:val="center"/>
              <w:rPr>
                <w:rFonts w:ascii="Calibri" w:hAnsi="Calibri" w:cs="Calibri"/>
              </w:rPr>
            </w:pPr>
            <w:r>
              <w:rPr>
                <w:rFonts w:ascii="Calibri" w:hAnsi="Calibri" w:cs="Calibri"/>
              </w:rPr>
              <w:t>781</w:t>
            </w:r>
            <w:r w:rsidR="00BF4A81">
              <w:rPr>
                <w:rFonts w:ascii="Calibri" w:hAnsi="Calibri" w:cs="Calibri"/>
              </w:rPr>
              <w:t>,</w:t>
            </w:r>
            <w:r>
              <w:rPr>
                <w:rFonts w:ascii="Calibri" w:hAnsi="Calibri" w:cs="Calibri"/>
              </w:rPr>
              <w:t>600**</w:t>
            </w:r>
          </w:p>
        </w:tc>
      </w:tr>
      <w:tr w:rsidR="000778CB" w:rsidRPr="008654CF" w14:paraId="4F54E3AD" w14:textId="77777777" w:rsidTr="0050257A">
        <w:tc>
          <w:tcPr>
            <w:tcW w:w="1413" w:type="dxa"/>
            <w:tcBorders>
              <w:right w:val="nil"/>
            </w:tcBorders>
            <w:shd w:val="clear" w:color="auto" w:fill="auto"/>
            <w:noWrap/>
            <w:vAlign w:val="bottom"/>
          </w:tcPr>
          <w:p w14:paraId="27FC75F3" w14:textId="1975CFF9" w:rsidR="000778CB" w:rsidRPr="008654CF" w:rsidRDefault="000778CB" w:rsidP="0050257A">
            <w:pPr>
              <w:jc w:val="center"/>
              <w:rPr>
                <w:rFonts w:ascii="Calibri" w:hAnsi="Calibri" w:cs="Calibri"/>
              </w:rPr>
            </w:pPr>
            <w:r w:rsidRPr="008654CF">
              <w:rPr>
                <w:rFonts w:ascii="Calibri" w:hAnsi="Calibri" w:cs="Calibri"/>
              </w:rPr>
              <w:t>2015</w:t>
            </w:r>
          </w:p>
        </w:tc>
        <w:tc>
          <w:tcPr>
            <w:tcW w:w="1700" w:type="dxa"/>
            <w:tcBorders>
              <w:left w:val="nil"/>
            </w:tcBorders>
            <w:shd w:val="clear" w:color="auto" w:fill="auto"/>
            <w:noWrap/>
            <w:vAlign w:val="bottom"/>
          </w:tcPr>
          <w:p w14:paraId="1B45A7AC" w14:textId="1791FA2A" w:rsidR="000778CB" w:rsidRPr="008654CF" w:rsidRDefault="000778CB" w:rsidP="0050257A">
            <w:pPr>
              <w:jc w:val="center"/>
              <w:rPr>
                <w:rFonts w:ascii="Calibri" w:hAnsi="Calibri" w:cs="Calibri"/>
              </w:rPr>
            </w:pPr>
            <w:r w:rsidRPr="008654CF">
              <w:rPr>
                <w:rFonts w:ascii="Calibri" w:hAnsi="Calibri" w:cs="Calibri"/>
              </w:rPr>
              <w:t>443,069</w:t>
            </w:r>
          </w:p>
        </w:tc>
        <w:tc>
          <w:tcPr>
            <w:tcW w:w="663" w:type="dxa"/>
            <w:tcBorders>
              <w:right w:val="nil"/>
            </w:tcBorders>
            <w:shd w:val="clear" w:color="auto" w:fill="auto"/>
            <w:vAlign w:val="bottom"/>
          </w:tcPr>
          <w:p w14:paraId="5A3E3FE5" w14:textId="48411DF1" w:rsidR="000778CB" w:rsidRPr="008654CF" w:rsidRDefault="000778CB" w:rsidP="0050257A">
            <w:pPr>
              <w:jc w:val="center"/>
              <w:rPr>
                <w:rFonts w:ascii="Calibri" w:hAnsi="Calibri" w:cs="Calibri"/>
              </w:rPr>
            </w:pPr>
            <w:r>
              <w:rPr>
                <w:rFonts w:ascii="Calibri" w:hAnsi="Calibri" w:cs="Calibri"/>
              </w:rPr>
              <w:t>2023</w:t>
            </w:r>
          </w:p>
        </w:tc>
        <w:tc>
          <w:tcPr>
            <w:tcW w:w="2172" w:type="dxa"/>
            <w:tcBorders>
              <w:left w:val="nil"/>
            </w:tcBorders>
            <w:shd w:val="clear" w:color="auto" w:fill="auto"/>
            <w:vAlign w:val="bottom"/>
          </w:tcPr>
          <w:p w14:paraId="2126248C" w14:textId="5F94AA33" w:rsidR="000778CB" w:rsidRPr="008654CF" w:rsidRDefault="00291516" w:rsidP="0050257A">
            <w:pPr>
              <w:jc w:val="center"/>
              <w:rPr>
                <w:rFonts w:ascii="Calibri" w:hAnsi="Calibri" w:cs="Calibri"/>
              </w:rPr>
            </w:pPr>
            <w:r>
              <w:rPr>
                <w:rFonts w:ascii="Calibri" w:hAnsi="Calibri" w:cs="Calibri"/>
              </w:rPr>
              <w:t>668</w:t>
            </w:r>
            <w:r w:rsidR="00BF4A81">
              <w:rPr>
                <w:rFonts w:ascii="Calibri" w:hAnsi="Calibri" w:cs="Calibri"/>
              </w:rPr>
              <w:t>,</w:t>
            </w:r>
            <w:r w:rsidR="008F3413">
              <w:rPr>
                <w:rFonts w:ascii="Calibri" w:hAnsi="Calibri" w:cs="Calibri"/>
              </w:rPr>
              <w:t>89</w:t>
            </w:r>
            <w:r>
              <w:rPr>
                <w:rFonts w:ascii="Calibri" w:hAnsi="Calibri" w:cs="Calibri"/>
              </w:rPr>
              <w:t>0**</w:t>
            </w:r>
          </w:p>
        </w:tc>
      </w:tr>
    </w:tbl>
    <w:p w14:paraId="6A293068" w14:textId="056E0609" w:rsidR="00B250D7" w:rsidRPr="008654CF" w:rsidRDefault="00B250D7" w:rsidP="00DE0864">
      <w:pPr>
        <w:pStyle w:val="RARMPPara"/>
        <w:numPr>
          <w:ilvl w:val="0"/>
          <w:numId w:val="0"/>
        </w:numPr>
        <w:spacing w:before="120"/>
        <w:ind w:left="142" w:right="140"/>
      </w:pPr>
      <w:r w:rsidRPr="008654CF">
        <w:rPr>
          <w:sz w:val="20"/>
          <w:szCs w:val="20"/>
        </w:rPr>
        <w:t xml:space="preserve">*Information provided by </w:t>
      </w:r>
      <w:bookmarkStart w:id="8" w:name="_Hlk160096040"/>
      <w:r w:rsidRPr="008654CF">
        <w:rPr>
          <w:sz w:val="20"/>
          <w:szCs w:val="20"/>
        </w:rPr>
        <w:t xml:space="preserve">Monsanto Australia Ltd </w:t>
      </w:r>
      <w:bookmarkEnd w:id="8"/>
      <w:r w:rsidRPr="008654CF">
        <w:rPr>
          <w:sz w:val="20"/>
          <w:szCs w:val="20"/>
        </w:rPr>
        <w:t xml:space="preserve">in annual reports, available on the </w:t>
      </w:r>
      <w:hyperlink r:id="rId25" w:history="1">
        <w:r w:rsidRPr="008654CF">
          <w:rPr>
            <w:rStyle w:val="Hyperlink"/>
            <w:color w:val="auto"/>
            <w:sz w:val="20"/>
            <w:szCs w:val="20"/>
          </w:rPr>
          <w:t>OGTR website</w:t>
        </w:r>
      </w:hyperlink>
      <w:r w:rsidRPr="008654CF">
        <w:rPr>
          <w:sz w:val="20"/>
          <w:szCs w:val="20"/>
        </w:rPr>
        <w:t>.</w:t>
      </w:r>
      <w:r w:rsidR="008F3413">
        <w:rPr>
          <w:sz w:val="20"/>
          <w:szCs w:val="20"/>
        </w:rPr>
        <w:t xml:space="preserve">; **information provided </w:t>
      </w:r>
      <w:r w:rsidR="00D94AEC">
        <w:rPr>
          <w:sz w:val="20"/>
          <w:szCs w:val="20"/>
        </w:rPr>
        <w:t xml:space="preserve">by </w:t>
      </w:r>
      <w:r w:rsidR="00D94AEC" w:rsidRPr="00D94AEC">
        <w:rPr>
          <w:sz w:val="20"/>
          <w:szCs w:val="20"/>
        </w:rPr>
        <w:t>Monsanto Australia Ltd</w:t>
      </w:r>
      <w:r w:rsidR="00D94AEC">
        <w:rPr>
          <w:sz w:val="20"/>
          <w:szCs w:val="20"/>
        </w:rPr>
        <w:t xml:space="preserve"> in unpublished reports.</w:t>
      </w:r>
      <w:r w:rsidRPr="008654CF">
        <w:rPr>
          <w:sz w:val="20"/>
          <w:szCs w:val="20"/>
        </w:rPr>
        <w:t xml:space="preserve"> As only the amount of seed planted (kg) was provided in the reports, these approximate planted area figures were derived using the seeding rate of 2kg seed/ha</w:t>
      </w:r>
      <w:r w:rsidR="00372225">
        <w:rPr>
          <w:sz w:val="20"/>
          <w:szCs w:val="20"/>
        </w:rPr>
        <w:t xml:space="preserve"> </w:t>
      </w:r>
      <w:r w:rsidR="00372225">
        <w:rPr>
          <w:sz w:val="20"/>
          <w:szCs w:val="20"/>
        </w:rPr>
        <w:fldChar w:fldCharType="begin"/>
      </w:r>
      <w:r w:rsidR="00372225">
        <w:rPr>
          <w:sz w:val="20"/>
          <w:szCs w:val="20"/>
        </w:rPr>
        <w:instrText xml:space="preserve"> ADDIN EN.CITE &lt;EndNote&gt;&lt;Cite&gt;&lt;Author&gt;OGTR&lt;/Author&gt;&lt;Year&gt;2024&lt;/Year&gt;&lt;RecNum&gt;21&lt;/RecNum&gt;&lt;DisplayText&gt;(OGTR, 2024)&lt;/DisplayText&gt;&lt;record&gt;&lt;rec-number&gt;21&lt;/rec-number&gt;&lt;foreign-keys&gt;&lt;key app="EN" db-id="wsespvvsn5zaaiezt58x59pxfad0z9xvwtt0" timestamp="1718957337"&gt;21&lt;/key&gt;&lt;/foreign-keys&gt;&lt;ref-type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 &lt;/style&gt;&lt;/title&gt;&lt;/titles&gt;&lt;dates&gt;&lt;year&gt;2024&lt;/year&gt;&lt;/dates&gt;&lt;pub-location&gt;Canberra, Australia&lt;/pub-location&gt;&lt;publisher&gt;Office of the Gene Technology Regulator&lt;/publisher&gt;&lt;urls&gt;&lt;/urls&gt;&lt;/record&gt;&lt;/Cite&gt;&lt;/EndNote&gt;</w:instrText>
      </w:r>
      <w:r w:rsidR="00372225">
        <w:rPr>
          <w:sz w:val="20"/>
          <w:szCs w:val="20"/>
        </w:rPr>
        <w:fldChar w:fldCharType="separate"/>
      </w:r>
      <w:r w:rsidR="00372225">
        <w:rPr>
          <w:noProof/>
          <w:sz w:val="20"/>
          <w:szCs w:val="20"/>
        </w:rPr>
        <w:t>(OGTR, 2024)</w:t>
      </w:r>
      <w:r w:rsidR="00372225">
        <w:rPr>
          <w:sz w:val="20"/>
          <w:szCs w:val="20"/>
        </w:rPr>
        <w:fldChar w:fldCharType="end"/>
      </w:r>
      <w:r w:rsidRPr="008654CF">
        <w:rPr>
          <w:sz w:val="20"/>
          <w:szCs w:val="20"/>
        </w:rPr>
        <w:t>.</w:t>
      </w:r>
      <w:r w:rsidRPr="008654CF">
        <w:t xml:space="preserve">  </w:t>
      </w:r>
    </w:p>
    <w:p w14:paraId="2AE4DE6B" w14:textId="659470AB" w:rsidR="000B0D88" w:rsidRPr="008654CF" w:rsidRDefault="000B0D88" w:rsidP="00D45D6D">
      <w:pPr>
        <w:pStyle w:val="Heading4"/>
        <w:spacing w:before="240" w:after="120"/>
      </w:pPr>
      <w:r w:rsidRPr="008654CF">
        <w:t>Previous Risk Assessment</w:t>
      </w:r>
      <w:r w:rsidR="0023169B" w:rsidRPr="008654CF">
        <w:t>s</w:t>
      </w:r>
    </w:p>
    <w:p w14:paraId="6E0C5B80" w14:textId="2A3CCFDF" w:rsidR="00295293" w:rsidRPr="008654CF" w:rsidRDefault="00295293" w:rsidP="00295293">
      <w:pPr>
        <w:pStyle w:val="RARMPPara"/>
      </w:pPr>
      <w:r w:rsidRPr="008654CF">
        <w:t xml:space="preserve">The weed risk potential of canola has been assessed using methodology based on the </w:t>
      </w:r>
      <w:r w:rsidRPr="008654CF">
        <w:rPr>
          <w:i/>
        </w:rPr>
        <w:t>National Post-Border Weed Risk Management Protocol</w:t>
      </w:r>
      <w:r w:rsidR="00372225">
        <w:t xml:space="preserve"> </w:t>
      </w:r>
      <w:r w:rsidR="00372225">
        <w:fldChar w:fldCharType="begin"/>
      </w:r>
      <w:r w:rsidR="00372225">
        <w:instrText xml:space="preserve"> ADDIN EN.CITE &lt;EndNote&gt;&lt;Cite&gt;&lt;Author&gt;OGTR&lt;/Author&gt;&lt;Year&gt;2024&lt;/Year&gt;&lt;RecNum&gt;21&lt;/RecNum&gt;&lt;Prefix&gt;see the Appendix`, &lt;/Prefix&gt;&lt;DisplayText&gt;(see the Appendix, OGTR, 2024)&lt;/DisplayText&gt;&lt;record&gt;&lt;rec-number&gt;21&lt;/rec-number&gt;&lt;foreign-keys&gt;&lt;key app="EN" db-id="wsespvvsn5zaaiezt58x59pxfad0z9xvwtt0" timestamp="1718957337"&gt;21&lt;/key&gt;&lt;/foreign-keys&gt;&lt;ref-type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 &lt;/style&gt;&lt;/title&gt;&lt;/titles&gt;&lt;dates&gt;&lt;year&gt;2024&lt;/year&gt;&lt;/dates&gt;&lt;pub-location&gt;Canberra, Australia&lt;/pub-location&gt;&lt;publisher&gt;Office of the Gene Technology Regulator&lt;/publisher&gt;&lt;urls&gt;&lt;/urls&gt;&lt;/record&gt;&lt;/Cite&gt;&lt;/EndNote&gt;</w:instrText>
      </w:r>
      <w:r w:rsidR="00372225">
        <w:fldChar w:fldCharType="separate"/>
      </w:r>
      <w:r w:rsidR="00372225">
        <w:rPr>
          <w:noProof/>
        </w:rPr>
        <w:t>(see the Appendix, OGTR, 2024)</w:t>
      </w:r>
      <w:r w:rsidR="00372225">
        <w:fldChar w:fldCharType="end"/>
      </w:r>
      <w:r w:rsidRPr="008654CF">
        <w:t>. As a volunteer (rather than as a crop), non-GM canola is considered to exhibit the following potential to cause harm:</w:t>
      </w:r>
    </w:p>
    <w:p w14:paraId="6B1F2E57" w14:textId="77777777" w:rsidR="00295293" w:rsidRPr="008654CF" w:rsidRDefault="00295293" w:rsidP="00295293">
      <w:pPr>
        <w:pStyle w:val="RARMPPara"/>
        <w:numPr>
          <w:ilvl w:val="0"/>
          <w:numId w:val="14"/>
        </w:numPr>
        <w:tabs>
          <w:tab w:val="clear" w:pos="567"/>
          <w:tab w:val="left" w:pos="709"/>
        </w:tabs>
        <w:ind w:hanging="294"/>
      </w:pPr>
      <w:r w:rsidRPr="008654CF">
        <w:t xml:space="preserve">low potential to negatively affect the health of animals and/or </w:t>
      </w:r>
      <w:proofErr w:type="gramStart"/>
      <w:r w:rsidRPr="008654CF">
        <w:t>people</w:t>
      </w:r>
      <w:proofErr w:type="gramEnd"/>
    </w:p>
    <w:p w14:paraId="2641AEBA" w14:textId="77777777" w:rsidR="00295293" w:rsidRPr="008654CF" w:rsidRDefault="00295293" w:rsidP="0032307F">
      <w:pPr>
        <w:pStyle w:val="RARMPPara"/>
        <w:numPr>
          <w:ilvl w:val="0"/>
          <w:numId w:val="14"/>
        </w:numPr>
        <w:tabs>
          <w:tab w:val="clear" w:pos="567"/>
          <w:tab w:val="left" w:pos="709"/>
        </w:tabs>
        <w:ind w:hanging="294"/>
      </w:pPr>
      <w:r w:rsidRPr="008654CF">
        <w:t xml:space="preserve">limited ability to reduce the establishment or yield of desired </w:t>
      </w:r>
      <w:proofErr w:type="gramStart"/>
      <w:r w:rsidRPr="008654CF">
        <w:t>plants</w:t>
      </w:r>
      <w:proofErr w:type="gramEnd"/>
    </w:p>
    <w:p w14:paraId="40D8D76F" w14:textId="77777777" w:rsidR="00295293" w:rsidRPr="008654CF" w:rsidRDefault="00295293" w:rsidP="00295293">
      <w:pPr>
        <w:pStyle w:val="RARMPPara"/>
        <w:numPr>
          <w:ilvl w:val="0"/>
          <w:numId w:val="14"/>
        </w:numPr>
        <w:tabs>
          <w:tab w:val="clear" w:pos="567"/>
          <w:tab w:val="left" w:pos="709"/>
        </w:tabs>
        <w:ind w:hanging="294"/>
      </w:pPr>
      <w:r w:rsidRPr="008654CF">
        <w:t xml:space="preserve">low ability to reduce the quality of products or services obtained from land </w:t>
      </w:r>
      <w:proofErr w:type="gramStart"/>
      <w:r w:rsidRPr="008654CF">
        <w:t>uses</w:t>
      </w:r>
      <w:proofErr w:type="gramEnd"/>
    </w:p>
    <w:p w14:paraId="4CABD76A" w14:textId="11B6D044" w:rsidR="00295293" w:rsidRPr="008654CF" w:rsidRDefault="00295293" w:rsidP="001F4449">
      <w:pPr>
        <w:pStyle w:val="RARMPPara"/>
        <w:numPr>
          <w:ilvl w:val="0"/>
          <w:numId w:val="14"/>
        </w:numPr>
        <w:tabs>
          <w:tab w:val="clear" w:pos="567"/>
          <w:tab w:val="left" w:pos="709"/>
        </w:tabs>
        <w:ind w:hanging="294"/>
      </w:pPr>
      <w:r w:rsidRPr="008654CF">
        <w:t>moderate potential to act as a reservoir for pests or pathogens</w:t>
      </w:r>
      <w:r w:rsidR="00372225">
        <w:t xml:space="preserve"> </w:t>
      </w:r>
      <w:r w:rsidR="00372225">
        <w:fldChar w:fldCharType="begin"/>
      </w:r>
      <w:r w:rsidR="00372225">
        <w:instrText xml:space="preserve"> ADDIN EN.CITE &lt;EndNote&gt;&lt;Cite&gt;&lt;Author&gt;OGTR&lt;/Author&gt;&lt;Year&gt;2024&lt;/Year&gt;&lt;RecNum&gt;21&lt;/RecNum&gt;&lt;DisplayText&gt;(OGTR, 2024)&lt;/DisplayText&gt;&lt;record&gt;&lt;rec-number&gt;21&lt;/rec-number&gt;&lt;foreign-keys&gt;&lt;key app="EN" db-id="wsespvvsn5zaaiezt58x59pxfad0z9xvwtt0" timestamp="1718957337"&gt;21&lt;/key&gt;&lt;/foreign-keys&gt;&lt;ref-type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 &lt;/style&gt;&lt;/title&gt;&lt;/titles&gt;&lt;dates&gt;&lt;year&gt;2024&lt;/year&gt;&lt;/dates&gt;&lt;pub-location&gt;Canberra, Australia&lt;/pub-location&gt;&lt;publisher&gt;Office of the Gene Technology Regulator&lt;/publisher&gt;&lt;urls&gt;&lt;/urls&gt;&lt;/record&gt;&lt;/Cite&gt;&lt;/EndNote&gt;</w:instrText>
      </w:r>
      <w:r w:rsidR="00372225">
        <w:fldChar w:fldCharType="separate"/>
      </w:r>
      <w:r w:rsidR="00372225">
        <w:rPr>
          <w:noProof/>
        </w:rPr>
        <w:t>(OGTR, 2024)</w:t>
      </w:r>
      <w:r w:rsidR="00372225">
        <w:fldChar w:fldCharType="end"/>
      </w:r>
      <w:r w:rsidRPr="008654CF">
        <w:t>.</w:t>
      </w:r>
    </w:p>
    <w:p w14:paraId="3AE48CA7" w14:textId="45B06938" w:rsidR="00507693" w:rsidRPr="008654CF" w:rsidRDefault="00507693" w:rsidP="00923A59">
      <w:pPr>
        <w:pStyle w:val="RARMPPara"/>
      </w:pPr>
      <w:r w:rsidRPr="008654CF">
        <w:t>The RARMP</w:t>
      </w:r>
      <w:r w:rsidR="0023169B" w:rsidRPr="008654CF">
        <w:t>s</w:t>
      </w:r>
      <w:r w:rsidRPr="008654CF">
        <w:t xml:space="preserve"> for DIR </w:t>
      </w:r>
      <w:r w:rsidR="0023169B" w:rsidRPr="008654CF">
        <w:t>020/2002 and DIR 108</w:t>
      </w:r>
      <w:r w:rsidRPr="008654CF">
        <w:t xml:space="preserve"> </w:t>
      </w:r>
      <w:r w:rsidR="0042505F" w:rsidRPr="008654CF">
        <w:t xml:space="preserve">both </w:t>
      </w:r>
      <w:r w:rsidRPr="008654CF">
        <w:t>concluded that the commercial release of the GM c</w:t>
      </w:r>
      <w:r w:rsidR="0023169B" w:rsidRPr="008654CF">
        <w:t>anola</w:t>
      </w:r>
      <w:r w:rsidRPr="008654CF">
        <w:t xml:space="preserve"> varieties </w:t>
      </w:r>
      <w:r w:rsidR="0023169B" w:rsidRPr="008654CF">
        <w:t xml:space="preserve">containing </w:t>
      </w:r>
      <w:r w:rsidR="00E84A83" w:rsidRPr="008654CF">
        <w:t>the GT73 event</w:t>
      </w:r>
      <w:r w:rsidR="00685B9A">
        <w:t xml:space="preserve"> (</w:t>
      </w:r>
      <w:r w:rsidR="00685B9A" w:rsidRPr="008654CF">
        <w:t>MON-ØØØ73-7</w:t>
      </w:r>
      <w:r w:rsidR="00685B9A">
        <w:t>)</w:t>
      </w:r>
      <w:r w:rsidR="00E84A83" w:rsidRPr="008654CF">
        <w:t xml:space="preserve"> </w:t>
      </w:r>
      <w:r w:rsidRPr="008654CF">
        <w:t xml:space="preserve">posed negligible risks to human health and safety and the environment and as such no specific risk treatment measures were imposed. </w:t>
      </w:r>
    </w:p>
    <w:p w14:paraId="4EF16BA6" w14:textId="753F3CE7" w:rsidR="002F475E" w:rsidRPr="008654CF" w:rsidRDefault="004E5B07" w:rsidP="00923A59">
      <w:pPr>
        <w:pStyle w:val="RARMPPara"/>
      </w:pPr>
      <w:r w:rsidRPr="008654CF">
        <w:t>The RARMP</w:t>
      </w:r>
      <w:r w:rsidR="00E84A83" w:rsidRPr="008654CF">
        <w:t>s</w:t>
      </w:r>
      <w:r w:rsidRPr="008654CF">
        <w:t xml:space="preserve"> for </w:t>
      </w:r>
      <w:hyperlink r:id="rId26" w:history="1">
        <w:r w:rsidR="00FE26D6" w:rsidRPr="00FE26D6">
          <w:rPr>
            <w:rStyle w:val="Hyperlink"/>
            <w:color w:val="auto"/>
          </w:rPr>
          <w:t>DIR 020/2002</w:t>
        </w:r>
      </w:hyperlink>
      <w:r w:rsidR="00FE26D6" w:rsidRPr="00FE26D6">
        <w:t xml:space="preserve"> and </w:t>
      </w:r>
      <w:hyperlink r:id="rId27" w:history="1">
        <w:r w:rsidR="00FE26D6" w:rsidRPr="00FE26D6">
          <w:rPr>
            <w:rStyle w:val="Hyperlink"/>
            <w:color w:val="auto"/>
          </w:rPr>
          <w:t>DIR 108</w:t>
        </w:r>
      </w:hyperlink>
      <w:r w:rsidR="00FE26D6">
        <w:t xml:space="preserve"> </w:t>
      </w:r>
      <w:r w:rsidRPr="008654CF">
        <w:t xml:space="preserve">considered information on the </w:t>
      </w:r>
      <w:r w:rsidR="0031203E" w:rsidRPr="008654CF">
        <w:t>introduc</w:t>
      </w:r>
      <w:r w:rsidRPr="008654CF">
        <w:t xml:space="preserve">ed </w:t>
      </w:r>
      <w:r w:rsidR="00A8612F" w:rsidRPr="008654CF">
        <w:rPr>
          <w:i/>
        </w:rPr>
        <w:t>goxv247</w:t>
      </w:r>
      <w:r w:rsidR="00A8612F" w:rsidRPr="008654CF">
        <w:t xml:space="preserve"> and </w:t>
      </w:r>
      <w:r w:rsidR="00A8612F" w:rsidRPr="008654CF">
        <w:rPr>
          <w:i/>
        </w:rPr>
        <w:t xml:space="preserve">cp4 </w:t>
      </w:r>
      <w:proofErr w:type="spellStart"/>
      <w:r w:rsidR="00A8612F" w:rsidRPr="008654CF">
        <w:rPr>
          <w:i/>
        </w:rPr>
        <w:t>epsps</w:t>
      </w:r>
      <w:proofErr w:type="spellEnd"/>
      <w:r w:rsidR="00A8612F" w:rsidRPr="008654CF">
        <w:t xml:space="preserve"> </w:t>
      </w:r>
      <w:r w:rsidRPr="008654CF">
        <w:t>genes and the pathways in which they are involved, the proteins encoded by the genes, the stability of the transgenes, detailed molecular characterisation</w:t>
      </w:r>
      <w:r w:rsidR="00A8612F" w:rsidRPr="008654CF">
        <w:t xml:space="preserve"> and phenotypic </w:t>
      </w:r>
      <w:r w:rsidR="001E76A4" w:rsidRPr="008654CF">
        <w:t>characterisation</w:t>
      </w:r>
      <w:r w:rsidRPr="008654CF">
        <w:t xml:space="preserve">. </w:t>
      </w:r>
      <w:r w:rsidR="002F475E" w:rsidRPr="008654CF">
        <w:t>Credible pathways to harm considered in the RARMP</w:t>
      </w:r>
      <w:r w:rsidR="001E76A4" w:rsidRPr="008654CF">
        <w:t xml:space="preserve">s </w:t>
      </w:r>
      <w:r w:rsidR="002F475E" w:rsidRPr="008654CF">
        <w:t xml:space="preserve">included exposure of people or other organisms through contact with or ingestion of </w:t>
      </w:r>
      <w:r w:rsidR="00F634B4">
        <w:t>GM canola</w:t>
      </w:r>
      <w:r w:rsidR="001E76A4" w:rsidRPr="008654CF">
        <w:t>,</w:t>
      </w:r>
      <w:r w:rsidR="002F475E" w:rsidRPr="008654CF">
        <w:t xml:space="preserve"> spread and persistence of </w:t>
      </w:r>
      <w:r w:rsidR="00F634B4">
        <w:t xml:space="preserve">GM canola </w:t>
      </w:r>
      <w:r w:rsidR="002F475E" w:rsidRPr="008654CF">
        <w:t xml:space="preserve">plants </w:t>
      </w:r>
      <w:r w:rsidR="0031203E" w:rsidRPr="008654CF">
        <w:t xml:space="preserve">in agricultural areas and in </w:t>
      </w:r>
      <w:r w:rsidR="00CC1F35" w:rsidRPr="008654CF">
        <w:t xml:space="preserve">undisturbed natural habitats, </w:t>
      </w:r>
      <w:r w:rsidR="00D718D5" w:rsidRPr="008654CF">
        <w:t xml:space="preserve">gene transfer to other canola </w:t>
      </w:r>
      <w:r w:rsidR="00CF7A80" w:rsidRPr="008654CF">
        <w:t>plants and related species (including weedy species)</w:t>
      </w:r>
      <w:r w:rsidR="00D718D5" w:rsidRPr="008654CF">
        <w:t>,</w:t>
      </w:r>
      <w:r w:rsidR="002F475E" w:rsidRPr="008654CF">
        <w:t xml:space="preserve"> leading to increased toxicity or allergenicity in people or increased toxicity in other desirable organisms, reduced establishment</w:t>
      </w:r>
      <w:r w:rsidR="0042505F" w:rsidRPr="008654CF">
        <w:t xml:space="preserve">, </w:t>
      </w:r>
      <w:r w:rsidR="009123CA" w:rsidRPr="008654CF">
        <w:t>yield</w:t>
      </w:r>
      <w:r w:rsidR="0042505F" w:rsidRPr="008654CF">
        <w:t xml:space="preserve"> and/or </w:t>
      </w:r>
      <w:r w:rsidR="009123CA" w:rsidRPr="008654CF">
        <w:t>quality</w:t>
      </w:r>
      <w:r w:rsidR="002F475E" w:rsidRPr="008654CF">
        <w:t xml:space="preserve"> of desirable plants</w:t>
      </w:r>
      <w:r w:rsidR="0042505F" w:rsidRPr="008654CF">
        <w:t>,</w:t>
      </w:r>
      <w:r w:rsidR="002F475E" w:rsidRPr="008654CF">
        <w:t xml:space="preserve"> and </w:t>
      </w:r>
      <w:r w:rsidR="009123CA" w:rsidRPr="008654CF">
        <w:t>impact on</w:t>
      </w:r>
      <w:r w:rsidR="002F475E" w:rsidRPr="008654CF">
        <w:t xml:space="preserve"> biodiversity.</w:t>
      </w:r>
    </w:p>
    <w:p w14:paraId="46F38A27" w14:textId="77777777" w:rsidR="00316DF5" w:rsidRPr="008654CF" w:rsidRDefault="00FD1FE8" w:rsidP="00056877">
      <w:pPr>
        <w:pStyle w:val="RARMPPara"/>
      </w:pPr>
      <w:r w:rsidRPr="008654CF">
        <w:t>The principal reasons for the conclusion of negligible risks were:</w:t>
      </w:r>
      <w:r w:rsidR="00056877" w:rsidRPr="008654CF">
        <w:t xml:space="preserve"> </w:t>
      </w:r>
    </w:p>
    <w:p w14:paraId="13B029C6" w14:textId="64C7F625" w:rsidR="0032307F" w:rsidRPr="008654CF" w:rsidRDefault="00056877" w:rsidP="0032307F">
      <w:pPr>
        <w:pStyle w:val="RARMPPara"/>
        <w:numPr>
          <w:ilvl w:val="0"/>
          <w:numId w:val="21"/>
        </w:numPr>
        <w:tabs>
          <w:tab w:val="clear" w:pos="567"/>
          <w:tab w:val="left" w:pos="709"/>
        </w:tabs>
        <w:ind w:hanging="294"/>
      </w:pPr>
      <w:proofErr w:type="spellStart"/>
      <w:r w:rsidRPr="008654CF">
        <w:t>the</w:t>
      </w:r>
      <w:proofErr w:type="spellEnd"/>
      <w:r w:rsidRPr="008654CF">
        <w:t xml:space="preserve"> introduced proteins are not considered toxic or allergenic to people, or toxic to other desirable </w:t>
      </w:r>
      <w:proofErr w:type="gramStart"/>
      <w:r w:rsidRPr="008654CF">
        <w:t>organisms</w:t>
      </w:r>
      <w:proofErr w:type="gramEnd"/>
    </w:p>
    <w:p w14:paraId="611899F5" w14:textId="7C505A0D" w:rsidR="0032307F" w:rsidRPr="008654CF" w:rsidRDefault="00056877" w:rsidP="0032307F">
      <w:pPr>
        <w:pStyle w:val="RARMPPara"/>
        <w:numPr>
          <w:ilvl w:val="0"/>
          <w:numId w:val="21"/>
        </w:numPr>
        <w:tabs>
          <w:tab w:val="clear" w:pos="567"/>
          <w:tab w:val="left" w:pos="709"/>
        </w:tabs>
        <w:ind w:hanging="294"/>
      </w:pPr>
      <w:r w:rsidRPr="008654CF">
        <w:t xml:space="preserve">the GM canola and other GM crops containing the introduced </w:t>
      </w:r>
      <w:r w:rsidR="00BE063C" w:rsidRPr="008654CF">
        <w:rPr>
          <w:i/>
          <w:iCs/>
        </w:rPr>
        <w:t>goxv247</w:t>
      </w:r>
      <w:r w:rsidR="00BE063C" w:rsidRPr="008654CF">
        <w:t xml:space="preserve"> and </w:t>
      </w:r>
      <w:r w:rsidR="00BE063C" w:rsidRPr="008654CF">
        <w:rPr>
          <w:i/>
          <w:iCs/>
        </w:rPr>
        <w:t xml:space="preserve">cp4 </w:t>
      </w:r>
      <w:proofErr w:type="spellStart"/>
      <w:r w:rsidR="00BE063C" w:rsidRPr="008654CF">
        <w:rPr>
          <w:i/>
          <w:iCs/>
        </w:rPr>
        <w:t>epsps</w:t>
      </w:r>
      <w:proofErr w:type="spellEnd"/>
      <w:r w:rsidR="00BE063C" w:rsidRPr="008654CF">
        <w:t xml:space="preserve"> </w:t>
      </w:r>
      <w:r w:rsidRPr="008654CF">
        <w:t xml:space="preserve">genes have a history of safe use in Australia and </w:t>
      </w:r>
      <w:proofErr w:type="gramStart"/>
      <w:r w:rsidRPr="008654CF">
        <w:t>overseas</w:t>
      </w:r>
      <w:proofErr w:type="gramEnd"/>
    </w:p>
    <w:p w14:paraId="3A18D506" w14:textId="42E6F38E" w:rsidR="0032307F" w:rsidRPr="008654CF" w:rsidRDefault="00056877" w:rsidP="0032307F">
      <w:pPr>
        <w:pStyle w:val="RARMPPara"/>
        <w:numPr>
          <w:ilvl w:val="0"/>
          <w:numId w:val="21"/>
        </w:numPr>
        <w:tabs>
          <w:tab w:val="clear" w:pos="567"/>
          <w:tab w:val="left" w:pos="709"/>
        </w:tabs>
        <w:ind w:hanging="294"/>
      </w:pPr>
      <w:r w:rsidRPr="008654CF">
        <w:t>the</w:t>
      </w:r>
      <w:r w:rsidR="007612D8" w:rsidRPr="008654CF">
        <w:t xml:space="preserve"> same or similar proteins encoded by the introduced genes </w:t>
      </w:r>
      <w:r w:rsidRPr="008654CF">
        <w:t xml:space="preserve">are widespread in the </w:t>
      </w:r>
      <w:proofErr w:type="gramStart"/>
      <w:r w:rsidRPr="008654CF">
        <w:t>environment</w:t>
      </w:r>
      <w:proofErr w:type="gramEnd"/>
    </w:p>
    <w:p w14:paraId="53785A96" w14:textId="12F87F96" w:rsidR="0032307F" w:rsidRPr="008654CF" w:rsidRDefault="00056877" w:rsidP="0032307F">
      <w:pPr>
        <w:pStyle w:val="RARMPPara"/>
        <w:numPr>
          <w:ilvl w:val="0"/>
          <w:numId w:val="21"/>
        </w:numPr>
        <w:tabs>
          <w:tab w:val="clear" w:pos="567"/>
          <w:tab w:val="left" w:pos="709"/>
        </w:tabs>
        <w:ind w:hanging="294"/>
      </w:pPr>
      <w:r w:rsidRPr="008654CF">
        <w:t xml:space="preserve">the GM canola and </w:t>
      </w:r>
      <w:r w:rsidR="00333D6A" w:rsidRPr="008654CF">
        <w:t>its</w:t>
      </w:r>
      <w:r w:rsidRPr="008654CF">
        <w:t xml:space="preserve"> progeny can be controlled using integrated weed management</w:t>
      </w:r>
      <w:r w:rsidR="009C0F06" w:rsidRPr="008654CF">
        <w:t xml:space="preserve"> </w:t>
      </w:r>
      <w:proofErr w:type="gramStart"/>
      <w:r w:rsidR="009C0F06" w:rsidRPr="008654CF">
        <w:t>practices</w:t>
      </w:r>
      <w:proofErr w:type="gramEnd"/>
    </w:p>
    <w:p w14:paraId="036C5B8A" w14:textId="65B10777" w:rsidR="00316DF5" w:rsidRPr="008654CF" w:rsidRDefault="00056877" w:rsidP="0032307F">
      <w:pPr>
        <w:pStyle w:val="RARMPPara"/>
        <w:numPr>
          <w:ilvl w:val="0"/>
          <w:numId w:val="21"/>
        </w:numPr>
        <w:tabs>
          <w:tab w:val="clear" w:pos="567"/>
          <w:tab w:val="left" w:pos="709"/>
        </w:tabs>
        <w:ind w:hanging="294"/>
      </w:pPr>
      <w:r w:rsidRPr="008654CF">
        <w:t xml:space="preserve">the GM canola has limited capacity to survive in </w:t>
      </w:r>
      <w:r w:rsidR="007612D8" w:rsidRPr="008654CF">
        <w:t xml:space="preserve">undisturbed </w:t>
      </w:r>
      <w:r w:rsidRPr="008654CF">
        <w:t xml:space="preserve">natural habitats. </w:t>
      </w:r>
    </w:p>
    <w:p w14:paraId="1BFB8CEA" w14:textId="0C50D239" w:rsidR="004E5B07" w:rsidRPr="008654CF" w:rsidRDefault="00056877" w:rsidP="00056877">
      <w:pPr>
        <w:pStyle w:val="RARMPPara"/>
      </w:pPr>
      <w:r w:rsidRPr="008654CF">
        <w:t xml:space="preserve">In addition, food made from the GM canola has been assessed and approved by </w:t>
      </w:r>
      <w:r w:rsidR="0042505F" w:rsidRPr="008654CF">
        <w:t>FSANZ</w:t>
      </w:r>
      <w:r w:rsidRPr="008654CF">
        <w:t xml:space="preserve"> as safe for human consumption</w:t>
      </w:r>
      <w:r w:rsidR="0050257A" w:rsidRPr="008654CF">
        <w:t xml:space="preserve"> </w:t>
      </w:r>
      <w:r w:rsidR="0050257A" w:rsidRPr="008654CF">
        <w:fldChar w:fldCharType="begin"/>
      </w:r>
      <w:r w:rsidR="0050257A" w:rsidRPr="008654CF">
        <w:instrText xml:space="preserve"> ADDIN EN.CITE &lt;EndNote&gt;&lt;Cite&gt;&lt;Author&gt;ANZFA&lt;/Author&gt;&lt;Year&gt;2000&lt;/Year&gt;&lt;RecNum&gt;23310&lt;/RecNum&gt;&lt;DisplayText&gt;(ANZFA, 2000)&lt;/DisplayText&gt;&lt;record&gt;&lt;rec-number&gt;23310&lt;/rec-number&gt;&lt;foreign-keys&gt;&lt;key app="EN" db-id="avrzt5sv7wwaa2epps1vzttcw5r5awswf02e" timestamp="1608177117"&gt;23310&lt;/key&gt;&lt;/foreign-keys&gt;&lt;ref-type name="Report"&gt;27&lt;/ref-type&gt;&lt;contributors&gt;&lt;authors&gt;&lt;author&gt;ANZFA&lt;/author&gt;&lt;/authors&gt;&lt;/contributors&gt;&lt;titles&gt;&lt;title&gt;Final risk analysis report - Application A363: Food produced from glyphosate-tolerant canola line GT73&lt;/title&gt;&lt;/titles&gt;&lt;keywords&gt;&lt;keyword&gt;Brassica napus&lt;/keyword&gt;&lt;keyword&gt;canola&lt;/keyword&gt;&lt;keyword&gt;canola oil&lt;/keyword&gt;&lt;keyword&gt;CP4 EPSPS&lt;/keyword&gt;&lt;keyword&gt;glyphosate&lt;/keyword&gt;&lt;keyword&gt;glyphosate-tolerant&lt;/keyword&gt;&lt;keyword&gt;goxv247&lt;/keyword&gt;&lt;keyword&gt;Monsanto&lt;/keyword&gt;&lt;keyword&gt;Roundup Ready&lt;/keyword&gt;&lt;/keywords&gt;&lt;dates&gt;&lt;year&gt;2000&lt;/year&gt;&lt;pub-dates&gt;&lt;date&gt;2000&lt;/date&gt;&lt;/pub-dates&gt;&lt;/dates&gt;&lt;pub-location&gt;Canberra, Australia&lt;/pub-location&gt;&lt;publisher&gt;Australia New Zealand Food Authority&lt;/publisher&gt;&lt;label&gt;1552&lt;/label&gt;&lt;urls&gt;&lt;related-urls&gt;&lt;url&gt;http://www.foodstandards.gov.au/code/applications/documents/A363%20draft%20IR.pdf&lt;/url&gt;&lt;/related-urls&gt;&lt;/urls&gt;&lt;/record&gt;&lt;/Cite&gt;&lt;/EndNote&gt;</w:instrText>
      </w:r>
      <w:r w:rsidR="0050257A" w:rsidRPr="008654CF">
        <w:fldChar w:fldCharType="separate"/>
      </w:r>
      <w:r w:rsidR="0050257A" w:rsidRPr="008654CF">
        <w:rPr>
          <w:noProof/>
        </w:rPr>
        <w:t>(ANZFA, 2000)</w:t>
      </w:r>
      <w:r w:rsidR="0050257A" w:rsidRPr="008654CF">
        <w:fldChar w:fldCharType="end"/>
      </w:r>
      <w:r w:rsidRPr="008654CF">
        <w:t>.</w:t>
      </w:r>
      <w:r w:rsidR="004E5B07" w:rsidRPr="008654CF">
        <w:t xml:space="preserve"> </w:t>
      </w:r>
    </w:p>
    <w:p w14:paraId="67BD5DA9" w14:textId="5DE32EFD" w:rsidR="00247EC1" w:rsidRPr="008654CF" w:rsidRDefault="00247EC1" w:rsidP="00247EC1">
      <w:pPr>
        <w:pStyle w:val="Heading2"/>
      </w:pPr>
      <w:r w:rsidRPr="008654CF">
        <w:t xml:space="preserve">Risk assessment: evaluation of new information </w:t>
      </w:r>
    </w:p>
    <w:p w14:paraId="6F78961B" w14:textId="5478CDF0" w:rsidR="004E5B07" w:rsidRPr="008654CF" w:rsidRDefault="004E5B07" w:rsidP="00D45D6D">
      <w:pPr>
        <w:pStyle w:val="Heading3"/>
        <w:spacing w:before="240" w:after="120"/>
      </w:pPr>
      <w:r w:rsidRPr="008654CF">
        <w:t xml:space="preserve">Information received as part of DIR </w:t>
      </w:r>
      <w:r w:rsidR="002B3FA7" w:rsidRPr="008654CF">
        <w:t>020/2002</w:t>
      </w:r>
      <w:r w:rsidRPr="008654CF">
        <w:t xml:space="preserve"> licence </w:t>
      </w:r>
      <w:proofErr w:type="gramStart"/>
      <w:r w:rsidRPr="008654CF">
        <w:t>conditions</w:t>
      </w:r>
      <w:proofErr w:type="gramEnd"/>
    </w:p>
    <w:p w14:paraId="5CEC445D" w14:textId="55A623AD" w:rsidR="002F475E" w:rsidRPr="008654CF" w:rsidRDefault="00BC39EF" w:rsidP="00BC39EF">
      <w:pPr>
        <w:pStyle w:val="RARMPPara"/>
      </w:pPr>
      <w:r w:rsidRPr="008654CF">
        <w:t xml:space="preserve">DIR licence conditions require reporting </w:t>
      </w:r>
      <w:r w:rsidR="002B3FA7" w:rsidRPr="008654CF">
        <w:t xml:space="preserve">by the licence holder </w:t>
      </w:r>
      <w:r w:rsidRPr="008654CF">
        <w:t xml:space="preserve">of any information about any adverse impacts, unintended effects, or new information relating to risks to human health and safety or the environment caused by the GMOs or material from the GMOs. </w:t>
      </w:r>
      <w:r w:rsidR="00555655" w:rsidRPr="008654CF">
        <w:t>There have been no report</w:t>
      </w:r>
      <w:r w:rsidR="00287A85" w:rsidRPr="008654CF">
        <w:t>s</w:t>
      </w:r>
      <w:r w:rsidR="00555655" w:rsidRPr="008654CF">
        <w:t xml:space="preserve"> of any adverse or unintended effects from</w:t>
      </w:r>
      <w:r w:rsidR="00F77F79" w:rsidRPr="008654CF">
        <w:t xml:space="preserve"> </w:t>
      </w:r>
      <w:r w:rsidR="00555655" w:rsidRPr="008654CF">
        <w:t xml:space="preserve">commercial cultivation of </w:t>
      </w:r>
      <w:r w:rsidR="009C6F7A" w:rsidRPr="008654CF">
        <w:t>MON-ØØØ73-7</w:t>
      </w:r>
      <w:r w:rsidR="00685B9A">
        <w:t xml:space="preserve"> canola</w:t>
      </w:r>
      <w:r w:rsidR="009C6F7A" w:rsidRPr="008654CF">
        <w:t xml:space="preserve"> </w:t>
      </w:r>
      <w:r w:rsidR="0046682D" w:rsidRPr="008654CF">
        <w:t>in</w:t>
      </w:r>
      <w:r w:rsidR="00555655" w:rsidRPr="008654CF">
        <w:t xml:space="preserve"> the </w:t>
      </w:r>
      <w:r w:rsidRPr="008654CF">
        <w:t xml:space="preserve">Annual </w:t>
      </w:r>
      <w:r w:rsidR="00555655" w:rsidRPr="008654CF">
        <w:t>R</w:t>
      </w:r>
      <w:r w:rsidRPr="008654CF">
        <w:t xml:space="preserve">eports for DIR </w:t>
      </w:r>
      <w:r w:rsidR="002B3FA7" w:rsidRPr="008654CF">
        <w:t>020/2002</w:t>
      </w:r>
      <w:r w:rsidR="00E03DEC" w:rsidRPr="008654CF">
        <w:t xml:space="preserve"> since 2008</w:t>
      </w:r>
      <w:r w:rsidR="0046682D" w:rsidRPr="008654CF">
        <w:t xml:space="preserve">, when </w:t>
      </w:r>
      <w:r w:rsidR="00074836" w:rsidRPr="008654CF">
        <w:t xml:space="preserve">MON-ØØØ73-7 </w:t>
      </w:r>
      <w:r w:rsidR="005820F3" w:rsidRPr="008654CF">
        <w:t>canola</w:t>
      </w:r>
      <w:r w:rsidR="0046682D" w:rsidRPr="008654CF">
        <w:t xml:space="preserve"> was first planted </w:t>
      </w:r>
      <w:r w:rsidR="00611A40" w:rsidRPr="008654CF">
        <w:t>i</w:t>
      </w:r>
      <w:r w:rsidR="0046682D" w:rsidRPr="008654CF">
        <w:t>n Australia</w:t>
      </w:r>
      <w:r w:rsidRPr="008654CF">
        <w:t>.</w:t>
      </w:r>
    </w:p>
    <w:p w14:paraId="7ACBB062" w14:textId="61B390CB" w:rsidR="00637CBD" w:rsidRPr="008654CF" w:rsidRDefault="00D401D7" w:rsidP="00637CBD">
      <w:pPr>
        <w:pStyle w:val="RARMPPara"/>
      </w:pPr>
      <w:r w:rsidRPr="008654CF">
        <w:t xml:space="preserve">Since </w:t>
      </w:r>
      <w:r w:rsidR="00507693" w:rsidRPr="008654CF">
        <w:t>licence</w:t>
      </w:r>
      <w:r w:rsidRPr="008654CF">
        <w:t xml:space="preserve"> DIR </w:t>
      </w:r>
      <w:r w:rsidR="00555655" w:rsidRPr="008654CF">
        <w:t>020/2002</w:t>
      </w:r>
      <w:r w:rsidR="007E354E" w:rsidRPr="008654CF">
        <w:t xml:space="preserve"> was </w:t>
      </w:r>
      <w:r w:rsidR="0042505F" w:rsidRPr="008654CF">
        <w:t>issu</w:t>
      </w:r>
      <w:r w:rsidR="007E354E" w:rsidRPr="008654CF">
        <w:t>ed in 2003 and planting commenced under this licence in 2008</w:t>
      </w:r>
      <w:r w:rsidR="00507693" w:rsidRPr="008654CF">
        <w:t xml:space="preserve">, </w:t>
      </w:r>
      <w:bookmarkStart w:id="9" w:name="_Hlk88826193"/>
      <w:r w:rsidR="00637CBD" w:rsidRPr="008654CF">
        <w:t xml:space="preserve">the Regulator has not received any </w:t>
      </w:r>
      <w:r w:rsidR="0046682D" w:rsidRPr="008654CF">
        <w:t xml:space="preserve">other </w:t>
      </w:r>
      <w:r w:rsidR="00637CBD" w:rsidRPr="008654CF">
        <w:t xml:space="preserve">reports of adverse impacts, unintended effects, or new information relating to risks, to human health and safety or the environment caused by commercial cultivation of </w:t>
      </w:r>
      <w:r w:rsidR="009C6F7A" w:rsidRPr="008654CF">
        <w:t>MON-ØØØ73-7</w:t>
      </w:r>
      <w:r w:rsidR="00685B9A">
        <w:t xml:space="preserve"> canola</w:t>
      </w:r>
      <w:r w:rsidR="009C6F7A" w:rsidRPr="008654CF">
        <w:t xml:space="preserve"> </w:t>
      </w:r>
      <w:bookmarkEnd w:id="9"/>
      <w:r w:rsidR="00637CBD" w:rsidRPr="008654CF">
        <w:t>or material from the GM canola containing the GT73 event.</w:t>
      </w:r>
    </w:p>
    <w:p w14:paraId="6F75A0A9" w14:textId="77777777" w:rsidR="00AA06CF" w:rsidRPr="00383C17" w:rsidRDefault="00AA06CF" w:rsidP="00AA06CF">
      <w:pPr>
        <w:pStyle w:val="Heading3"/>
        <w:spacing w:before="240" w:after="120"/>
      </w:pPr>
      <w:r w:rsidRPr="00383C17">
        <w:t>Plant database searches</w:t>
      </w:r>
    </w:p>
    <w:p w14:paraId="318BAA70" w14:textId="4BCC1D21" w:rsidR="0077060B" w:rsidRPr="008654CF" w:rsidRDefault="0077060B" w:rsidP="0077060B">
      <w:pPr>
        <w:pStyle w:val="RARMPPara"/>
      </w:pPr>
      <w:r w:rsidRPr="008654CF">
        <w:t xml:space="preserve">Despite a long history of commercial cultivation, </w:t>
      </w:r>
      <w:r w:rsidRPr="008654CF">
        <w:rPr>
          <w:i/>
          <w:iCs/>
        </w:rPr>
        <w:t>Brassica napus</w:t>
      </w:r>
      <w:r w:rsidRPr="008654CF">
        <w:t xml:space="preserve"> is not a significant weedy species in Australia. It is not recorded in the </w:t>
      </w:r>
      <w:r w:rsidRPr="008654CF">
        <w:rPr>
          <w:i/>
        </w:rPr>
        <w:t>Weeds of National Significance</w:t>
      </w:r>
      <w:r w:rsidRPr="008654CF">
        <w:t xml:space="preserve"> list (</w:t>
      </w:r>
      <w:hyperlink r:id="rId28" w:history="1">
        <w:r w:rsidRPr="008654CF">
          <w:rPr>
            <w:rStyle w:val="Hyperlink"/>
            <w:color w:val="auto"/>
          </w:rPr>
          <w:t>Weeds Australia website</w:t>
        </w:r>
      </w:hyperlink>
      <w:r w:rsidRPr="008654CF">
        <w:t xml:space="preserve">, accessed </w:t>
      </w:r>
      <w:r w:rsidR="00FE26D6">
        <w:t>July</w:t>
      </w:r>
      <w:r w:rsidRPr="008654CF">
        <w:t xml:space="preserve"> 202</w:t>
      </w:r>
      <w:r w:rsidR="00FE26D6">
        <w:t>4</w:t>
      </w:r>
      <w:r w:rsidRPr="008654CF">
        <w:t xml:space="preserve">), the </w:t>
      </w:r>
      <w:r w:rsidRPr="008654CF">
        <w:rPr>
          <w:i/>
        </w:rPr>
        <w:t>National Environmental Alert</w:t>
      </w:r>
      <w:r w:rsidRPr="008654CF">
        <w:t xml:space="preserve"> </w:t>
      </w:r>
      <w:r w:rsidRPr="008654CF">
        <w:rPr>
          <w:i/>
        </w:rPr>
        <w:t>List</w:t>
      </w:r>
      <w:r w:rsidRPr="008654CF">
        <w:t xml:space="preserve"> (</w:t>
      </w:r>
      <w:hyperlink r:id="rId29" w:history="1">
        <w:r w:rsidRPr="008654CF">
          <w:rPr>
            <w:rStyle w:val="Hyperlink"/>
            <w:color w:val="auto"/>
          </w:rPr>
          <w:t>Weeds Australia website</w:t>
        </w:r>
      </w:hyperlink>
      <w:r w:rsidRPr="008654CF">
        <w:t xml:space="preserve">, accessed </w:t>
      </w:r>
      <w:r w:rsidR="00FE26D6">
        <w:t>July</w:t>
      </w:r>
      <w:r w:rsidRPr="008654CF">
        <w:t xml:space="preserve"> 202</w:t>
      </w:r>
      <w:r w:rsidR="00FE26D6">
        <w:t>4</w:t>
      </w:r>
      <w:r w:rsidRPr="008654CF">
        <w:t xml:space="preserve">) or the Noxious Weed List for Australian States and Territories </w:t>
      </w:r>
      <w:r w:rsidRPr="008654CF">
        <w:fldChar w:fldCharType="begin"/>
      </w:r>
      <w:r w:rsidR="00227C1E" w:rsidRPr="008654CF">
        <w:instrText xml:space="preserve"> ADDIN EN.CITE &lt;EndNote&gt;&lt;Cite&gt;&lt;Author&gt;Invasive Plants and Animals Committee&lt;/Author&gt;&lt;Year&gt;2015&lt;/Year&gt;&lt;RecNum&gt;24736&lt;/RecNum&gt;&lt;DisplayText&gt;(Invasive Plants and Animals Committee, 2015)&lt;/DisplayText&gt;&lt;record&gt;&lt;rec-number&gt;24736&lt;/rec-number&gt;&lt;foreign-keys&gt;&lt;key app="EN" db-id="avrzt5sv7wwaa2epps1vzttcw5r5awswf02e" timestamp="1621825681"&gt;24736&lt;/key&gt;&lt;/foreign-keys&gt;&lt;ref-type name="Report"&gt;27&lt;/ref-type&gt;&lt;contributors&gt;&lt;authors&gt;&lt;author&gt;Invasive Plants and Animals Committee,&lt;/author&gt;&lt;/authors&gt;&lt;/contributors&gt;&lt;titles&gt;&lt;title&gt;Noxious weed list for Australian states and territories&lt;/title&gt;&lt;/titles&gt;&lt;edition&gt;27.00&lt;/edition&gt;&lt;dates&gt;&lt;year&gt;2015&lt;/year&gt;&lt;/dates&gt;&lt;urls&gt;&lt;related-urls&gt;&lt;url&gt;&lt;style face="underline" font="default" size="100%"&gt;http://weeds.ala.org.au/docs/weednet6.pdf&lt;/style&gt;&lt;/url&gt;&lt;/related-urls&gt;&lt;/urls&gt;&lt;/record&gt;&lt;/Cite&gt;&lt;/EndNote&gt;</w:instrText>
      </w:r>
      <w:r w:rsidRPr="008654CF">
        <w:fldChar w:fldCharType="separate"/>
      </w:r>
      <w:r w:rsidRPr="008654CF">
        <w:rPr>
          <w:noProof/>
        </w:rPr>
        <w:t>(Invasive Plants and Animals Committee, 2015)</w:t>
      </w:r>
      <w:r w:rsidRPr="008654CF">
        <w:fldChar w:fldCharType="end"/>
      </w:r>
      <w:r w:rsidRPr="008654CF">
        <w:t>. The introduction of GM canola (mainly herbicide tolerant varieties) in the Australian cropping system has not changed this status.</w:t>
      </w:r>
      <w:r w:rsidR="000070E3" w:rsidRPr="008654CF">
        <w:rPr>
          <w:rFonts w:ascii="Calibri" w:eastAsia="Times New Roman" w:hAnsi="Calibri" w:cs="Times New Roman"/>
          <w:szCs w:val="24"/>
          <w:lang w:eastAsia="en-AU"/>
        </w:rPr>
        <w:t xml:space="preserve"> </w:t>
      </w:r>
      <w:r w:rsidR="000070E3" w:rsidRPr="008654CF">
        <w:t xml:space="preserve">The Western Australian Department of Parks and Wildlife lists feral canola as one of 60 weeds that threaten rail and roadside vegetation by lowering the biodiversity and aesthetic value of the verge, and recommends that management of these weeds be a priority along roads of high conservation value </w:t>
      </w:r>
      <w:r w:rsidR="000070E3" w:rsidRPr="008654CF">
        <w:fldChar w:fldCharType="begin"/>
      </w:r>
      <w:r w:rsidR="000070E3" w:rsidRPr="008654CF">
        <w:instrText xml:space="preserve"> ADDIN EN.CITE &lt;EndNote&gt;&lt;Cite&gt;&lt;Author&gt;Roadside Conservation Committee&lt;/Author&gt;&lt;Year&gt;2014&lt;/Year&gt;&lt;RecNum&gt;19505&lt;/RecNum&gt;&lt;DisplayText&gt;(Roadside Conservation Committee, 2014)&lt;/DisplayText&gt;&lt;record&gt;&lt;rec-number&gt;19505&lt;/rec-number&gt;&lt;foreign-keys&gt;&lt;key app="EN" db-id="avrzt5sv7wwaa2epps1vzttcw5r5awswf02e" timestamp="1503881477"&gt;19505&lt;/key&gt;&lt;/foreign-keys&gt;&lt;ref-type name="Report"&gt;27&lt;/ref-type&gt;&lt;contributors&gt;&lt;authors&gt;&lt;author&gt;Roadside Conservation Committee,&lt;/author&gt;&lt;/authors&gt;&lt;/contributors&gt;&lt;titles&gt;&lt;title&gt;Roadside Environmental Weeds List&lt;/title&gt;&lt;/titles&gt;&lt;keywords&gt;&lt;keyword&gt;roadside&lt;/keyword&gt;&lt;keyword&gt;weeds&lt;/keyword&gt;&lt;keyword&gt;weed&lt;/keyword&gt;&lt;/keywords&gt;&lt;dates&gt;&lt;year&gt;2014&lt;/year&gt;&lt;pub-dates&gt;&lt;date&gt;2014&lt;/date&gt;&lt;/pub-dates&gt;&lt;/dates&gt;&lt;publisher&gt;Department of Parks and Wildlife, Western Australia&lt;/publisher&gt;&lt;label&gt;21041&lt;/label&gt;&lt;urls&gt;&lt;/urls&gt;&lt;/record&gt;&lt;/Cite&gt;&lt;/EndNote&gt;</w:instrText>
      </w:r>
      <w:r w:rsidR="000070E3" w:rsidRPr="008654CF">
        <w:fldChar w:fldCharType="separate"/>
      </w:r>
      <w:r w:rsidR="000070E3" w:rsidRPr="008654CF">
        <w:t>(Roadside Conservation Committee, 2014)</w:t>
      </w:r>
      <w:r w:rsidR="000070E3" w:rsidRPr="008654CF">
        <w:fldChar w:fldCharType="end"/>
      </w:r>
      <w:r w:rsidR="000070E3" w:rsidRPr="008654CF">
        <w:t xml:space="preserve">. However, a </w:t>
      </w:r>
      <w:r w:rsidR="00B51EAC" w:rsidRPr="008654CF">
        <w:t>late</w:t>
      </w:r>
      <w:r w:rsidR="00B51EAC">
        <w:t>r</w:t>
      </w:r>
      <w:r w:rsidR="00B51EAC" w:rsidRPr="008654CF">
        <w:t xml:space="preserve"> </w:t>
      </w:r>
      <w:r w:rsidR="000070E3" w:rsidRPr="008654CF">
        <w:t xml:space="preserve">national weeds data collection survey conducted by ABARES showed that canola is not listed as an established weed causing agricultural, social or environmental impacts </w:t>
      </w:r>
      <w:bookmarkStart w:id="10" w:name="_Hlk106980196"/>
      <w:r w:rsidR="000070E3" w:rsidRPr="008654CF">
        <w:t xml:space="preserve">by weed managers around Australia </w:t>
      </w:r>
      <w:bookmarkStart w:id="11" w:name="_Hlk106980466"/>
      <w:bookmarkEnd w:id="10"/>
      <w:r w:rsidR="000070E3" w:rsidRPr="008654CF">
        <w:fldChar w:fldCharType="begin"/>
      </w:r>
      <w:r w:rsidR="00227C1E" w:rsidRPr="008654CF">
        <w:instrText xml:space="preserve"> ADDIN EN.CITE &lt;EndNote&gt;&lt;Cite&gt;&lt;Author&gt;Ng&lt;/Author&gt;&lt;Year&gt;2021&lt;/Year&gt;&lt;RecNum&gt;24909&lt;/RecNum&gt;&lt;DisplayText&gt;(Ng et al., 2021)&lt;/DisplayText&gt;&lt;record&gt;&lt;rec-number&gt;24909&lt;/rec-number&gt;&lt;foreign-keys&gt;&lt;key app="EN" db-id="avrzt5sv7wwaa2epps1vzttcw5r5awswf02e" timestamp="1634561580"&gt;24909&lt;/key&gt;&lt;/foreign-keys&gt;&lt;ref-type name="Report"&gt;27&lt;/ref-type&gt;&lt;contributors&gt;&lt;authors&gt;&lt;author&gt;Ng, K.&lt;/author&gt;&lt;author&gt;Raphael,B.&lt;/author&gt;&lt;author&gt;Maloney, L.&lt;/author&gt;&lt;author&gt;Evans, J&lt;/author&gt;&lt;author&gt;Parsons, S&lt;/author&gt;&lt;/authors&gt;&lt;/contributors&gt;&lt;titles&gt;&lt;title&gt;The state of weeds data collection in Australia&lt;/title&gt;&lt;/titles&gt;&lt;dates&gt;&lt;year&gt;2021&lt;/year&gt;&lt;/dates&gt;&lt;pub-location&gt;Canberra, Australia&lt;/pub-location&gt;&lt;publisher&gt;Australian Bureau of Agricultural and Resource Economics and Sciences&lt;/publisher&gt;&lt;urls&gt;&lt;/urls&gt;&lt;/record&gt;&lt;/Cite&gt;&lt;/EndNote&gt;</w:instrText>
      </w:r>
      <w:r w:rsidR="000070E3" w:rsidRPr="008654CF">
        <w:fldChar w:fldCharType="separate"/>
      </w:r>
      <w:r w:rsidR="000070E3" w:rsidRPr="008654CF">
        <w:rPr>
          <w:noProof/>
        </w:rPr>
        <w:t>(Ng et al., 2021)</w:t>
      </w:r>
      <w:r w:rsidR="000070E3" w:rsidRPr="008654CF">
        <w:fldChar w:fldCharType="end"/>
      </w:r>
      <w:bookmarkEnd w:id="11"/>
      <w:r w:rsidR="000070E3" w:rsidRPr="008654CF">
        <w:t xml:space="preserve">, indicating that feral canola was not a weed of </w:t>
      </w:r>
      <w:r w:rsidR="00FA6AC1" w:rsidRPr="008654CF">
        <w:t xml:space="preserve">national </w:t>
      </w:r>
      <w:r w:rsidR="000070E3" w:rsidRPr="008654CF">
        <w:t>concern.</w:t>
      </w:r>
    </w:p>
    <w:p w14:paraId="23FC5F9A" w14:textId="436A7AA8" w:rsidR="00AA06CF" w:rsidRPr="008654CF" w:rsidRDefault="00AA06CF" w:rsidP="00AA06CF">
      <w:pPr>
        <w:pStyle w:val="RARMPPara"/>
      </w:pPr>
      <w:r w:rsidRPr="008654CF">
        <w:t xml:space="preserve">The following </w:t>
      </w:r>
      <w:r w:rsidR="005632EF" w:rsidRPr="008654CF">
        <w:t>plant</w:t>
      </w:r>
      <w:r w:rsidRPr="008654CF">
        <w:t xml:space="preserve"> databases were also accessed in </w:t>
      </w:r>
      <w:r w:rsidR="001F5B3A">
        <w:t>February</w:t>
      </w:r>
      <w:r w:rsidR="001F5B3A" w:rsidRPr="008654CF">
        <w:t xml:space="preserve"> </w:t>
      </w:r>
      <w:r w:rsidRPr="008654CF">
        <w:t>202</w:t>
      </w:r>
      <w:r w:rsidR="001F5B3A">
        <w:t>4</w:t>
      </w:r>
      <w:r w:rsidRPr="008654CF">
        <w:t xml:space="preserve"> to search for records of </w:t>
      </w:r>
      <w:r w:rsidRPr="008654CF">
        <w:rPr>
          <w:i/>
          <w:iCs/>
        </w:rPr>
        <w:t>B</w:t>
      </w:r>
      <w:r w:rsidR="00C908F9" w:rsidRPr="008654CF">
        <w:rPr>
          <w:i/>
          <w:iCs/>
        </w:rPr>
        <w:t>. </w:t>
      </w:r>
      <w:r w:rsidRPr="008654CF">
        <w:rPr>
          <w:i/>
          <w:iCs/>
        </w:rPr>
        <w:t>napus</w:t>
      </w:r>
      <w:r w:rsidRPr="008654CF">
        <w:t xml:space="preserve"> in Australia during the period from 2003 (the licence for DIR 020/2002 was issued in December 2003) to 202</w:t>
      </w:r>
      <w:r w:rsidR="003F21FA">
        <w:t>4</w:t>
      </w:r>
      <w:r w:rsidRPr="008654CF">
        <w:t>:</w:t>
      </w:r>
    </w:p>
    <w:p w14:paraId="6B4FE3FA" w14:textId="30C1A12F" w:rsidR="00AA06CF" w:rsidRPr="008654CF" w:rsidRDefault="00AA06CF" w:rsidP="0032307F">
      <w:pPr>
        <w:pStyle w:val="RARMPPara"/>
        <w:numPr>
          <w:ilvl w:val="0"/>
          <w:numId w:val="6"/>
        </w:numPr>
        <w:tabs>
          <w:tab w:val="clear" w:pos="567"/>
          <w:tab w:val="left" w:pos="709"/>
        </w:tabs>
        <w:ind w:hanging="294"/>
      </w:pPr>
      <w:r w:rsidRPr="008654CF">
        <w:t xml:space="preserve">Global Biodiversity Information Facility (GBIF) Backbone Taxonomy. (GBIF Secretariat - </w:t>
      </w:r>
      <w:hyperlink r:id="rId30" w:history="1">
        <w:r w:rsidRPr="008654CF">
          <w:rPr>
            <w:rStyle w:val="Hyperlink"/>
            <w:color w:val="auto"/>
          </w:rPr>
          <w:t>https://doi.org/10.15468/39omei</w:t>
        </w:r>
      </w:hyperlink>
      <w:r w:rsidRPr="008654CF">
        <w:t xml:space="preserve"> Accessed via </w:t>
      </w:r>
      <w:r w:rsidR="00383C17" w:rsidRPr="008654CF">
        <w:t>https://www.gbif.org/occurrence/search?continent=OCEANIA&amp;taxon_key=3042636&amp;year=2003,202</w:t>
      </w:r>
      <w:r w:rsidR="001F5B3A">
        <w:t>4</w:t>
      </w:r>
      <w:r w:rsidRPr="008654CF">
        <w:t xml:space="preserve">). </w:t>
      </w:r>
      <w:r w:rsidR="00083CC0">
        <w:t>181</w:t>
      </w:r>
      <w:r w:rsidR="001F5B3A" w:rsidRPr="008654CF">
        <w:t xml:space="preserve"> </w:t>
      </w:r>
      <w:r w:rsidRPr="008654CF">
        <w:t xml:space="preserve">occurrences listed for </w:t>
      </w:r>
      <w:r w:rsidR="00383C17" w:rsidRPr="008654CF">
        <w:rPr>
          <w:i/>
        </w:rPr>
        <w:t>B. napus</w:t>
      </w:r>
      <w:r w:rsidRPr="008654CF">
        <w:t xml:space="preserve"> from 20</w:t>
      </w:r>
      <w:r w:rsidR="00383C17" w:rsidRPr="008654CF">
        <w:t>03</w:t>
      </w:r>
      <w:r w:rsidRPr="008654CF">
        <w:t xml:space="preserve"> to </w:t>
      </w:r>
      <w:r w:rsidR="00702298" w:rsidRPr="008654CF">
        <w:t>202</w:t>
      </w:r>
      <w:r w:rsidR="00702298">
        <w:t>4</w:t>
      </w:r>
      <w:r w:rsidR="00702298" w:rsidRPr="008654CF">
        <w:t xml:space="preserve"> </w:t>
      </w:r>
      <w:r w:rsidRPr="008654CF">
        <w:t xml:space="preserve">in </w:t>
      </w:r>
      <w:r w:rsidR="001F5B3A">
        <w:t>Australia</w:t>
      </w:r>
      <w:r w:rsidRPr="008654CF">
        <w:t>.</w:t>
      </w:r>
    </w:p>
    <w:p w14:paraId="72E9CF26" w14:textId="1F27A313" w:rsidR="00AA06CF" w:rsidRPr="008654CF" w:rsidRDefault="00AA06CF" w:rsidP="0032307F">
      <w:pPr>
        <w:pStyle w:val="RARMPPara"/>
        <w:numPr>
          <w:ilvl w:val="0"/>
          <w:numId w:val="6"/>
        </w:numPr>
        <w:tabs>
          <w:tab w:val="clear" w:pos="567"/>
          <w:tab w:val="left" w:pos="709"/>
        </w:tabs>
        <w:ind w:hanging="294"/>
      </w:pPr>
      <w:r w:rsidRPr="008654CF">
        <w:t xml:space="preserve">Atlas of Living Australia (ALA - </w:t>
      </w:r>
      <w:hyperlink r:id="rId31" w:history="1">
        <w:r w:rsidRPr="008654CF">
          <w:rPr>
            <w:rStyle w:val="Hyperlink"/>
            <w:color w:val="auto"/>
          </w:rPr>
          <w:t>https://www.ala.org.au/</w:t>
        </w:r>
      </w:hyperlink>
      <w:r w:rsidRPr="008654CF">
        <w:t xml:space="preserve">) showed </w:t>
      </w:r>
      <w:r w:rsidR="00AE74C6" w:rsidRPr="008654CF">
        <w:t xml:space="preserve">over 400 records across all states </w:t>
      </w:r>
      <w:r w:rsidR="000F7B12" w:rsidRPr="008654CF">
        <w:t>in Australia except for Northern Territory</w:t>
      </w:r>
      <w:r w:rsidR="00142CCE" w:rsidRPr="008654CF">
        <w:t xml:space="preserve"> without indication of weedy populations</w:t>
      </w:r>
      <w:r w:rsidRPr="008654CF">
        <w:t>.</w:t>
      </w:r>
    </w:p>
    <w:p w14:paraId="0EBCE336" w14:textId="78EA3F82" w:rsidR="00AA06CF" w:rsidRPr="008654CF" w:rsidRDefault="00AA06CF" w:rsidP="0032307F">
      <w:pPr>
        <w:pStyle w:val="RARMPPara"/>
        <w:numPr>
          <w:ilvl w:val="0"/>
          <w:numId w:val="6"/>
        </w:numPr>
        <w:tabs>
          <w:tab w:val="clear" w:pos="567"/>
          <w:tab w:val="left" w:pos="709"/>
        </w:tabs>
        <w:ind w:hanging="294"/>
      </w:pPr>
      <w:r w:rsidRPr="008654CF">
        <w:t xml:space="preserve">The Australasian Virtual Herbarium (AVH - </w:t>
      </w:r>
      <w:hyperlink r:id="rId32" w:history="1">
        <w:r w:rsidRPr="008654CF">
          <w:rPr>
            <w:rStyle w:val="Hyperlink"/>
            <w:color w:val="auto"/>
          </w:rPr>
          <w:t>https://avh.chah.org.au/</w:t>
        </w:r>
      </w:hyperlink>
      <w:r w:rsidRPr="008654CF">
        <w:t xml:space="preserve">) contained </w:t>
      </w:r>
      <w:r w:rsidR="000F7B12" w:rsidRPr="008654CF">
        <w:t xml:space="preserve">over </w:t>
      </w:r>
      <w:r w:rsidR="001F5B3A">
        <w:t>141</w:t>
      </w:r>
      <w:r w:rsidR="001F5B3A" w:rsidRPr="008654CF">
        <w:t xml:space="preserve"> </w:t>
      </w:r>
      <w:r w:rsidRPr="008654CF">
        <w:t>records</w:t>
      </w:r>
      <w:r w:rsidR="000F7B12" w:rsidRPr="008654CF">
        <w:t xml:space="preserve"> across all states in Australia except for Northern Territory</w:t>
      </w:r>
      <w:r w:rsidR="00142CCE" w:rsidRPr="008654CF">
        <w:t xml:space="preserve"> without indication of weedy populations</w:t>
      </w:r>
      <w:r w:rsidRPr="008654CF">
        <w:t xml:space="preserve">. </w:t>
      </w:r>
    </w:p>
    <w:p w14:paraId="2A8C29D1" w14:textId="7B2BE4B4" w:rsidR="00AA06CF" w:rsidRPr="008654CF" w:rsidRDefault="00AA06CF" w:rsidP="0032307F">
      <w:pPr>
        <w:pStyle w:val="RARMPPara"/>
        <w:numPr>
          <w:ilvl w:val="0"/>
          <w:numId w:val="6"/>
        </w:numPr>
        <w:tabs>
          <w:tab w:val="clear" w:pos="567"/>
          <w:tab w:val="left" w:pos="709"/>
        </w:tabs>
        <w:ind w:hanging="294"/>
      </w:pPr>
      <w:r w:rsidRPr="008654CF">
        <w:t>Individual state floral databases</w:t>
      </w:r>
      <w:r w:rsidR="00415A3E" w:rsidRPr="008654CF">
        <w:t xml:space="preserve"> of </w:t>
      </w:r>
      <w:hyperlink r:id="rId33" w:history="1">
        <w:r w:rsidR="00415A3E" w:rsidRPr="008654CF">
          <w:rPr>
            <w:rStyle w:val="Hyperlink"/>
            <w:color w:val="auto"/>
          </w:rPr>
          <w:t>NSW</w:t>
        </w:r>
      </w:hyperlink>
      <w:r w:rsidR="00415A3E" w:rsidRPr="008654CF">
        <w:t xml:space="preserve">, </w:t>
      </w:r>
      <w:hyperlink r:id="rId34" w:history="1">
        <w:r w:rsidR="00415A3E" w:rsidRPr="008654CF">
          <w:rPr>
            <w:rStyle w:val="Hyperlink"/>
            <w:color w:val="auto"/>
          </w:rPr>
          <w:t>Vic</w:t>
        </w:r>
        <w:r w:rsidR="006A3A4F" w:rsidRPr="008654CF">
          <w:rPr>
            <w:rStyle w:val="Hyperlink"/>
            <w:color w:val="auto"/>
          </w:rPr>
          <w:t>toria</w:t>
        </w:r>
      </w:hyperlink>
      <w:r w:rsidR="00415A3E" w:rsidRPr="008654CF">
        <w:t xml:space="preserve">, </w:t>
      </w:r>
      <w:hyperlink r:id="rId35" w:history="1">
        <w:r w:rsidR="00415A3E" w:rsidRPr="008654CF">
          <w:rPr>
            <w:rStyle w:val="Hyperlink"/>
            <w:color w:val="auto"/>
          </w:rPr>
          <w:t>S</w:t>
        </w:r>
        <w:r w:rsidR="006A3A4F" w:rsidRPr="008654CF">
          <w:rPr>
            <w:rStyle w:val="Hyperlink"/>
            <w:color w:val="auto"/>
          </w:rPr>
          <w:t>outh</w:t>
        </w:r>
        <w:r w:rsidR="0003283C" w:rsidRPr="008654CF">
          <w:rPr>
            <w:rStyle w:val="Hyperlink"/>
            <w:color w:val="auto"/>
          </w:rPr>
          <w:t xml:space="preserve"> </w:t>
        </w:r>
        <w:r w:rsidR="00415A3E" w:rsidRPr="008654CF">
          <w:rPr>
            <w:rStyle w:val="Hyperlink"/>
            <w:color w:val="auto"/>
          </w:rPr>
          <w:t>A</w:t>
        </w:r>
        <w:r w:rsidR="0003283C" w:rsidRPr="008654CF">
          <w:rPr>
            <w:rStyle w:val="Hyperlink"/>
            <w:color w:val="auto"/>
          </w:rPr>
          <w:t>ustralia</w:t>
        </w:r>
      </w:hyperlink>
      <w:r w:rsidR="007A10C0" w:rsidRPr="008654CF">
        <w:t xml:space="preserve">, </w:t>
      </w:r>
      <w:hyperlink r:id="rId36" w:history="1">
        <w:r w:rsidR="007A10C0" w:rsidRPr="008654CF">
          <w:rPr>
            <w:rStyle w:val="Hyperlink"/>
            <w:color w:val="auto"/>
          </w:rPr>
          <w:t>Queensland</w:t>
        </w:r>
      </w:hyperlink>
      <w:r w:rsidR="00415A3E" w:rsidRPr="008654CF">
        <w:t xml:space="preserve"> and </w:t>
      </w:r>
      <w:hyperlink r:id="rId37" w:history="1">
        <w:r w:rsidR="00415A3E" w:rsidRPr="008654CF">
          <w:rPr>
            <w:rStyle w:val="Hyperlink"/>
            <w:color w:val="auto"/>
          </w:rPr>
          <w:t>W</w:t>
        </w:r>
        <w:r w:rsidR="0003283C" w:rsidRPr="008654CF">
          <w:rPr>
            <w:rStyle w:val="Hyperlink"/>
            <w:color w:val="auto"/>
          </w:rPr>
          <w:t xml:space="preserve">estern </w:t>
        </w:r>
        <w:r w:rsidR="00415A3E" w:rsidRPr="008654CF">
          <w:rPr>
            <w:rStyle w:val="Hyperlink"/>
            <w:color w:val="auto"/>
          </w:rPr>
          <w:t>A</w:t>
        </w:r>
        <w:r w:rsidR="0003283C" w:rsidRPr="008654CF">
          <w:rPr>
            <w:rStyle w:val="Hyperlink"/>
            <w:color w:val="auto"/>
          </w:rPr>
          <w:t>ustralia</w:t>
        </w:r>
      </w:hyperlink>
      <w:r w:rsidRPr="008654CF">
        <w:t xml:space="preserve"> (many of which feed into AVH and ALA) record </w:t>
      </w:r>
      <w:r w:rsidR="005A074F" w:rsidRPr="008654CF">
        <w:rPr>
          <w:i/>
        </w:rPr>
        <w:t>B. napus</w:t>
      </w:r>
      <w:r w:rsidRPr="008654CF">
        <w:rPr>
          <w:i/>
        </w:rPr>
        <w:t xml:space="preserve"> </w:t>
      </w:r>
      <w:r w:rsidRPr="008654CF">
        <w:t>as naturalised.</w:t>
      </w:r>
    </w:p>
    <w:p w14:paraId="5E2CF27E" w14:textId="5E23FFE5" w:rsidR="00AA06CF" w:rsidRPr="008654CF" w:rsidRDefault="003D2C2C" w:rsidP="005632EF">
      <w:pPr>
        <w:pStyle w:val="RARMPPara"/>
      </w:pPr>
      <w:r w:rsidRPr="008654CF">
        <w:t>T</w:t>
      </w:r>
      <w:r w:rsidR="00AA06CF" w:rsidRPr="008654CF">
        <w:t>he information available across these databases</w:t>
      </w:r>
      <w:r w:rsidRPr="008654CF">
        <w:t xml:space="preserve"> confirms that</w:t>
      </w:r>
      <w:r w:rsidR="00AA06CF" w:rsidRPr="008654CF">
        <w:t xml:space="preserve"> </w:t>
      </w:r>
      <w:r w:rsidR="00B763E6" w:rsidRPr="008654CF">
        <w:rPr>
          <w:i/>
          <w:iCs/>
        </w:rPr>
        <w:t>B. napus</w:t>
      </w:r>
      <w:r w:rsidR="00B763E6" w:rsidRPr="008654CF">
        <w:t xml:space="preserve"> has naturalised in all </w:t>
      </w:r>
      <w:r w:rsidR="005820F3" w:rsidRPr="008654CF">
        <w:t xml:space="preserve">states in Australia, other than </w:t>
      </w:r>
      <w:r w:rsidR="00BF4A81">
        <w:t xml:space="preserve">the </w:t>
      </w:r>
      <w:r w:rsidR="00B763E6" w:rsidRPr="008654CF">
        <w:t>Northern Territory,</w:t>
      </w:r>
      <w:r w:rsidR="002F2A7D" w:rsidRPr="008654CF">
        <w:t xml:space="preserve"> mainly </w:t>
      </w:r>
      <w:proofErr w:type="gramStart"/>
      <w:r w:rsidR="002F2A7D" w:rsidRPr="008654CF">
        <w:t>as a result of</w:t>
      </w:r>
      <w:proofErr w:type="gramEnd"/>
      <w:r w:rsidR="002F2A7D" w:rsidRPr="008654CF">
        <w:t xml:space="preserve"> occasional escape from cultivation.</w:t>
      </w:r>
      <w:r w:rsidR="00B763E6" w:rsidRPr="008654CF">
        <w:t xml:space="preserve"> </w:t>
      </w:r>
      <w:r w:rsidR="002F2A7D" w:rsidRPr="008654CF">
        <w:t>However</w:t>
      </w:r>
      <w:r w:rsidR="0085229D" w:rsidRPr="008654CF">
        <w:t>,</w:t>
      </w:r>
      <w:r w:rsidR="002F2A7D" w:rsidRPr="008654CF">
        <w:t xml:space="preserve"> </w:t>
      </w:r>
      <w:r w:rsidR="0085229D" w:rsidRPr="008654CF">
        <w:t xml:space="preserve">it is apparent that </w:t>
      </w:r>
      <w:r w:rsidR="00AA06CF" w:rsidRPr="008654CF">
        <w:t xml:space="preserve">no weedy populations have established in Australia since the previous review made under DIR </w:t>
      </w:r>
      <w:r w:rsidR="00415A3E" w:rsidRPr="008654CF">
        <w:t>020/2002</w:t>
      </w:r>
      <w:r w:rsidR="00BB0C17">
        <w:t xml:space="preserve"> and</w:t>
      </w:r>
      <w:r w:rsidR="0085229D" w:rsidRPr="008654CF">
        <w:t xml:space="preserve"> </w:t>
      </w:r>
      <w:r w:rsidR="00BB0C17">
        <w:t>the presence of such populations is</w:t>
      </w:r>
      <w:r w:rsidR="000B5712" w:rsidRPr="000B5712">
        <w:t xml:space="preserve"> considered in </w:t>
      </w:r>
      <w:r w:rsidR="00BB0C17">
        <w:t xml:space="preserve">each </w:t>
      </w:r>
      <w:r w:rsidR="000B5712" w:rsidRPr="000B5712">
        <w:t>RARMP for canola</w:t>
      </w:r>
      <w:r w:rsidR="000B5712">
        <w:t>.</w:t>
      </w:r>
    </w:p>
    <w:p w14:paraId="78A58865" w14:textId="059CEE8F" w:rsidR="00507693" w:rsidRPr="008654CF" w:rsidRDefault="00354F26" w:rsidP="00D45D6D">
      <w:pPr>
        <w:pStyle w:val="Heading3"/>
        <w:spacing w:before="240" w:after="120"/>
      </w:pPr>
      <w:r w:rsidRPr="008654CF">
        <w:t>Evaluation of new information regarding risk</w:t>
      </w:r>
    </w:p>
    <w:p w14:paraId="062F4DD9" w14:textId="0FE79839" w:rsidR="00460416" w:rsidRPr="008654CF" w:rsidRDefault="00354F26" w:rsidP="00923A59">
      <w:pPr>
        <w:pStyle w:val="RARMPPara"/>
      </w:pPr>
      <w:r w:rsidRPr="008654CF">
        <w:t xml:space="preserve">Literature searches to find information published since 2011 were conducted </w:t>
      </w:r>
      <w:r w:rsidR="00641FF3" w:rsidRPr="008654CF">
        <w:t xml:space="preserve">mainly in Google Scholar, but also in Semantic Scholar, NAL Online - AGRICOLA, </w:t>
      </w:r>
      <w:proofErr w:type="spellStart"/>
      <w:r w:rsidR="00641FF3" w:rsidRPr="008654CF">
        <w:t>Proquest</w:t>
      </w:r>
      <w:proofErr w:type="spellEnd"/>
      <w:r w:rsidR="00641FF3" w:rsidRPr="008654CF">
        <w:t xml:space="preserve"> (Agriculture and Environment), and Science Direct </w:t>
      </w:r>
      <w:r w:rsidRPr="008654CF">
        <w:t xml:space="preserve">using the following key words (and combinations of these): </w:t>
      </w:r>
      <w:r w:rsidR="002A6C75" w:rsidRPr="008654CF">
        <w:t>canola, rapeseed, oilseed rape</w:t>
      </w:r>
      <w:r w:rsidRPr="008654CF">
        <w:t xml:space="preserve">, </w:t>
      </w:r>
      <w:r w:rsidR="001514C8" w:rsidRPr="008654CF">
        <w:t xml:space="preserve">GT73, RT73, </w:t>
      </w:r>
      <w:bookmarkStart w:id="12" w:name="_Hlk89776485"/>
      <w:r w:rsidR="002A6C75" w:rsidRPr="008654CF">
        <w:t>MON</w:t>
      </w:r>
      <w:r w:rsidR="000272E2" w:rsidRPr="008654CF">
        <w:t>-</w:t>
      </w:r>
      <w:r w:rsidR="002A6C75" w:rsidRPr="008654CF">
        <w:t>ØØØ73-7</w:t>
      </w:r>
      <w:bookmarkEnd w:id="12"/>
      <w:r w:rsidR="002A6C75" w:rsidRPr="008654CF">
        <w:t xml:space="preserve">, roundup ready canola, </w:t>
      </w:r>
      <w:r w:rsidRPr="008654CF">
        <w:t xml:space="preserve">glyphosate tolerant canola, glyphosate resistant canola, cp4 </w:t>
      </w:r>
      <w:proofErr w:type="spellStart"/>
      <w:r w:rsidRPr="008654CF">
        <w:t>epsps</w:t>
      </w:r>
      <w:proofErr w:type="spellEnd"/>
      <w:r w:rsidRPr="008654CF">
        <w:t xml:space="preserve">, goxv247, </w:t>
      </w:r>
      <w:r w:rsidR="008E6F7D" w:rsidRPr="008654CF">
        <w:t xml:space="preserve">toxicity, </w:t>
      </w:r>
      <w:r w:rsidRPr="008654CF">
        <w:t xml:space="preserve">adverse effects, environmental impacts and human health. </w:t>
      </w:r>
    </w:p>
    <w:p w14:paraId="14B8A35E" w14:textId="0B3173F2" w:rsidR="00C5142C" w:rsidRPr="008654CF" w:rsidRDefault="008E6F7D" w:rsidP="00634874">
      <w:pPr>
        <w:pStyle w:val="Heading4"/>
        <w:spacing w:before="240" w:after="120"/>
      </w:pPr>
      <w:r w:rsidRPr="008654CF">
        <w:t xml:space="preserve">Risks to </w:t>
      </w:r>
      <w:r w:rsidR="008F6CDB" w:rsidRPr="008654CF">
        <w:t xml:space="preserve">health and safety of people and animals </w:t>
      </w:r>
    </w:p>
    <w:p w14:paraId="67E6DF2C" w14:textId="07E3E0D9" w:rsidR="000744C7" w:rsidRPr="008654CF" w:rsidRDefault="00634874" w:rsidP="006539F2">
      <w:pPr>
        <w:pStyle w:val="RARMPPara"/>
      </w:pPr>
      <w:r w:rsidRPr="008654CF">
        <w:t xml:space="preserve">The literature searches did not produce </w:t>
      </w:r>
      <w:r w:rsidR="008E6F7D" w:rsidRPr="008654CF">
        <w:t xml:space="preserve">new </w:t>
      </w:r>
      <w:r w:rsidRPr="008654CF">
        <w:t xml:space="preserve">evidence to support </w:t>
      </w:r>
      <w:r w:rsidRPr="008654CF">
        <w:rPr>
          <w:lang w:val="en"/>
        </w:rPr>
        <w:t xml:space="preserve">negative effects to human health </w:t>
      </w:r>
      <w:proofErr w:type="gramStart"/>
      <w:r w:rsidRPr="008654CF">
        <w:rPr>
          <w:lang w:val="en"/>
        </w:rPr>
        <w:t>as a result of</w:t>
      </w:r>
      <w:proofErr w:type="gramEnd"/>
      <w:r w:rsidRPr="008654CF">
        <w:rPr>
          <w:lang w:val="en"/>
        </w:rPr>
        <w:t xml:space="preserve"> growing and consuming </w:t>
      </w:r>
      <w:r w:rsidR="002342D7" w:rsidRPr="002342D7">
        <w:t>MON-ØØØ73-7</w:t>
      </w:r>
      <w:r w:rsidRPr="008654CF">
        <w:rPr>
          <w:lang w:val="en"/>
        </w:rPr>
        <w:t xml:space="preserve"> canola worldwide.</w:t>
      </w:r>
      <w:r w:rsidR="006539F2" w:rsidRPr="008654CF">
        <w:t xml:space="preserve"> </w:t>
      </w:r>
      <w:r w:rsidR="00FA6AC1" w:rsidRPr="008654CF">
        <w:t>N</w:t>
      </w:r>
      <w:r w:rsidR="000744C7" w:rsidRPr="008654CF">
        <w:t xml:space="preserve">o credible evidence </w:t>
      </w:r>
      <w:r w:rsidR="00FA6AC1" w:rsidRPr="008654CF">
        <w:t xml:space="preserve">was found to </w:t>
      </w:r>
      <w:r w:rsidR="000744C7" w:rsidRPr="008654CF">
        <w:t xml:space="preserve">suggest that </w:t>
      </w:r>
      <w:r w:rsidR="009C6F7A" w:rsidRPr="008654CF">
        <w:t>MON-ØØØ73-7</w:t>
      </w:r>
      <w:r w:rsidR="00685B9A">
        <w:t xml:space="preserve"> canola</w:t>
      </w:r>
      <w:r w:rsidR="009C6F7A" w:rsidRPr="008654CF">
        <w:t xml:space="preserve"> </w:t>
      </w:r>
      <w:r w:rsidR="00FA6AC1" w:rsidRPr="008654CF">
        <w:t>is</w:t>
      </w:r>
      <w:r w:rsidR="000744C7" w:rsidRPr="008654CF">
        <w:t xml:space="preserve"> harmful to humans or livestock or other grazing animals</w:t>
      </w:r>
      <w:r w:rsidR="00FA6AC1" w:rsidRPr="008654CF">
        <w:t xml:space="preserve">, nor were </w:t>
      </w:r>
      <w:r w:rsidR="00A20F8B" w:rsidRPr="008654CF">
        <w:t xml:space="preserve">there </w:t>
      </w:r>
      <w:r w:rsidR="00FA6AC1" w:rsidRPr="008654CF">
        <w:t>any</w:t>
      </w:r>
      <w:r w:rsidR="000744C7" w:rsidRPr="008654CF">
        <w:t xml:space="preserve"> credible reports of any adverse effects from human consumption of oil derived from </w:t>
      </w:r>
      <w:r w:rsidR="009C6F7A" w:rsidRPr="008654CF">
        <w:t>MON-ØØØ73-7</w:t>
      </w:r>
      <w:r w:rsidR="00685B9A">
        <w:t xml:space="preserve"> canola</w:t>
      </w:r>
      <w:r w:rsidR="009C6F7A" w:rsidRPr="008654CF">
        <w:t xml:space="preserve"> </w:t>
      </w:r>
      <w:r w:rsidR="000744C7" w:rsidRPr="008654CF">
        <w:t xml:space="preserve">or feeding </w:t>
      </w:r>
      <w:r w:rsidR="009C6F7A" w:rsidRPr="008654CF">
        <w:t>MON-ØØØ73-7</w:t>
      </w:r>
      <w:r w:rsidR="00685B9A">
        <w:t xml:space="preserve"> canola</w:t>
      </w:r>
      <w:r w:rsidR="009C6F7A" w:rsidRPr="008654CF">
        <w:t xml:space="preserve"> </w:t>
      </w:r>
      <w:r w:rsidR="000744C7" w:rsidRPr="008654CF">
        <w:t>to livestock since its commercialisation in Canada in 1996.</w:t>
      </w:r>
    </w:p>
    <w:p w14:paraId="2A748B50" w14:textId="37DC1291" w:rsidR="001B6A68" w:rsidRPr="008654CF" w:rsidRDefault="000152A7" w:rsidP="00441DE7">
      <w:pPr>
        <w:pStyle w:val="RARMPPara"/>
      </w:pPr>
      <w:r w:rsidRPr="008654CF">
        <w:t xml:space="preserve">There </w:t>
      </w:r>
      <w:r w:rsidR="0046285E" w:rsidRPr="008654CF">
        <w:t xml:space="preserve">is </w:t>
      </w:r>
      <w:r w:rsidRPr="008654CF">
        <w:t xml:space="preserve">some recent literature about herbicide use associated with growing </w:t>
      </w:r>
      <w:r w:rsidR="002342D7">
        <w:t>glyphosate-tolerant</w:t>
      </w:r>
      <w:r w:rsidR="009C6F7A" w:rsidRPr="008654CF">
        <w:t xml:space="preserve"> </w:t>
      </w:r>
      <w:r w:rsidRPr="008654CF">
        <w:t>crops. However, i</w:t>
      </w:r>
      <w:r w:rsidR="00314206" w:rsidRPr="008654CF">
        <w:t xml:space="preserve">ssues regarding effects of herbicides on human health, including </w:t>
      </w:r>
      <w:proofErr w:type="spellStart"/>
      <w:r w:rsidR="00314206" w:rsidRPr="008654CF">
        <w:t>g</w:t>
      </w:r>
      <w:r w:rsidR="001B6A68" w:rsidRPr="008654CF">
        <w:t>l</w:t>
      </w:r>
      <w:r w:rsidR="001B6A68" w:rsidRPr="008654CF">
        <w:rPr>
          <w:lang w:val="en-GB"/>
        </w:rPr>
        <w:t>yphosate</w:t>
      </w:r>
      <w:proofErr w:type="spellEnd"/>
      <w:r w:rsidR="001B6A68" w:rsidRPr="008654CF">
        <w:rPr>
          <w:lang w:val="en-GB"/>
        </w:rPr>
        <w:t xml:space="preserve"> residues present </w:t>
      </w:r>
      <w:r w:rsidR="00314206" w:rsidRPr="008654CF">
        <w:rPr>
          <w:lang w:val="en-GB"/>
        </w:rPr>
        <w:t>in</w:t>
      </w:r>
      <w:r w:rsidR="001B6A68" w:rsidRPr="008654CF">
        <w:rPr>
          <w:lang w:val="en-GB"/>
        </w:rPr>
        <w:t xml:space="preserve"> </w:t>
      </w:r>
      <w:r w:rsidR="000C44FE">
        <w:rPr>
          <w:lang w:val="en-GB"/>
        </w:rPr>
        <w:t xml:space="preserve">GM herbicide-tolerant </w:t>
      </w:r>
      <w:r w:rsidR="001B6A68" w:rsidRPr="008654CF">
        <w:rPr>
          <w:lang w:val="en-GB"/>
        </w:rPr>
        <w:t xml:space="preserve">crops </w:t>
      </w:r>
      <w:r w:rsidR="000C44FE">
        <w:rPr>
          <w:lang w:val="en-GB"/>
        </w:rPr>
        <w:t xml:space="preserve">(such as </w:t>
      </w:r>
      <w:r w:rsidR="000C44FE" w:rsidRPr="008654CF">
        <w:t>MON-ØØØ73-7</w:t>
      </w:r>
      <w:r w:rsidR="00685B9A">
        <w:t xml:space="preserve"> canola</w:t>
      </w:r>
      <w:r w:rsidR="000C44FE">
        <w:t>)</w:t>
      </w:r>
      <w:r w:rsidR="000C44FE" w:rsidRPr="008654CF">
        <w:t xml:space="preserve"> </w:t>
      </w:r>
      <w:r w:rsidR="001B6A68" w:rsidRPr="008654CF">
        <w:rPr>
          <w:lang w:val="en-GB"/>
        </w:rPr>
        <w:t>following cultivation</w:t>
      </w:r>
      <w:r w:rsidR="00AB0B6E" w:rsidRPr="008654CF">
        <w:rPr>
          <w:lang w:val="en-GB"/>
        </w:rPr>
        <w:t>,</w:t>
      </w:r>
      <w:r w:rsidR="00314206" w:rsidRPr="008654CF">
        <w:rPr>
          <w:lang w:val="en-GB"/>
        </w:rPr>
        <w:t xml:space="preserve"> are </w:t>
      </w:r>
      <w:r w:rsidR="001B6A68" w:rsidRPr="008654CF">
        <w:t xml:space="preserve">outside the scope of the Act, and come under the regulatory oversight of the Australian Pesticides and Veterinary Medicines Authority (APVMA). Further information on the </w:t>
      </w:r>
      <w:r w:rsidR="0046285E" w:rsidRPr="008654CF">
        <w:t xml:space="preserve">use </w:t>
      </w:r>
      <w:r w:rsidR="001B6A68" w:rsidRPr="008654CF">
        <w:t xml:space="preserve">of glyphosate is available on the </w:t>
      </w:r>
      <w:hyperlink r:id="rId38" w:history="1">
        <w:r w:rsidR="001B6A68" w:rsidRPr="008654CF">
          <w:rPr>
            <w:rStyle w:val="Hyperlink"/>
            <w:color w:val="auto"/>
          </w:rPr>
          <w:t>APVMA website</w:t>
        </w:r>
      </w:hyperlink>
      <w:r w:rsidR="001B6A68" w:rsidRPr="008654CF">
        <w:t>.</w:t>
      </w:r>
    </w:p>
    <w:p w14:paraId="7144AEBD" w14:textId="760C23E5" w:rsidR="00347885" w:rsidRPr="008654CF" w:rsidRDefault="00347885" w:rsidP="00347885">
      <w:pPr>
        <w:pStyle w:val="Heading4"/>
        <w:spacing w:before="240" w:after="120"/>
        <w:rPr>
          <w:lang w:val="en"/>
        </w:rPr>
      </w:pPr>
      <w:r w:rsidRPr="008654CF">
        <w:rPr>
          <w:lang w:val="en"/>
        </w:rPr>
        <w:t xml:space="preserve">Weediness </w:t>
      </w:r>
    </w:p>
    <w:p w14:paraId="38B7A5A1" w14:textId="3E426EF5" w:rsidR="00167395" w:rsidRPr="00167395" w:rsidRDefault="00DE6682" w:rsidP="009C0F06">
      <w:pPr>
        <w:pStyle w:val="RARMPPara"/>
      </w:pPr>
      <w:r>
        <w:rPr>
          <w:iCs/>
          <w:lang w:val="en"/>
        </w:rPr>
        <w:t>Although there are some reports suggest</w:t>
      </w:r>
      <w:r w:rsidR="001A753A">
        <w:rPr>
          <w:iCs/>
          <w:lang w:val="en"/>
        </w:rPr>
        <w:t>ing</w:t>
      </w:r>
      <w:r>
        <w:rPr>
          <w:iCs/>
          <w:lang w:val="en"/>
        </w:rPr>
        <w:t xml:space="preserve"> that over expression of </w:t>
      </w:r>
      <w:proofErr w:type="spellStart"/>
      <w:r w:rsidRPr="004C1240">
        <w:rPr>
          <w:i/>
          <w:lang w:val="en"/>
        </w:rPr>
        <w:t>epsps</w:t>
      </w:r>
      <w:proofErr w:type="spellEnd"/>
      <w:r>
        <w:rPr>
          <w:iCs/>
          <w:lang w:val="en"/>
        </w:rPr>
        <w:t xml:space="preserve"> genes in </w:t>
      </w:r>
      <w:r w:rsidRPr="004C1240">
        <w:rPr>
          <w:i/>
          <w:lang w:val="en"/>
        </w:rPr>
        <w:t>Arabidopsis thaliana</w:t>
      </w:r>
      <w:r>
        <w:rPr>
          <w:iCs/>
          <w:lang w:val="en"/>
        </w:rPr>
        <w:t xml:space="preserve"> </w:t>
      </w:r>
      <w:r>
        <w:rPr>
          <w:iCs/>
        </w:rPr>
        <w:t xml:space="preserve">might enhance fecundity of transgenic plants </w:t>
      </w:r>
      <w:r w:rsidR="00D43017">
        <w:rPr>
          <w:iCs/>
        </w:rPr>
        <w:fldChar w:fldCharType="begin">
          <w:fldData xml:space="preserve">PEVuZE5vdGU+PENpdGU+PEF1dGhvcj5CZXJlczwvQXV0aG9yPjxZZWFyPjIwMTg8L1llYXI+PFJl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</w:fldData>
        </w:fldChar>
      </w:r>
      <w:r w:rsidR="00372225">
        <w:rPr>
          <w:iCs/>
        </w:rPr>
        <w:instrText xml:space="preserve"> ADDIN EN.CITE </w:instrText>
      </w:r>
      <w:r w:rsidR="00372225">
        <w:rPr>
          <w:iCs/>
        </w:rPr>
        <w:fldChar w:fldCharType="begin">
          <w:fldData xml:space="preserve">PEVuZE5vdGU+PENpdGU+PEF1dGhvcj5CZXJlczwvQXV0aG9yPjxZZWFyPjIwMTg8L1llYXI+PFJl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</w:fldData>
        </w:fldChar>
      </w:r>
      <w:r w:rsidR="00372225">
        <w:rPr>
          <w:iCs/>
        </w:rPr>
        <w:instrText xml:space="preserve"> ADDIN EN.CITE.DATA </w:instrText>
      </w:r>
      <w:r w:rsidR="00372225">
        <w:rPr>
          <w:iCs/>
        </w:rPr>
      </w:r>
      <w:r w:rsidR="00372225">
        <w:rPr>
          <w:iCs/>
        </w:rPr>
        <w:fldChar w:fldCharType="end"/>
      </w:r>
      <w:r w:rsidR="00D43017">
        <w:rPr>
          <w:iCs/>
        </w:rPr>
      </w:r>
      <w:r w:rsidR="00D43017">
        <w:rPr>
          <w:iCs/>
        </w:rPr>
        <w:fldChar w:fldCharType="separate"/>
      </w:r>
      <w:r w:rsidR="00D43017">
        <w:rPr>
          <w:iCs/>
          <w:noProof/>
        </w:rPr>
        <w:t>(Beres et al., 2018; Fang et al., 2018)</w:t>
      </w:r>
      <w:r w:rsidR="00D43017">
        <w:rPr>
          <w:iCs/>
        </w:rPr>
        <w:fldChar w:fldCharType="end"/>
      </w:r>
      <w:r>
        <w:rPr>
          <w:iCs/>
        </w:rPr>
        <w:t xml:space="preserve">, </w:t>
      </w:r>
      <w:r w:rsidRPr="004C1240">
        <w:rPr>
          <w:iCs/>
        </w:rPr>
        <w:t>MON-ØØØ73-7</w:t>
      </w:r>
      <w:r>
        <w:rPr>
          <w:iCs/>
        </w:rPr>
        <w:t xml:space="preserve"> canola expressing the </w:t>
      </w:r>
      <w:r w:rsidRPr="00241EDD">
        <w:rPr>
          <w:i/>
        </w:rPr>
        <w:t>cp4-epsps</w:t>
      </w:r>
      <w:r>
        <w:rPr>
          <w:iCs/>
        </w:rPr>
        <w:t xml:space="preserve"> gene does not </w:t>
      </w:r>
      <w:r w:rsidR="00BC13A9">
        <w:rPr>
          <w:iCs/>
        </w:rPr>
        <w:t xml:space="preserve">show </w:t>
      </w:r>
      <w:r w:rsidR="00BC13A9" w:rsidRPr="00BC13A9">
        <w:rPr>
          <w:iCs/>
        </w:rPr>
        <w:t>substantially different</w:t>
      </w:r>
      <w:r w:rsidR="00BC13A9">
        <w:rPr>
          <w:iCs/>
        </w:rPr>
        <w:t xml:space="preserve"> growth characteristics, including seed production, to non-GM</w:t>
      </w:r>
      <w:r w:rsidR="00BC13A9" w:rsidRPr="00BC13A9">
        <w:rPr>
          <w:iCs/>
        </w:rPr>
        <w:t xml:space="preserve"> canola varieties</w:t>
      </w:r>
      <w:r w:rsidR="006E3DC4">
        <w:rPr>
          <w:iCs/>
        </w:rPr>
        <w:t xml:space="preserve"> (refer to the </w:t>
      </w:r>
      <w:r w:rsidR="006E3DC4" w:rsidRPr="006E3DC4">
        <w:rPr>
          <w:iCs/>
        </w:rPr>
        <w:t xml:space="preserve">RARMP for </w:t>
      </w:r>
      <w:hyperlink r:id="rId39" w:history="1">
        <w:r w:rsidR="006E3DC4" w:rsidRPr="00F318B7">
          <w:rPr>
            <w:rStyle w:val="Hyperlink"/>
            <w:iCs/>
            <w:color w:val="auto"/>
          </w:rPr>
          <w:t>DIR 020/2002</w:t>
        </w:r>
      </w:hyperlink>
      <w:r w:rsidR="006E3DC4">
        <w:rPr>
          <w:iCs/>
        </w:rPr>
        <w:t>).</w:t>
      </w:r>
      <w:r w:rsidR="00BC13A9">
        <w:rPr>
          <w:iCs/>
        </w:rPr>
        <w:t xml:space="preserve">  </w:t>
      </w:r>
      <w:r w:rsidR="009C0F06" w:rsidRPr="008654CF">
        <w:t>In Australia, a study of roadside canola plants found that under favourable climatic conditions and in circumstances where other roadside weeds are controlled by glyphosate, roadside populations of glyphosate</w:t>
      </w:r>
      <w:r w:rsidR="00B716F2">
        <w:t>-</w:t>
      </w:r>
      <w:r w:rsidR="009C0F06" w:rsidRPr="008654CF">
        <w:t>tolerant</w:t>
      </w:r>
      <w:r w:rsidR="00B716F2">
        <w:t xml:space="preserve"> (GT)</w:t>
      </w:r>
      <w:r w:rsidR="009C0F06" w:rsidRPr="008654CF">
        <w:t xml:space="preserve"> canola </w:t>
      </w:r>
      <w:r w:rsidR="00B716F2">
        <w:t>(</w:t>
      </w:r>
      <w:r w:rsidR="002342D7">
        <w:t xml:space="preserve">identified as </w:t>
      </w:r>
      <w:bookmarkStart w:id="13" w:name="_Hlk106970030"/>
      <w:r w:rsidR="008C1B3B" w:rsidRPr="008C1B3B">
        <w:t>MON-ØØØ73-7</w:t>
      </w:r>
      <w:bookmarkEnd w:id="13"/>
      <w:r w:rsidR="00B716F2">
        <w:t xml:space="preserve">) </w:t>
      </w:r>
      <w:r w:rsidR="009C0F06" w:rsidRPr="008654CF">
        <w:t xml:space="preserve">could persist for at least three years, but no hybrids between </w:t>
      </w:r>
      <w:r w:rsidR="00B716F2">
        <w:t>GT</w:t>
      </w:r>
      <w:r w:rsidR="009C6F7A" w:rsidRPr="008654CF">
        <w:t xml:space="preserve"> </w:t>
      </w:r>
      <w:r w:rsidR="009C0F06" w:rsidRPr="008654CF">
        <w:t xml:space="preserve">canola and conventionally bred canola tolerant to triazines or </w:t>
      </w:r>
      <w:proofErr w:type="spellStart"/>
      <w:r w:rsidR="009C0F06" w:rsidRPr="008654CF">
        <w:t>imidazolinone</w:t>
      </w:r>
      <w:proofErr w:type="spellEnd"/>
      <w:r w:rsidR="009C0F06" w:rsidRPr="008654CF">
        <w:t xml:space="preserve"> were found </w:t>
      </w:r>
      <w:r w:rsidR="009C0F06" w:rsidRPr="008654CF">
        <w:fldChar w:fldCharType="begin"/>
      </w:r>
      <w:r w:rsidR="00D43017">
        <w:instrText xml:space="preserve"> ADDIN EN.CITE &lt;EndNote&gt;&lt;Cite&gt;&lt;Author&gt;Busi&lt;/Author&gt;&lt;Year&gt;2016&lt;/Year&gt;&lt;RecNum&gt;48&lt;/RecNum&gt;&lt;DisplayText&gt;(Busi and Powles, 2016)&lt;/DisplayText&gt;&lt;record&gt;&lt;rec-number&gt;48&lt;/rec-number&gt;&lt;foreign-keys&gt;&lt;key app="EN" db-id="9dp50sxsprrex2eedwtvdxsjxpw9tv52v0ae" timestamp="1649814427"&gt;48&lt;/key&gt;&lt;/foreign-keys&gt;&lt;ref-type name="Journal Article"&gt;17&lt;/ref-type&gt;&lt;contributors&gt;&lt;authors&gt;&lt;author&gt;Busi, R.&lt;/author&gt;&lt;author&gt;Powles, S. B.&lt;/author&gt;&lt;/authors&gt;&lt;/contributors&gt;&lt;titles&gt;&lt;title&gt;&lt;style face="normal" font="default" size="100%"&gt;Transgenic glyphosate-resistant canola (&lt;/style&gt;&lt;style face="italic" font="default" size="100%"&gt;Brassica napus&lt;/style&gt;&lt;style face="normal" font="default" size="100%"&gt;) can persist outside agricultural fields in Australia&lt;/style&gt;&lt;/title&gt;&lt;secondary-title&gt;Agriculture, Ecosystems &amp;amp; Environment&lt;/secondary-title&gt;&lt;/titles&gt;&lt;periodical&gt;&lt;full-title&gt;Agriculture, Ecosystems &amp;amp; Environment&lt;/full-title&gt;&lt;/periodical&gt;&lt;pages&gt;28-34&lt;/pages&gt;&lt;volume&gt;220&lt;/volume&gt;&lt;section&gt;28&lt;/section&gt;&lt;reprint-edition&gt;Not in File&lt;/reprint-edition&gt;&lt;dates&gt;&lt;year&gt;2016&lt;/year&gt;&lt;/dates&gt;&lt;isbn&gt;01678809&lt;/isbn&gt;&lt;label&gt;21152&lt;/label&gt;&lt;urls&gt;&lt;related-urls&gt;&lt;url&gt;http://www.sciencedirect.com/science/article/pii/S0167880915302061&lt;/url&gt;&lt;/related-urls&gt;&lt;/urls&gt;&lt;electronic-resource-num&gt;10.1016/j.agee.2015.12.028&lt;/electronic-resource-num&gt;&lt;/record&gt;&lt;/Cite&gt;&lt;/EndNote&gt;</w:instrText>
      </w:r>
      <w:r w:rsidR="009C0F06" w:rsidRPr="008654CF">
        <w:fldChar w:fldCharType="separate"/>
      </w:r>
      <w:r w:rsidR="009C0F06" w:rsidRPr="008654CF">
        <w:rPr>
          <w:noProof/>
        </w:rPr>
        <w:t>(Busi and Powles, 2016)</w:t>
      </w:r>
      <w:r w:rsidR="009C0F06" w:rsidRPr="008654CF">
        <w:fldChar w:fldCharType="end"/>
      </w:r>
      <w:r w:rsidR="009C0F06" w:rsidRPr="008654CF">
        <w:t xml:space="preserve">. The study also found that when </w:t>
      </w:r>
      <w:r w:rsidR="00B716F2">
        <w:t>GT</w:t>
      </w:r>
      <w:r w:rsidR="009C0F06" w:rsidRPr="008654CF">
        <w:t xml:space="preserve"> canola seeds were dispersed into two natural areas, feral canola populations </w:t>
      </w:r>
      <w:r w:rsidR="00367587">
        <w:t>surviv</w:t>
      </w:r>
      <w:r w:rsidR="009C0F06" w:rsidRPr="00367587">
        <w:t>ed for 0 and 3 years,</w:t>
      </w:r>
      <w:r w:rsidR="009C0F06" w:rsidRPr="008654CF">
        <w:t xml:space="preserve"> respectively, prior to extinction</w:t>
      </w:r>
      <w:r w:rsidR="00CE4EAE">
        <w:t xml:space="preserve">, and </w:t>
      </w:r>
      <w:r w:rsidR="00CE4EAE" w:rsidRPr="00CE4EAE">
        <w:t xml:space="preserve">the </w:t>
      </w:r>
      <w:r w:rsidR="00BB744D">
        <w:t>authors</w:t>
      </w:r>
      <w:r w:rsidR="00123F71">
        <w:t xml:space="preserve"> </w:t>
      </w:r>
      <w:r w:rsidR="00BB744D">
        <w:t xml:space="preserve">speculated that this could have </w:t>
      </w:r>
      <w:r w:rsidR="00123F71">
        <w:t>be</w:t>
      </w:r>
      <w:r w:rsidR="00BB744D">
        <w:t>en</w:t>
      </w:r>
      <w:r w:rsidR="00CE4EAE" w:rsidRPr="00CE4EAE">
        <w:t xml:space="preserve"> due to abiotic </w:t>
      </w:r>
      <w:r w:rsidR="00123F71">
        <w:t>(</w:t>
      </w:r>
      <w:r w:rsidR="00CE4EAE" w:rsidRPr="00CE4EAE">
        <w:t>lower rainfall) and biotic (</w:t>
      </w:r>
      <w:r w:rsidR="00123F71" w:rsidRPr="00123F71">
        <w:t>plant herbivory</w:t>
      </w:r>
      <w:r w:rsidR="00123F71">
        <w:t xml:space="preserve">, animal predation and </w:t>
      </w:r>
      <w:r w:rsidR="00CE4EAE" w:rsidRPr="00CE4EAE">
        <w:t xml:space="preserve">disease) </w:t>
      </w:r>
      <w:r w:rsidR="00BB744D">
        <w:t>factors in the environment</w:t>
      </w:r>
      <w:r w:rsidR="009C0F06" w:rsidRPr="008654CF">
        <w:t xml:space="preserve">. This is consistent with the fact that canola is </w:t>
      </w:r>
      <w:r w:rsidR="009C0F06" w:rsidRPr="00367587">
        <w:t>not a persistent weed</w:t>
      </w:r>
      <w:r w:rsidR="009C0F06" w:rsidRPr="008654CF">
        <w:t xml:space="preserve"> in natural undisturbed habitats, so when </w:t>
      </w:r>
      <w:r w:rsidR="00407C4C">
        <w:t>GT</w:t>
      </w:r>
      <w:r w:rsidR="009C0F06" w:rsidRPr="008654CF">
        <w:t xml:space="preserve"> canola was found in bushland, no fitness advantage was conferred by the </w:t>
      </w:r>
      <w:r w:rsidR="009C0F06" w:rsidRPr="008654CF">
        <w:rPr>
          <w:iCs/>
          <w:lang w:val="en"/>
        </w:rPr>
        <w:t>introduced</w:t>
      </w:r>
      <w:r w:rsidR="009C0F06" w:rsidRPr="008654CF">
        <w:rPr>
          <w:lang w:val="en"/>
        </w:rPr>
        <w:t xml:space="preserve"> transgenes</w:t>
      </w:r>
      <w:r w:rsidR="009C0F06" w:rsidRPr="008654CF">
        <w:rPr>
          <w:iCs/>
          <w:lang w:val="en"/>
        </w:rPr>
        <w:t xml:space="preserve">. </w:t>
      </w:r>
      <w:r w:rsidR="008B57F8">
        <w:rPr>
          <w:iCs/>
          <w:lang w:val="en"/>
        </w:rPr>
        <w:t>In addition, f</w:t>
      </w:r>
      <w:r w:rsidR="00047B6A">
        <w:rPr>
          <w:iCs/>
          <w:lang w:val="en"/>
        </w:rPr>
        <w:t>or</w:t>
      </w:r>
      <w:r w:rsidR="00047B6A" w:rsidRPr="00047B6A">
        <w:rPr>
          <w:iCs/>
          <w:lang w:val="en"/>
        </w:rPr>
        <w:t xml:space="preserve"> both non-GM and other GM</w:t>
      </w:r>
      <w:r w:rsidR="00047B6A">
        <w:rPr>
          <w:iCs/>
          <w:lang w:val="en"/>
        </w:rPr>
        <w:t xml:space="preserve"> canola, </w:t>
      </w:r>
      <w:r w:rsidR="00047B6A" w:rsidRPr="00047B6A">
        <w:rPr>
          <w:iCs/>
        </w:rPr>
        <w:t>herbicide tolerance traits may be acquired over time</w:t>
      </w:r>
      <w:r w:rsidR="00922BEF" w:rsidRPr="00922BEF">
        <w:rPr>
          <w:iCs/>
        </w:rPr>
        <w:t xml:space="preserve"> </w:t>
      </w:r>
      <w:r w:rsidR="00922BEF">
        <w:rPr>
          <w:iCs/>
        </w:rPr>
        <w:t>by</w:t>
      </w:r>
      <w:r w:rsidR="00922BEF" w:rsidRPr="00047B6A">
        <w:rPr>
          <w:iCs/>
        </w:rPr>
        <w:t xml:space="preserve"> crossing</w:t>
      </w:r>
      <w:r w:rsidR="00922BEF">
        <w:rPr>
          <w:iCs/>
        </w:rPr>
        <w:t xml:space="preserve"> with other herbicide tolerant canola varieties or by natural mutations</w:t>
      </w:r>
      <w:r w:rsidR="009D4A30">
        <w:rPr>
          <w:iCs/>
        </w:rPr>
        <w:t>,</w:t>
      </w:r>
      <w:r w:rsidR="00047B6A">
        <w:rPr>
          <w:iCs/>
        </w:rPr>
        <w:t xml:space="preserve"> but </w:t>
      </w:r>
      <w:r w:rsidR="00047B6A" w:rsidRPr="00047B6A">
        <w:rPr>
          <w:iCs/>
        </w:rPr>
        <w:t>it is no more likely for th</w:t>
      </w:r>
      <w:r w:rsidR="009D4A30">
        <w:rPr>
          <w:iCs/>
        </w:rPr>
        <w:t>e</w:t>
      </w:r>
      <w:r w:rsidR="00047B6A" w:rsidRPr="00047B6A">
        <w:rPr>
          <w:iCs/>
        </w:rPr>
        <w:t xml:space="preserve"> </w:t>
      </w:r>
      <w:r w:rsidR="007A7E87" w:rsidRPr="008C1B3B">
        <w:t>MON-ØØØ73-7</w:t>
      </w:r>
      <w:r w:rsidR="00047B6A" w:rsidRPr="00047B6A">
        <w:rPr>
          <w:iCs/>
        </w:rPr>
        <w:t xml:space="preserve"> canola to acquire the other </w:t>
      </w:r>
      <w:r w:rsidR="00047B6A">
        <w:rPr>
          <w:iCs/>
        </w:rPr>
        <w:t>herbicide tolerance</w:t>
      </w:r>
      <w:r w:rsidR="00047B6A" w:rsidRPr="00047B6A">
        <w:rPr>
          <w:iCs/>
        </w:rPr>
        <w:t xml:space="preserve"> traits than </w:t>
      </w:r>
      <w:r w:rsidR="00702298">
        <w:rPr>
          <w:iCs/>
        </w:rPr>
        <w:t xml:space="preserve">it is </w:t>
      </w:r>
      <w:r w:rsidR="00047B6A" w:rsidRPr="00047B6A">
        <w:rPr>
          <w:iCs/>
        </w:rPr>
        <w:t xml:space="preserve">for any </w:t>
      </w:r>
      <w:r w:rsidR="009D4A30" w:rsidRPr="00047B6A">
        <w:rPr>
          <w:iCs/>
        </w:rPr>
        <w:t xml:space="preserve">non-GM or </w:t>
      </w:r>
      <w:r w:rsidR="00047B6A" w:rsidRPr="00047B6A">
        <w:rPr>
          <w:iCs/>
        </w:rPr>
        <w:t>other GM canola</w:t>
      </w:r>
      <w:r w:rsidR="00922BEF">
        <w:rPr>
          <w:iCs/>
        </w:rPr>
        <w:t xml:space="preserve"> if appropriate crop stewardship activities are undertaken.</w:t>
      </w:r>
    </w:p>
    <w:p w14:paraId="3E786FD6" w14:textId="079EFAE1" w:rsidR="009C0F06" w:rsidRPr="008654CF" w:rsidRDefault="009C0F06" w:rsidP="009C0F06">
      <w:pPr>
        <w:pStyle w:val="RARMPPara"/>
      </w:pPr>
      <w:r w:rsidRPr="008654CF">
        <w:rPr>
          <w:iCs/>
        </w:rPr>
        <w:t xml:space="preserve">The </w:t>
      </w:r>
      <w:r w:rsidR="00407C4C">
        <w:t>GT</w:t>
      </w:r>
      <w:r w:rsidRPr="008654CF">
        <w:rPr>
          <w:iCs/>
        </w:rPr>
        <w:t xml:space="preserve"> canola volunteers in agricultural areas have been controlled using integrated weed management practices, which include using a variety of other herbicides assessed and approved by the APVMA, as well as nonchemical management methods currently used to control non-GM canola, such as mowing, grazing or cultivation </w:t>
      </w:r>
      <w:r w:rsidRPr="008654CF">
        <w:rPr>
          <w:iCs/>
        </w:rPr>
        <w:fldChar w:fldCharType="begin"/>
      </w:r>
      <w:r w:rsidRPr="008654CF">
        <w:rPr>
          <w:iCs/>
        </w:rPr>
        <w:instrText xml:space="preserve"> ADDIN EN.CITE &lt;EndNote&gt;&lt;Cite&gt;&lt;Author&gt;Australian Oilseeds Federation&lt;/Author&gt;&lt;Year&gt;2019&lt;/Year&gt;&lt;RecNum&gt;24787&lt;/RecNum&gt;&lt;DisplayText&gt;(Australian Oilseeds Federation, 2019)&lt;/DisplayText&gt;&lt;record&gt;&lt;rec-number&gt;24787&lt;/rec-number&gt;&lt;foreign-keys&gt;&lt;key app="EN" db-id="avrzt5sv7wwaa2epps1vzttcw5r5awswf02e" timestamp="1621825701"&gt;24787&lt;/key&gt;&lt;/foreign-keys&gt;&lt;ref-type name="Report"&gt;27&lt;/ref-type&gt;&lt;contributors&gt;&lt;authors&gt;&lt;author&gt;Australian Oilseeds Federation,&lt;/author&gt;&lt;/authors&gt;&lt;/contributors&gt;&lt;titles&gt;&lt;title&gt;Canola volunteer control 2019&lt;/title&gt;&lt;/titles&gt;&lt;pages&gt;1-5&lt;/pages&gt;&lt;number&gt;Version 2&lt;/number&gt;&lt;keywords&gt;&lt;keyword&gt;canola&lt;/keyword&gt;&lt;/keywords&gt;&lt;dates&gt;&lt;year&gt;2019&lt;/year&gt;&lt;pub-dates&gt;&lt;date&gt;October 2019&lt;/date&gt;&lt;/pub-dates&gt;&lt;/dates&gt;&lt;urls&gt;&lt;related-urls&gt;&lt;url&gt;http://www.australianoilseeds.com/__data/assets/pdf_file/0018/9261/Canola_Volunteer_Control_Guide_October_2019_Version_2.pdf&lt;/url&gt;&lt;/related-urls&gt;&lt;/urls&gt;&lt;/record&gt;&lt;/Cite&gt;&lt;/EndNote&gt;</w:instrText>
      </w:r>
      <w:r w:rsidRPr="008654CF">
        <w:rPr>
          <w:iCs/>
        </w:rPr>
        <w:fldChar w:fldCharType="separate"/>
      </w:r>
      <w:r w:rsidRPr="008654CF">
        <w:rPr>
          <w:iCs/>
          <w:noProof/>
        </w:rPr>
        <w:t>(Australian Oilseeds Federation, 2019)</w:t>
      </w:r>
      <w:r w:rsidRPr="008654CF">
        <w:rPr>
          <w:iCs/>
        </w:rPr>
        <w:fldChar w:fldCharType="end"/>
      </w:r>
      <w:r w:rsidRPr="008654CF">
        <w:rPr>
          <w:iCs/>
        </w:rPr>
        <w:t>.</w:t>
      </w:r>
      <w:r w:rsidR="006E3DC4">
        <w:rPr>
          <w:iCs/>
        </w:rPr>
        <w:t xml:space="preserve"> </w:t>
      </w:r>
      <w:r w:rsidRPr="008654CF">
        <w:rPr>
          <w:iCs/>
          <w:lang w:val="en"/>
        </w:rPr>
        <w:t xml:space="preserve"> </w:t>
      </w:r>
      <w:r w:rsidR="00995337">
        <w:rPr>
          <w:iCs/>
          <w:lang w:val="en"/>
        </w:rPr>
        <w:t xml:space="preserve">No increased weediness </w:t>
      </w:r>
      <w:r w:rsidR="00464775">
        <w:rPr>
          <w:iCs/>
          <w:lang w:val="en"/>
        </w:rPr>
        <w:t>was</w:t>
      </w:r>
      <w:r w:rsidR="00995337">
        <w:rPr>
          <w:iCs/>
          <w:lang w:val="en"/>
        </w:rPr>
        <w:t xml:space="preserve"> reported a</w:t>
      </w:r>
      <w:r w:rsidR="00D35B25">
        <w:rPr>
          <w:iCs/>
          <w:lang w:val="en"/>
        </w:rPr>
        <w:t>fter 1</w:t>
      </w:r>
      <w:r w:rsidR="00265EB4">
        <w:rPr>
          <w:iCs/>
          <w:lang w:val="en"/>
        </w:rPr>
        <w:t>4</w:t>
      </w:r>
      <w:r w:rsidR="00D35B25">
        <w:rPr>
          <w:iCs/>
          <w:lang w:val="en"/>
        </w:rPr>
        <w:t xml:space="preserve"> years of commercial cultivation </w:t>
      </w:r>
      <w:r w:rsidR="00265EB4">
        <w:rPr>
          <w:iCs/>
          <w:lang w:val="en"/>
        </w:rPr>
        <w:t xml:space="preserve">and use </w:t>
      </w:r>
      <w:r w:rsidR="00D35B25">
        <w:rPr>
          <w:iCs/>
          <w:lang w:val="en"/>
        </w:rPr>
        <w:t xml:space="preserve">of the GT canola in Australia, </w:t>
      </w:r>
      <w:r w:rsidR="00265EB4">
        <w:rPr>
          <w:iCs/>
          <w:lang w:val="en"/>
        </w:rPr>
        <w:t xml:space="preserve">and </w:t>
      </w:r>
      <w:r w:rsidR="0042194B">
        <w:rPr>
          <w:iCs/>
          <w:lang w:val="en"/>
        </w:rPr>
        <w:t>a survey of</w:t>
      </w:r>
      <w:r w:rsidR="00D35B25" w:rsidRPr="00D35B25">
        <w:rPr>
          <w:iCs/>
          <w:lang w:val="en"/>
        </w:rPr>
        <w:t xml:space="preserve"> weed managers </w:t>
      </w:r>
      <w:r w:rsidR="00A6735E">
        <w:rPr>
          <w:iCs/>
          <w:lang w:val="en"/>
        </w:rPr>
        <w:t>from</w:t>
      </w:r>
      <w:r w:rsidR="0042194B">
        <w:rPr>
          <w:iCs/>
          <w:lang w:val="en"/>
        </w:rPr>
        <w:t xml:space="preserve"> Natural Resource Management groups across Australia did not list canola as an established weed causing </w:t>
      </w:r>
      <w:r w:rsidR="0042194B" w:rsidRPr="0042194B">
        <w:rPr>
          <w:iCs/>
          <w:lang w:val="en"/>
        </w:rPr>
        <w:t>agricultural, social or environmental impacts</w:t>
      </w:r>
      <w:r w:rsidR="0042194B">
        <w:rPr>
          <w:iCs/>
          <w:lang w:val="en"/>
        </w:rPr>
        <w:t xml:space="preserve"> </w:t>
      </w:r>
      <w:r w:rsidR="00D35B25" w:rsidRPr="00D35B25">
        <w:rPr>
          <w:iCs/>
        </w:rPr>
        <w:fldChar w:fldCharType="begin"/>
      </w:r>
      <w:r w:rsidR="00D35B25" w:rsidRPr="00D35B25">
        <w:rPr>
          <w:iCs/>
        </w:rPr>
        <w:instrText xml:space="preserve"> ADDIN EN.CITE &lt;EndNote&gt;&lt;Cite&gt;&lt;Author&gt;Ng&lt;/Author&gt;&lt;Year&gt;2021&lt;/Year&gt;&lt;RecNum&gt;24909&lt;/RecNum&gt;&lt;DisplayText&gt;(Ng et al., 2021)&lt;/DisplayText&gt;&lt;record&gt;&lt;rec-number&gt;24909&lt;/rec-number&gt;&lt;foreign-keys&gt;&lt;key app="EN" db-id="avrzt5sv7wwaa2epps1vzttcw5r5awswf02e" timestamp="1634561580"&gt;24909&lt;/key&gt;&lt;/foreign-keys&gt;&lt;ref-type name="Report"&gt;27&lt;/ref-type&gt;&lt;contributors&gt;&lt;authors&gt;&lt;author&gt;Ng, K.&lt;/author&gt;&lt;author&gt;Raphael,B.&lt;/author&gt;&lt;author&gt;Maloney, L.&lt;/author&gt;&lt;author&gt;Evans, J&lt;/author&gt;&lt;author&gt;Parsons, S&lt;/author&gt;&lt;/authors&gt;&lt;/contributors&gt;&lt;titles&gt;&lt;title&gt;The state of weeds data collection in Australia&lt;/title&gt;&lt;/titles&gt;&lt;dates&gt;&lt;year&gt;2021&lt;/year&gt;&lt;/dates&gt;&lt;pub-location&gt;Canberra, Australia&lt;/pub-location&gt;&lt;publisher&gt;Australian Bureau of Agricultural and Resource Economics and Sciences&lt;/publisher&gt;&lt;urls&gt;&lt;/urls&gt;&lt;/record&gt;&lt;/Cite&gt;&lt;/EndNote&gt;</w:instrText>
      </w:r>
      <w:r w:rsidR="00D35B25" w:rsidRPr="00D35B25">
        <w:rPr>
          <w:iCs/>
        </w:rPr>
        <w:fldChar w:fldCharType="separate"/>
      </w:r>
      <w:r w:rsidR="00D35B25" w:rsidRPr="00D35B25">
        <w:rPr>
          <w:iCs/>
        </w:rPr>
        <w:t>(Ng et al., 2021)</w:t>
      </w:r>
      <w:r w:rsidR="00D35B25" w:rsidRPr="00D35B25">
        <w:rPr>
          <w:iCs/>
          <w:lang w:val="en"/>
        </w:rPr>
        <w:fldChar w:fldCharType="end"/>
      </w:r>
      <w:r w:rsidR="00D35B25">
        <w:rPr>
          <w:iCs/>
          <w:lang w:val="en"/>
        </w:rPr>
        <w:t>.</w:t>
      </w:r>
    </w:p>
    <w:p w14:paraId="140DE055" w14:textId="61117C0B" w:rsidR="00EA0852" w:rsidRPr="008654CF" w:rsidRDefault="0046285E" w:rsidP="00923A59">
      <w:pPr>
        <w:pStyle w:val="RARMPPara"/>
      </w:pPr>
      <w:r w:rsidRPr="008654CF">
        <w:rPr>
          <w:lang w:val="en"/>
        </w:rPr>
        <w:t xml:space="preserve">Experience in Canada after </w:t>
      </w:r>
      <w:r w:rsidR="00354F26" w:rsidRPr="008654CF">
        <w:rPr>
          <w:lang w:val="en"/>
        </w:rPr>
        <w:t xml:space="preserve">15 years of growing </w:t>
      </w:r>
      <w:r w:rsidR="007157B8" w:rsidRPr="008654CF">
        <w:rPr>
          <w:lang w:val="en"/>
        </w:rPr>
        <w:t xml:space="preserve">herbicide-tolerant (HT) </w:t>
      </w:r>
      <w:r w:rsidR="00354F26" w:rsidRPr="008654CF">
        <w:rPr>
          <w:lang w:val="en"/>
        </w:rPr>
        <w:t>canola</w:t>
      </w:r>
      <w:r w:rsidR="00B716F2">
        <w:rPr>
          <w:lang w:val="en"/>
        </w:rPr>
        <w:t>, including GT canola,</w:t>
      </w:r>
      <w:r w:rsidR="00354F26" w:rsidRPr="008654CF">
        <w:rPr>
          <w:lang w:val="en"/>
        </w:rPr>
        <w:t xml:space="preserve"> was that </w:t>
      </w:r>
      <w:r w:rsidR="00F022B5" w:rsidRPr="008654CF">
        <w:rPr>
          <w:lang w:val="en"/>
        </w:rPr>
        <w:t xml:space="preserve">management of canola volunteers was no more of a problem </w:t>
      </w:r>
      <w:r w:rsidR="00A821C1" w:rsidRPr="008654CF">
        <w:rPr>
          <w:lang w:val="en"/>
        </w:rPr>
        <w:t xml:space="preserve">with GM </w:t>
      </w:r>
      <w:r w:rsidR="007157B8">
        <w:rPr>
          <w:lang w:val="en"/>
        </w:rPr>
        <w:t xml:space="preserve">HT </w:t>
      </w:r>
      <w:r w:rsidR="00A821C1" w:rsidRPr="008654CF">
        <w:rPr>
          <w:lang w:val="en"/>
        </w:rPr>
        <w:t xml:space="preserve">cultivars </w:t>
      </w:r>
      <w:r w:rsidR="00F022B5" w:rsidRPr="008654CF">
        <w:rPr>
          <w:lang w:val="en"/>
        </w:rPr>
        <w:t>than non-HT cultivars and</w:t>
      </w:r>
      <w:r w:rsidR="004A17CD" w:rsidRPr="008654CF">
        <w:rPr>
          <w:lang w:val="en"/>
        </w:rPr>
        <w:t xml:space="preserve"> no increase in herbicide costs </w:t>
      </w:r>
      <w:r w:rsidR="00464775" w:rsidRPr="008654CF">
        <w:rPr>
          <w:lang w:val="en"/>
        </w:rPr>
        <w:t>w</w:t>
      </w:r>
      <w:r w:rsidR="00464775">
        <w:rPr>
          <w:lang w:val="en"/>
        </w:rPr>
        <w:t>as</w:t>
      </w:r>
      <w:r w:rsidR="00464775" w:rsidRPr="008654CF">
        <w:rPr>
          <w:lang w:val="en"/>
        </w:rPr>
        <w:t xml:space="preserve"> </w:t>
      </w:r>
      <w:r w:rsidR="004A17CD" w:rsidRPr="008654CF">
        <w:rPr>
          <w:lang w:val="en"/>
        </w:rPr>
        <w:t>associated with management of HT canola volunteers</w:t>
      </w:r>
      <w:r w:rsidR="00623AA3" w:rsidRPr="008654CF">
        <w:rPr>
          <w:lang w:val="en"/>
        </w:rPr>
        <w:t>.</w:t>
      </w:r>
      <w:r w:rsidR="004A17CD" w:rsidRPr="008654CF">
        <w:rPr>
          <w:lang w:val="en"/>
        </w:rPr>
        <w:t xml:space="preserve"> </w:t>
      </w:r>
      <w:r w:rsidR="00464775">
        <w:rPr>
          <w:lang w:val="en"/>
        </w:rPr>
        <w:t>M</w:t>
      </w:r>
      <w:r w:rsidR="00623AA3" w:rsidRPr="008654CF">
        <w:rPr>
          <w:lang w:val="en"/>
        </w:rPr>
        <w:t xml:space="preserve">anagement of HT canola </w:t>
      </w:r>
      <w:r w:rsidR="00623AA3" w:rsidRPr="008654CF">
        <w:t xml:space="preserve">was the same as any other option for managing weeds and, as part of the overall strategy, </w:t>
      </w:r>
      <w:r w:rsidR="00623AA3" w:rsidRPr="008654CF">
        <w:rPr>
          <w:lang w:val="en"/>
        </w:rPr>
        <w:t xml:space="preserve">HT canola </w:t>
      </w:r>
      <w:r w:rsidR="00623AA3" w:rsidRPr="008654CF">
        <w:t>need</w:t>
      </w:r>
      <w:r w:rsidR="00464775">
        <w:t>s</w:t>
      </w:r>
      <w:r w:rsidR="00623AA3" w:rsidRPr="008654CF">
        <w:t xml:space="preserve"> to be managed carefully in rotations </w:t>
      </w:r>
      <w:r w:rsidR="00BC726A" w:rsidRPr="008654CF">
        <w:t xml:space="preserve">with herbicide use </w:t>
      </w:r>
      <w:r w:rsidR="00623AA3" w:rsidRPr="008654CF">
        <w:t xml:space="preserve">to avoid increasing pressure for selection of herbicide resistance weeds </w:t>
      </w:r>
      <w:r w:rsidR="004A17CD" w:rsidRPr="008654CF">
        <w:rPr>
          <w:lang w:val="en"/>
        </w:rPr>
        <w:fldChar w:fldCharType="begin"/>
      </w:r>
      <w:r w:rsidR="004A17CD" w:rsidRPr="008654CF">
        <w:rPr>
          <w:lang w:val="en"/>
        </w:rPr>
        <w:instrText xml:space="preserve"> ADDIN EN.CITE &lt;EndNote&gt;&lt;Cite&gt;&lt;Author&gt;Beckie&lt;/Author&gt;&lt;Year&gt;2011&lt;/Year&gt;&lt;RecNum&gt;23312&lt;/RecNum&gt;&lt;DisplayText&gt;(Beckie et al., 2011)&lt;/DisplayText&gt;&lt;record&gt;&lt;rec-number&gt;23312&lt;/rec-number&gt;&lt;foreign-keys&gt;&lt;key app="EN" db-id="avrzt5sv7wwaa2epps1vzttcw5r5awswf02e" timestamp="1608177117"&gt;23312&lt;/key&gt;&lt;/foreign-keys&gt;&lt;ref-type name="Journal Article"&gt;17&lt;/ref-type&gt;&lt;contributors&gt;&lt;authors&gt;&lt;author&gt;Beckie, H. J.&lt;/author&gt;&lt;author&gt;Harker, K. N.&lt;/author&gt;&lt;author&gt;Légère, A.&lt;/author&gt;&lt;author&gt;Morrison, M. J.&lt;/author&gt;&lt;author&gt;Séguin-Swartz, G.&lt;/author&gt;&lt;author&gt;Falk, K. C.&lt;/author&gt;&lt;/authors&gt;&lt;/contributors&gt;&lt;titles&gt;&lt;title&gt;GM canola: The Canadian experience&lt;/title&gt;&lt;secondary-title&gt;Farm Policy Journal&lt;/secondary-title&gt;&lt;/titles&gt;&lt;periodical&gt;&lt;full-title&gt;Farm Policy Journal&lt;/full-title&gt;&lt;/periodical&gt;&lt;pages&gt;43-49&lt;/pages&gt;&lt;volume&gt;8&lt;/volume&gt;&lt;number&gt;1&lt;/number&gt;&lt;section&gt;43&lt;/section&gt;&lt;dates&gt;&lt;year&gt;2011&lt;/year&gt;&lt;/dates&gt;&lt;publisher&gt;Australian Farm Institute&lt;/publisher&gt;&lt;urls&gt;&lt;/urls&gt;&lt;/record&gt;&lt;/Cite&gt;&lt;/EndNote&gt;</w:instrText>
      </w:r>
      <w:r w:rsidR="004A17CD" w:rsidRPr="008654CF">
        <w:rPr>
          <w:lang w:val="en"/>
        </w:rPr>
        <w:fldChar w:fldCharType="separate"/>
      </w:r>
      <w:r w:rsidR="004A17CD" w:rsidRPr="008654CF">
        <w:rPr>
          <w:lang w:val="en"/>
        </w:rPr>
        <w:t>(Beckie et al., 2011)</w:t>
      </w:r>
      <w:r w:rsidR="004A17CD" w:rsidRPr="008654CF">
        <w:rPr>
          <w:lang w:val="en"/>
        </w:rPr>
        <w:fldChar w:fldCharType="end"/>
      </w:r>
      <w:r w:rsidR="004A17CD" w:rsidRPr="008654CF">
        <w:rPr>
          <w:lang w:val="en"/>
        </w:rPr>
        <w:t>. Also</w:t>
      </w:r>
      <w:r w:rsidR="00F2775C" w:rsidRPr="008654CF">
        <w:rPr>
          <w:lang w:val="en"/>
        </w:rPr>
        <w:t>,</w:t>
      </w:r>
      <w:r w:rsidR="004A17CD" w:rsidRPr="008654CF">
        <w:rPr>
          <w:lang w:val="en"/>
        </w:rPr>
        <w:t xml:space="preserve"> </w:t>
      </w:r>
      <w:r w:rsidR="00354F26" w:rsidRPr="008654CF">
        <w:rPr>
          <w:lang w:val="en"/>
        </w:rPr>
        <w:t>no invasions of natural areas were reported</w:t>
      </w:r>
      <w:r w:rsidR="004A17CD" w:rsidRPr="008654CF">
        <w:rPr>
          <w:lang w:val="en"/>
        </w:rPr>
        <w:t xml:space="preserve"> </w:t>
      </w:r>
      <w:r w:rsidR="004A17CD" w:rsidRPr="008654CF">
        <w:rPr>
          <w:lang w:val="en"/>
        </w:rPr>
        <w:fldChar w:fldCharType="begin"/>
      </w:r>
      <w:r w:rsidR="004A17CD" w:rsidRPr="008654CF">
        <w:rPr>
          <w:lang w:val="en"/>
        </w:rPr>
        <w:instrText xml:space="preserve"> ADDIN EN.CITE &lt;EndNote&gt;&lt;Cite&gt;&lt;Author&gt;Beckie&lt;/Author&gt;&lt;Year&gt;2011&lt;/Year&gt;&lt;RecNum&gt;23312&lt;/RecNum&gt;&lt;DisplayText&gt;(Beckie et al., 2011)&lt;/DisplayText&gt;&lt;record&gt;&lt;rec-number&gt;23312&lt;/rec-number&gt;&lt;foreign-keys&gt;&lt;key app="EN" db-id="avrzt5sv7wwaa2epps1vzttcw5r5awswf02e" timestamp="1608177117"&gt;23312&lt;/key&gt;&lt;/foreign-keys&gt;&lt;ref-type name="Journal Article"&gt;17&lt;/ref-type&gt;&lt;contributors&gt;&lt;authors&gt;&lt;author&gt;Beckie, H. J.&lt;/author&gt;&lt;author&gt;Harker, K. N.&lt;/author&gt;&lt;author&gt;Légère, A.&lt;/author&gt;&lt;author&gt;Morrison, M. J.&lt;/author&gt;&lt;author&gt;Séguin-Swartz, G.&lt;/author&gt;&lt;author&gt;Falk, K. C.&lt;/author&gt;&lt;/authors&gt;&lt;/contributors&gt;&lt;titles&gt;&lt;title&gt;GM canola: The Canadian experience&lt;/title&gt;&lt;secondary-title&gt;Farm Policy Journal&lt;/secondary-title&gt;&lt;/titles&gt;&lt;periodical&gt;&lt;full-title&gt;Farm Policy Journal&lt;/full-title&gt;&lt;/periodical&gt;&lt;pages&gt;43-49&lt;/pages&gt;&lt;volume&gt;8&lt;/volume&gt;&lt;number&gt;1&lt;/number&gt;&lt;section&gt;43&lt;/section&gt;&lt;dates&gt;&lt;year&gt;2011&lt;/year&gt;&lt;/dates&gt;&lt;publisher&gt;Australian Farm Institute&lt;/publisher&gt;&lt;urls&gt;&lt;/urls&gt;&lt;/record&gt;&lt;/Cite&gt;&lt;/EndNote&gt;</w:instrText>
      </w:r>
      <w:r w:rsidR="004A17CD" w:rsidRPr="008654CF">
        <w:rPr>
          <w:lang w:val="en"/>
        </w:rPr>
        <w:fldChar w:fldCharType="separate"/>
      </w:r>
      <w:r w:rsidR="004A17CD" w:rsidRPr="008654CF">
        <w:rPr>
          <w:lang w:val="en"/>
        </w:rPr>
        <w:t>(Beckie et al., 2011)</w:t>
      </w:r>
      <w:r w:rsidR="004A17CD" w:rsidRPr="008654CF">
        <w:rPr>
          <w:lang w:val="en"/>
        </w:rPr>
        <w:fldChar w:fldCharType="end"/>
      </w:r>
      <w:r w:rsidR="0029674F" w:rsidRPr="008654CF">
        <w:rPr>
          <w:lang w:val="en"/>
        </w:rPr>
        <w:t>.</w:t>
      </w:r>
      <w:r w:rsidR="009578D7">
        <w:rPr>
          <w:lang w:val="en"/>
        </w:rPr>
        <w:t xml:space="preserve"> </w:t>
      </w:r>
    </w:p>
    <w:p w14:paraId="1D90DB19" w14:textId="04850D5E" w:rsidR="000E1809" w:rsidRPr="008654CF" w:rsidRDefault="00F022B5" w:rsidP="00225888">
      <w:pPr>
        <w:pStyle w:val="RARMPPara"/>
      </w:pPr>
      <w:r w:rsidRPr="008654CF">
        <w:t xml:space="preserve">In the USA, </w:t>
      </w:r>
      <w:r w:rsidR="00A20FD0" w:rsidRPr="008654CF">
        <w:t xml:space="preserve">following commercial cultivation of </w:t>
      </w:r>
      <w:r w:rsidR="007157B8">
        <w:t>GM HT</w:t>
      </w:r>
      <w:r w:rsidR="00A20FD0" w:rsidRPr="008654CF">
        <w:t xml:space="preserve"> cultivars, including </w:t>
      </w:r>
      <w:r w:rsidR="00074836" w:rsidRPr="008654CF">
        <w:t xml:space="preserve">MON-ØØØ73-7 </w:t>
      </w:r>
      <w:r w:rsidR="00A20FD0" w:rsidRPr="008654CF">
        <w:t xml:space="preserve">canola, </w:t>
      </w:r>
      <w:r w:rsidR="00F542E4" w:rsidRPr="008654CF">
        <w:t xml:space="preserve">the presence of large, </w:t>
      </w:r>
      <w:r w:rsidRPr="008654CF">
        <w:t xml:space="preserve">widespread </w:t>
      </w:r>
      <w:r w:rsidR="00F542E4" w:rsidRPr="008654CF">
        <w:t xml:space="preserve">populations </w:t>
      </w:r>
      <w:r w:rsidR="00C434A3" w:rsidRPr="008654CF">
        <w:t xml:space="preserve">of feral </w:t>
      </w:r>
      <w:r w:rsidR="00F634B4">
        <w:t>GT</w:t>
      </w:r>
      <w:r w:rsidR="00F542E4" w:rsidRPr="008654CF">
        <w:t xml:space="preserve"> </w:t>
      </w:r>
      <w:r w:rsidR="00C434A3" w:rsidRPr="008654CF">
        <w:t xml:space="preserve">canola </w:t>
      </w:r>
      <w:r w:rsidR="00354F26" w:rsidRPr="008654CF">
        <w:t xml:space="preserve">along roadsides in </w:t>
      </w:r>
      <w:r w:rsidR="00F542E4" w:rsidRPr="008654CF">
        <w:t>canola-</w:t>
      </w:r>
      <w:r w:rsidR="00354F26" w:rsidRPr="008654CF">
        <w:t>growing region</w:t>
      </w:r>
      <w:r w:rsidR="00474ED5" w:rsidRPr="008654CF">
        <w:t>s</w:t>
      </w:r>
      <w:r w:rsidR="00354F26" w:rsidRPr="008654CF">
        <w:t xml:space="preserve"> </w:t>
      </w:r>
      <w:r w:rsidR="00C434A3" w:rsidRPr="008654CF">
        <w:t>was confirmed</w:t>
      </w:r>
      <w:r w:rsidR="00354F26" w:rsidRPr="008654CF">
        <w:t xml:space="preserve">, </w:t>
      </w:r>
      <w:r w:rsidR="00C434A3" w:rsidRPr="008654CF">
        <w:t xml:space="preserve">which </w:t>
      </w:r>
      <w:r w:rsidR="00F2775C" w:rsidRPr="008654CF">
        <w:t xml:space="preserve">indicated </w:t>
      </w:r>
      <w:r w:rsidR="00354F26" w:rsidRPr="008654CF">
        <w:t xml:space="preserve">the dispersal </w:t>
      </w:r>
      <w:r w:rsidR="006E5C49">
        <w:t xml:space="preserve">and </w:t>
      </w:r>
      <w:r w:rsidR="009D2162">
        <w:t xml:space="preserve">the likely </w:t>
      </w:r>
      <w:r w:rsidR="006E5C49">
        <w:t>persistence</w:t>
      </w:r>
      <w:r w:rsidR="009D2162">
        <w:t xml:space="preserve"> beyond single years</w:t>
      </w:r>
      <w:r w:rsidR="006E5C49">
        <w:t xml:space="preserve"> </w:t>
      </w:r>
      <w:r w:rsidR="00354F26" w:rsidRPr="008654CF">
        <w:t>of GM canola outside cultivation</w:t>
      </w:r>
      <w:r w:rsidR="00970D00" w:rsidRPr="008654CF">
        <w:t xml:space="preserve"> </w:t>
      </w:r>
      <w:r w:rsidR="00D24957" w:rsidRPr="008654CF">
        <w:fldChar w:fldCharType="begin">
          <w:fldData xml:space="preserve">PEVuZE5vdGU+PENpdGU+PEF1dGhvcj5TY2hhZmVyPC9BdXRob3I+PFllYXI+MjAxMTwvWWVhcj48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</w:fldData>
        </w:fldChar>
      </w:r>
      <w:r w:rsidR="00F81BAC" w:rsidRPr="008654CF">
        <w:instrText xml:space="preserve"> ADDIN EN.CITE </w:instrText>
      </w:r>
      <w:r w:rsidR="00F81BAC" w:rsidRPr="008654CF">
        <w:fldChar w:fldCharType="begin">
          <w:fldData xml:space="preserve">PEVuZE5vdGU+PENpdGU+PEF1dGhvcj5TY2hhZmVyPC9BdXRob3I+PFllYXI+MjAxMTwvWWVhcj48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</w:fldData>
        </w:fldChar>
      </w:r>
      <w:r w:rsidR="00F81BAC" w:rsidRPr="008654CF">
        <w:instrText xml:space="preserve"> ADDIN EN.CITE.DATA </w:instrText>
      </w:r>
      <w:r w:rsidR="00F81BAC" w:rsidRPr="008654CF">
        <w:fldChar w:fldCharType="end"/>
      </w:r>
      <w:r w:rsidR="00D24957" w:rsidRPr="008654CF">
        <w:fldChar w:fldCharType="separate"/>
      </w:r>
      <w:r w:rsidR="00F81BAC" w:rsidRPr="008654CF">
        <w:rPr>
          <w:noProof/>
        </w:rPr>
        <w:t>(Schafer et al., 2011; Munier et al., 2012)</w:t>
      </w:r>
      <w:r w:rsidR="00D24957" w:rsidRPr="008654CF">
        <w:fldChar w:fldCharType="end"/>
      </w:r>
      <w:r w:rsidR="00354F26" w:rsidRPr="008654CF">
        <w:t xml:space="preserve">. </w:t>
      </w:r>
      <w:r w:rsidR="00225888">
        <w:t>T</w:t>
      </w:r>
      <w:r w:rsidR="00225888" w:rsidRPr="00225888">
        <w:t xml:space="preserve">hese populations </w:t>
      </w:r>
      <w:r w:rsidR="00225888">
        <w:t xml:space="preserve">appeared to </w:t>
      </w:r>
      <w:r w:rsidR="00225888" w:rsidRPr="00225888">
        <w:t>occur both in habitats with selection pressure</w:t>
      </w:r>
      <w:r w:rsidR="00225888">
        <w:t xml:space="preserve"> </w:t>
      </w:r>
      <w:r w:rsidR="00225888" w:rsidRPr="00225888">
        <w:t>(roadsides sprayed with glyphosate) and also in habitats</w:t>
      </w:r>
      <w:r w:rsidR="00225888">
        <w:t xml:space="preserve"> </w:t>
      </w:r>
      <w:r w:rsidR="00225888" w:rsidRPr="00225888">
        <w:t>without obvious selection pressure</w:t>
      </w:r>
      <w:r w:rsidR="00225888">
        <w:t xml:space="preserve"> </w:t>
      </w:r>
      <w:r w:rsidR="00225888" w:rsidRPr="008654CF">
        <w:fldChar w:fldCharType="begin"/>
      </w:r>
      <w:r w:rsidR="00225888" w:rsidRPr="008654CF">
        <w:instrText xml:space="preserve"> ADDIN EN.CITE &lt;EndNote&gt;&lt;Cite&gt;&lt;Author&gt;Schafer&lt;/Author&gt;&lt;Year&gt;2011&lt;/Year&gt;&lt;RecNum&gt;12&lt;/RecNum&gt;&lt;DisplayText&gt;(Schafer et al., 2011)&lt;/DisplayText&gt;&lt;record&gt;&lt;rec-number&gt;12&lt;/rec-number&gt;&lt;foreign-keys&gt;&lt;key app="EN" db-id="9dp50sxsprrex2eedwtvdxsjxpw9tv52v0ae" timestamp="1636959113"&gt;12&lt;/key&gt;&lt;/foreign-keys&gt;&lt;ref-type name="Journal Article"&gt;17&lt;/ref-type&gt;&lt;contributors&gt;&lt;authors&gt;&lt;author&gt;Schafer, M. G.&lt;/author&gt;&lt;author&gt;Ross, A. A.&lt;/author&gt;&lt;author&gt;Londo, J. P.&lt;/author&gt;&lt;author&gt;Burdick, C. A.&lt;/author&gt;&lt;author&gt;Lee, E. H.&lt;/author&gt;&lt;author&gt;Travers, S. E.&lt;/author&gt;&lt;author&gt;Van de Water, P. K.&lt;/author&gt;&lt;author&gt;Sagers, C. L.&lt;/author&gt;&lt;/authors&gt;&lt;/contributors&gt;&lt;auth-address&gt;Department of Biological Sciences, University of Arkansas, Fayetteville, Arkansas, United States of America.&lt;/auth-address&gt;&lt;titles&gt;&lt;title&gt;The establishment of genetically engineered canola populations in the U.S&lt;/title&gt;&lt;secondary-title&gt;PLoS One&lt;/secondary-title&gt;&lt;/titles&gt;&lt;periodical&gt;&lt;full-title&gt;PLoS One&lt;/full-title&gt;&lt;/periodical&gt;&lt;pages&gt;e25736&lt;/pages&gt;&lt;volume&gt;6&lt;/volume&gt;&lt;number&gt;10&lt;/number&gt;&lt;edition&gt;2011/10/15&lt;/edition&gt;&lt;keywords&gt;&lt;keyword&gt;Brassica napus/*genetics/*growth &amp;amp; development&lt;/keyword&gt;&lt;keyword&gt;Data Collection&lt;/keyword&gt;&lt;keyword&gt;Food, Genetically Modified/statistics &amp;amp; numerical data&lt;/keyword&gt;&lt;keyword&gt;Plants, Genetically Modified/genetics/*growth &amp;amp; development&lt;/keyword&gt;&lt;keyword&gt;United States&lt;/keyword&gt;&lt;/keywords&gt;&lt;dates&gt;&lt;year&gt;2011&lt;/year&gt;&lt;/dates&gt;&lt;isbn&gt;1932-6203 (Electronic)&amp;#xD;1932-6203 (Linking)&lt;/isbn&gt;&lt;accession-num&gt;21998689&lt;/accession-num&gt;&lt;urls&gt;&lt;related-urls&gt;&lt;url&gt;https://www.ncbi.nlm.nih.gov/pubmed/21998689&lt;/url&gt;&lt;/related-urls&gt;&lt;/urls&gt;&lt;custom2&gt;PMC3187797&lt;/custom2&gt;&lt;electronic-resource-num&gt;10.1371/journal.pone.0025736&lt;/electronic-resource-num&gt;&lt;/record&gt;&lt;/Cite&gt;&lt;/EndNote&gt;</w:instrText>
      </w:r>
      <w:r w:rsidR="00225888" w:rsidRPr="008654CF">
        <w:fldChar w:fldCharType="separate"/>
      </w:r>
      <w:r w:rsidR="00225888" w:rsidRPr="008654CF">
        <w:rPr>
          <w:noProof/>
        </w:rPr>
        <w:t>(Schafer et al., 2011)</w:t>
      </w:r>
      <w:r w:rsidR="00225888" w:rsidRPr="008654CF">
        <w:fldChar w:fldCharType="end"/>
      </w:r>
      <w:r w:rsidR="00225888">
        <w:t>.</w:t>
      </w:r>
      <w:r w:rsidR="00225888" w:rsidRPr="00225888">
        <w:t xml:space="preserve"> </w:t>
      </w:r>
      <w:r w:rsidR="000E1809" w:rsidRPr="008654CF">
        <w:t>In addition, h</w:t>
      </w:r>
      <w:r w:rsidR="00354F26" w:rsidRPr="008654CF">
        <w:t xml:space="preserve">ybridisation or stacking of </w:t>
      </w:r>
      <w:r w:rsidR="000E1809" w:rsidRPr="008654CF">
        <w:t>glyphosate</w:t>
      </w:r>
      <w:r w:rsidR="00407C4C">
        <w:t xml:space="preserve"> </w:t>
      </w:r>
      <w:r w:rsidR="000E1809" w:rsidRPr="008654CF">
        <w:t>tolerance</w:t>
      </w:r>
      <w:r w:rsidR="00354F26" w:rsidRPr="008654CF">
        <w:t xml:space="preserve"> genes </w:t>
      </w:r>
      <w:r w:rsidR="000E1809" w:rsidRPr="008654CF">
        <w:t>with</w:t>
      </w:r>
      <w:r w:rsidR="00A74F3F">
        <w:t xml:space="preserve"> a</w:t>
      </w:r>
      <w:r w:rsidR="000E1809" w:rsidRPr="008654CF">
        <w:t xml:space="preserve"> </w:t>
      </w:r>
      <w:proofErr w:type="spellStart"/>
      <w:r w:rsidR="000E1809" w:rsidRPr="008654CF">
        <w:t>glufosinate</w:t>
      </w:r>
      <w:proofErr w:type="spellEnd"/>
      <w:r w:rsidR="00685B9A">
        <w:t>-</w:t>
      </w:r>
      <w:r w:rsidR="000E1809" w:rsidRPr="008654CF">
        <w:t xml:space="preserve">tolerance gene </w:t>
      </w:r>
      <w:r w:rsidR="00354F26" w:rsidRPr="008654CF">
        <w:t xml:space="preserve">was observed in </w:t>
      </w:r>
      <w:r w:rsidR="000E1809" w:rsidRPr="008654CF">
        <w:t xml:space="preserve">feral canola populations </w:t>
      </w:r>
      <w:r w:rsidR="00D24957" w:rsidRPr="008654CF">
        <w:fldChar w:fldCharType="begin"/>
      </w:r>
      <w:r w:rsidR="00F81BAC" w:rsidRPr="008654CF">
        <w:instrText xml:space="preserve"> ADDIN EN.CITE &lt;EndNote&gt;&lt;Cite&gt;&lt;Author&gt;Schafer&lt;/Author&gt;&lt;Year&gt;2011&lt;/Year&gt;&lt;RecNum&gt;12&lt;/RecNum&gt;&lt;DisplayText&gt;(Schafer et al., 2011)&lt;/DisplayText&gt;&lt;record&gt;&lt;rec-number&gt;12&lt;/rec-number&gt;&lt;foreign-keys&gt;&lt;key app="EN" db-id="9dp50sxsprrex2eedwtvdxsjxpw9tv52v0ae" timestamp="1636959113"&gt;12&lt;/key&gt;&lt;/foreign-keys&gt;&lt;ref-type name="Journal Article"&gt;17&lt;/ref-type&gt;&lt;contributors&gt;&lt;authors&gt;&lt;author&gt;Schafer, M. G.&lt;/author&gt;&lt;author&gt;Ross, A. A.&lt;/author&gt;&lt;author&gt;Londo, J. P.&lt;/author&gt;&lt;author&gt;Burdick, C. A.&lt;/author&gt;&lt;author&gt;Lee, E. H.&lt;/author&gt;&lt;author&gt;Travers, S. E.&lt;/author&gt;&lt;author&gt;Van de Water, P. K.&lt;/author&gt;&lt;author&gt;Sagers, C. L.&lt;/author&gt;&lt;/authors&gt;&lt;/contributors&gt;&lt;auth-address&gt;Department of Biological Sciences, University of Arkansas, Fayetteville, Arkansas, United States of America.&lt;/auth-address&gt;&lt;titles&gt;&lt;title&gt;The establishment of genetically engineered canola populations in the U.S&lt;/title&gt;&lt;secondary-title&gt;PLoS One&lt;/secondary-title&gt;&lt;/titles&gt;&lt;periodical&gt;&lt;full-title&gt;PLoS One&lt;/full-title&gt;&lt;/periodical&gt;&lt;pages&gt;e25736&lt;/pages&gt;&lt;volume&gt;6&lt;/volume&gt;&lt;number&gt;10&lt;/number&gt;&lt;edition&gt;2011/10/15&lt;/edition&gt;&lt;keywords&gt;&lt;keyword&gt;Brassica napus/*genetics/*growth &amp;amp; development&lt;/keyword&gt;&lt;keyword&gt;Data Collection&lt;/keyword&gt;&lt;keyword&gt;Food, Genetically Modified/statistics &amp;amp; numerical data&lt;/keyword&gt;&lt;keyword&gt;Plants, Genetically Modified/genetics/*growth &amp;amp; development&lt;/keyword&gt;&lt;keyword&gt;United States&lt;/keyword&gt;&lt;/keywords&gt;&lt;dates&gt;&lt;year&gt;2011&lt;/year&gt;&lt;/dates&gt;&lt;isbn&gt;1932-6203 (Electronic)&amp;#xD;1932-6203 (Linking)&lt;/isbn&gt;&lt;accession-num&gt;21998689&lt;/accession-num&gt;&lt;urls&gt;&lt;related-urls&gt;&lt;url&gt;https://www.ncbi.nlm.nih.gov/pubmed/21998689&lt;/url&gt;&lt;/related-urls&gt;&lt;/urls&gt;&lt;custom2&gt;PMC3187797&lt;/custom2&gt;&lt;electronic-resource-num&gt;10.1371/journal.pone.0025736&lt;/electronic-resource-num&gt;&lt;/record&gt;&lt;/Cite&gt;&lt;/EndNote&gt;</w:instrText>
      </w:r>
      <w:r w:rsidR="00D24957" w:rsidRPr="008654CF">
        <w:fldChar w:fldCharType="separate"/>
      </w:r>
      <w:r w:rsidR="00F81BAC" w:rsidRPr="008654CF">
        <w:rPr>
          <w:noProof/>
        </w:rPr>
        <w:t>(Schafer et al., 2011)</w:t>
      </w:r>
      <w:r w:rsidR="00D24957" w:rsidRPr="008654CF">
        <w:fldChar w:fldCharType="end"/>
      </w:r>
      <w:r w:rsidR="00354F26" w:rsidRPr="008654CF">
        <w:t xml:space="preserve">. </w:t>
      </w:r>
      <w:r w:rsidR="00E677DB" w:rsidRPr="008654CF">
        <w:t xml:space="preserve">Secondary dormancy of canola seed through shallow burial and tolerance to glyphosate made </w:t>
      </w:r>
      <w:r w:rsidR="00407C4C">
        <w:t>GT</w:t>
      </w:r>
      <w:r w:rsidR="00E677DB" w:rsidRPr="008654CF">
        <w:t xml:space="preserve"> canola volunteers </w:t>
      </w:r>
      <w:r w:rsidR="00C83040" w:rsidRPr="008654CF">
        <w:t>weedier</w:t>
      </w:r>
      <w:r w:rsidR="00C6230F" w:rsidRPr="008654CF">
        <w:t xml:space="preserve"> in </w:t>
      </w:r>
      <w:r w:rsidR="000C0BFF" w:rsidRPr="008654CF">
        <w:t xml:space="preserve">certain </w:t>
      </w:r>
      <w:r w:rsidR="00C6230F" w:rsidRPr="008654CF">
        <w:t xml:space="preserve">regions where </w:t>
      </w:r>
      <w:r w:rsidR="00C83040" w:rsidRPr="008654CF">
        <w:t xml:space="preserve">there are restrictions on phenoxy herbicide use </w:t>
      </w:r>
      <w:r w:rsidR="00D24957" w:rsidRPr="008654CF">
        <w:fldChar w:fldCharType="begin"/>
      </w:r>
      <w:r w:rsidR="00F81BAC" w:rsidRPr="008654CF">
        <w:instrText xml:space="preserve"> ADDIN EN.CITE &lt;EndNote&gt;&lt;Cite&gt;&lt;Author&gt;Munier&lt;/Author&gt;&lt;Year&gt;2012&lt;/Year&gt;&lt;RecNum&gt;20&lt;/RecNum&gt;&lt;DisplayText&gt;(Munier et al., 2012)&lt;/DisplayText&gt;&lt;record&gt;&lt;rec-number&gt;20&lt;/rec-number&gt;&lt;foreign-keys&gt;&lt;key app="EN" db-id="9dp50sxsprrex2eedwtvdxsjxpw9tv52v0ae" timestamp="1638195916"&gt;20&lt;/key&gt;&lt;/foreign-keys&gt;&lt;ref-type name="Journal Article"&gt;17&lt;/ref-type&gt;&lt;contributors&gt;&lt;authors&gt;&lt;author&gt;Munier, D. J.&lt;/author&gt;&lt;author&gt;Brittan, K. L.&lt;/author&gt;&lt;author&gt;Lanini, W. T.&lt;/author&gt;&lt;/authors&gt;&lt;/contributors&gt;&lt;auth-address&gt;University of California Cooperative Extension, P.O. Box 697, Orland, CA 95963, USA. djmunier@ucdavis.edu&lt;/auth-address&gt;&lt;titles&gt;&lt;title&gt;Seed bank persistence of genetically modified canola in California&lt;/title&gt;&lt;secondary-title&gt;Environ Sci Pollut Res Int&lt;/secondary-title&gt;&lt;/titles&gt;&lt;periodical&gt;&lt;full-title&gt;Environ Sci Pollut Res Int&lt;/full-title&gt;&lt;/periodical&gt;&lt;pages&gt;2281-4&lt;/pages&gt;&lt;volume&gt;19&lt;/volume&gt;&lt;number&gt;6&lt;/number&gt;&lt;edition&gt;2012/01/20&lt;/edition&gt;&lt;keywords&gt;&lt;keyword&gt;Brassica napus/*physiology&lt;/keyword&gt;&lt;keyword&gt;California&lt;/keyword&gt;&lt;keyword&gt;Germination&lt;/keyword&gt;&lt;keyword&gt;Glycine/analogs &amp;amp; derivatives&lt;/keyword&gt;&lt;keyword&gt;Herbicide Resistance&lt;/keyword&gt;&lt;keyword&gt;Herbicides&lt;/keyword&gt;&lt;keyword&gt;Plants, Genetically Modified/*physiology&lt;/keyword&gt;&lt;keyword&gt;Seeds/*physiology&lt;/keyword&gt;&lt;keyword&gt;Time Factors&lt;/keyword&gt;&lt;/keywords&gt;&lt;dates&gt;&lt;year&gt;2012&lt;/year&gt;&lt;pub-dates&gt;&lt;date&gt;Jul&lt;/date&gt;&lt;/pub-dates&gt;&lt;/dates&gt;&lt;isbn&gt;1614-7499 (Electronic)&amp;#xD;0944-1344 (Linking)&lt;/isbn&gt;&lt;accession-num&gt;22258428&lt;/accession-num&gt;&lt;urls&gt;&lt;related-urls&gt;&lt;url&gt;https://www.ncbi.nlm.nih.gov/pubmed/22258428&lt;/url&gt;&lt;/related-urls&gt;&lt;/urls&gt;&lt;electronic-resource-num&gt;10.1007/s11356-011-0733-8&lt;/electronic-resource-num&gt;&lt;/record&gt;&lt;/Cite&gt;&lt;/EndNote&gt;</w:instrText>
      </w:r>
      <w:r w:rsidR="00D24957" w:rsidRPr="008654CF">
        <w:fldChar w:fldCharType="separate"/>
      </w:r>
      <w:r w:rsidR="00F81BAC" w:rsidRPr="008654CF">
        <w:rPr>
          <w:noProof/>
        </w:rPr>
        <w:t>(Munier et al., 2012)</w:t>
      </w:r>
      <w:r w:rsidR="00D24957" w:rsidRPr="008654CF">
        <w:fldChar w:fldCharType="end"/>
      </w:r>
      <w:r w:rsidR="00C83040" w:rsidRPr="008654CF">
        <w:t>.</w:t>
      </w:r>
    </w:p>
    <w:p w14:paraId="1E87DF87" w14:textId="397AFFCC" w:rsidR="00F37795" w:rsidRPr="008654CF" w:rsidRDefault="00C229B1" w:rsidP="0075608E">
      <w:pPr>
        <w:pStyle w:val="RARMPPara"/>
      </w:pPr>
      <w:r w:rsidRPr="008654CF">
        <w:rPr>
          <w:iCs/>
          <w:lang w:val="en"/>
        </w:rPr>
        <w:t xml:space="preserve">In the </w:t>
      </w:r>
      <w:r w:rsidR="0059478C" w:rsidRPr="008654CF">
        <w:rPr>
          <w:iCs/>
          <w:lang w:val="en"/>
        </w:rPr>
        <w:t>European Union (</w:t>
      </w:r>
      <w:r w:rsidRPr="008654CF">
        <w:rPr>
          <w:iCs/>
          <w:lang w:val="en"/>
        </w:rPr>
        <w:t>EU</w:t>
      </w:r>
      <w:r w:rsidR="0059478C" w:rsidRPr="008654CF">
        <w:rPr>
          <w:iCs/>
          <w:lang w:val="en"/>
        </w:rPr>
        <w:t>)</w:t>
      </w:r>
      <w:r w:rsidRPr="008654CF">
        <w:rPr>
          <w:iCs/>
          <w:lang w:val="en"/>
        </w:rPr>
        <w:t xml:space="preserve"> and </w:t>
      </w:r>
      <w:r w:rsidR="002B49EB" w:rsidRPr="008654CF">
        <w:rPr>
          <w:iCs/>
          <w:lang w:val="en"/>
        </w:rPr>
        <w:t>many</w:t>
      </w:r>
      <w:r w:rsidRPr="008654CF">
        <w:rPr>
          <w:iCs/>
          <w:lang w:val="en"/>
        </w:rPr>
        <w:t xml:space="preserve"> other countries</w:t>
      </w:r>
      <w:r w:rsidR="002B49EB" w:rsidRPr="008654CF">
        <w:rPr>
          <w:iCs/>
          <w:lang w:val="en"/>
        </w:rPr>
        <w:t xml:space="preserve"> listed in Table 2</w:t>
      </w:r>
      <w:r w:rsidR="00A94B53" w:rsidRPr="008654CF">
        <w:rPr>
          <w:iCs/>
          <w:lang w:val="en"/>
        </w:rPr>
        <w:t xml:space="preserve">, </w:t>
      </w:r>
      <w:r w:rsidR="007F4C87" w:rsidRPr="008654CF">
        <w:t xml:space="preserve">MON-ØØØ73-7 </w:t>
      </w:r>
      <w:r w:rsidR="00685B9A">
        <w:t xml:space="preserve">canola </w:t>
      </w:r>
      <w:r w:rsidR="00A94B53" w:rsidRPr="008654CF">
        <w:rPr>
          <w:iCs/>
          <w:lang w:val="en"/>
        </w:rPr>
        <w:t xml:space="preserve">seed is </w:t>
      </w:r>
      <w:proofErr w:type="spellStart"/>
      <w:r w:rsidR="00A94B53" w:rsidRPr="008654CF">
        <w:rPr>
          <w:iCs/>
          <w:lang w:val="en"/>
        </w:rPr>
        <w:t>authorised</w:t>
      </w:r>
      <w:proofErr w:type="spellEnd"/>
      <w:r w:rsidR="00A94B53" w:rsidRPr="008654CF">
        <w:rPr>
          <w:iCs/>
          <w:lang w:val="en"/>
        </w:rPr>
        <w:t xml:space="preserve"> to be imported for processing and use as human food and</w:t>
      </w:r>
      <w:r w:rsidR="002B49EB" w:rsidRPr="008654CF">
        <w:rPr>
          <w:iCs/>
          <w:lang w:val="en"/>
        </w:rPr>
        <w:t>/or</w:t>
      </w:r>
      <w:r w:rsidR="00A94B53" w:rsidRPr="008654CF">
        <w:rPr>
          <w:iCs/>
          <w:lang w:val="en"/>
        </w:rPr>
        <w:t xml:space="preserve"> animal feed but </w:t>
      </w:r>
      <w:r w:rsidR="0042505F" w:rsidRPr="008654CF">
        <w:rPr>
          <w:iCs/>
          <w:lang w:val="en"/>
        </w:rPr>
        <w:t xml:space="preserve">not for </w:t>
      </w:r>
      <w:r w:rsidR="00A94B53" w:rsidRPr="008654CF">
        <w:rPr>
          <w:iCs/>
          <w:lang w:val="en"/>
        </w:rPr>
        <w:t xml:space="preserve">cultivation. However, </w:t>
      </w:r>
      <w:r w:rsidR="00D67FDA" w:rsidRPr="008654CF">
        <w:rPr>
          <w:iCs/>
          <w:lang w:val="en"/>
        </w:rPr>
        <w:t xml:space="preserve">volunteer or feral </w:t>
      </w:r>
      <w:r w:rsidR="007400CC">
        <w:rPr>
          <w:iCs/>
          <w:lang w:val="en"/>
        </w:rPr>
        <w:t>GT</w:t>
      </w:r>
      <w:r w:rsidR="002220B0">
        <w:rPr>
          <w:iCs/>
          <w:lang w:val="en"/>
        </w:rPr>
        <w:t xml:space="preserve"> canola</w:t>
      </w:r>
      <w:r w:rsidR="00F634B4">
        <w:rPr>
          <w:iCs/>
          <w:lang w:val="en"/>
        </w:rPr>
        <w:t>,</w:t>
      </w:r>
      <w:r w:rsidR="002220B0">
        <w:rPr>
          <w:iCs/>
          <w:lang w:val="en"/>
        </w:rPr>
        <w:t xml:space="preserve"> including </w:t>
      </w:r>
      <w:r w:rsidR="002220B0" w:rsidRPr="008654CF">
        <w:t>MON-ØØØ73-7</w:t>
      </w:r>
      <w:r w:rsidR="00F634B4">
        <w:t>,</w:t>
      </w:r>
      <w:r w:rsidR="002220B0" w:rsidRPr="008654CF">
        <w:t xml:space="preserve"> </w:t>
      </w:r>
      <w:r w:rsidR="002220B0" w:rsidRPr="008654CF">
        <w:rPr>
          <w:iCs/>
          <w:lang w:val="en"/>
        </w:rPr>
        <w:t xml:space="preserve"> </w:t>
      </w:r>
      <w:r w:rsidR="00D67FDA" w:rsidRPr="008654CF">
        <w:rPr>
          <w:iCs/>
          <w:lang w:val="en"/>
        </w:rPr>
        <w:t>ha</w:t>
      </w:r>
      <w:r w:rsidR="000129F6" w:rsidRPr="008654CF">
        <w:rPr>
          <w:iCs/>
          <w:lang w:val="en"/>
        </w:rPr>
        <w:t>s</w:t>
      </w:r>
      <w:r w:rsidR="00D67FDA" w:rsidRPr="008654CF">
        <w:rPr>
          <w:iCs/>
          <w:lang w:val="en"/>
        </w:rPr>
        <w:t xml:space="preserve"> been reported in countries</w:t>
      </w:r>
      <w:r w:rsidR="00365FEB" w:rsidRPr="008654CF">
        <w:rPr>
          <w:iCs/>
          <w:lang w:val="en"/>
        </w:rPr>
        <w:t xml:space="preserve"> such as </w:t>
      </w:r>
      <w:r w:rsidR="00C2669C" w:rsidRPr="008654CF">
        <w:rPr>
          <w:iCs/>
          <w:lang w:val="en"/>
        </w:rPr>
        <w:t xml:space="preserve">Austria, Switzerland, Latvia, </w:t>
      </w:r>
      <w:r w:rsidR="00365FEB" w:rsidRPr="008654CF">
        <w:rPr>
          <w:iCs/>
          <w:lang w:val="en"/>
        </w:rPr>
        <w:t>Japan and South Korea</w:t>
      </w:r>
      <w:r w:rsidR="00DB245F" w:rsidRPr="008654CF">
        <w:rPr>
          <w:iCs/>
          <w:lang w:val="en"/>
        </w:rPr>
        <w:t xml:space="preserve">, established through various </w:t>
      </w:r>
      <w:r w:rsidR="00F2775C" w:rsidRPr="008654CF">
        <w:rPr>
          <w:iCs/>
          <w:lang w:val="en"/>
        </w:rPr>
        <w:t xml:space="preserve">means </w:t>
      </w:r>
      <w:r w:rsidR="00DB245F" w:rsidRPr="008654CF">
        <w:rPr>
          <w:iCs/>
          <w:lang w:val="en"/>
        </w:rPr>
        <w:t xml:space="preserve">including </w:t>
      </w:r>
      <w:r w:rsidR="00045925" w:rsidRPr="008654CF">
        <w:rPr>
          <w:iCs/>
          <w:lang w:val="en"/>
        </w:rPr>
        <w:t>inadvertent seed import spills (</w:t>
      </w:r>
      <w:r w:rsidR="00DB245F" w:rsidRPr="008654CF">
        <w:rPr>
          <w:iCs/>
          <w:lang w:val="en"/>
        </w:rPr>
        <w:t xml:space="preserve">dispersal from </w:t>
      </w:r>
      <w:r w:rsidR="00DB245F" w:rsidRPr="008654CF">
        <w:rPr>
          <w:iCs/>
        </w:rPr>
        <w:t>unloading, handling and transportation</w:t>
      </w:r>
      <w:r w:rsidR="00045925" w:rsidRPr="008654CF">
        <w:rPr>
          <w:iCs/>
        </w:rPr>
        <w:t>)</w:t>
      </w:r>
      <w:r w:rsidR="00DB245F" w:rsidRPr="008654CF">
        <w:rPr>
          <w:iCs/>
          <w:lang w:val="en"/>
        </w:rPr>
        <w:t xml:space="preserve"> </w:t>
      </w:r>
      <w:r w:rsidR="0075608E" w:rsidRPr="008654CF">
        <w:rPr>
          <w:iCs/>
          <w:lang w:val="en"/>
        </w:rPr>
        <w:t xml:space="preserve">and </w:t>
      </w:r>
      <w:r w:rsidR="0075608E" w:rsidRPr="008654CF">
        <w:rPr>
          <w:iCs/>
        </w:rPr>
        <w:t>as seed contaminants in other seed imports</w:t>
      </w:r>
      <w:r w:rsidR="00D67FDA" w:rsidRPr="008654CF">
        <w:rPr>
          <w:iCs/>
          <w:lang w:val="en"/>
        </w:rPr>
        <w:t xml:space="preserve"> </w:t>
      </w:r>
      <w:r w:rsidR="005657F8" w:rsidRPr="008654CF">
        <w:rPr>
          <w:iCs/>
          <w:lang w:val="en"/>
        </w:rPr>
        <w:fldChar w:fldCharType="begin">
          <w:fldData xml:space="preserve">PEVuZE5vdGU+PENpdGU+PEF1dGhvcj5Sb3N0b2tzPC9BdXRob3I+PFllYXI+MjAxOTwvWWVhcj48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</w:fldData>
        </w:fldChar>
      </w:r>
      <w:r w:rsidR="005657F8" w:rsidRPr="008654CF">
        <w:rPr>
          <w:iCs/>
          <w:lang w:val="en"/>
        </w:rPr>
        <w:instrText xml:space="preserve"> ADDIN EN.CITE </w:instrText>
      </w:r>
      <w:r w:rsidR="005657F8" w:rsidRPr="008654CF">
        <w:rPr>
          <w:iCs/>
          <w:lang w:val="en"/>
        </w:rPr>
        <w:fldChar w:fldCharType="begin">
          <w:fldData xml:space="preserve">PEVuZE5vdGU+PENpdGU+PEF1dGhvcj5Sb3N0b2tzPC9BdXRob3I+PFllYXI+MjAxOTwvWWVhcj48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</w:fldData>
        </w:fldChar>
      </w:r>
      <w:r w:rsidR="005657F8" w:rsidRPr="008654CF">
        <w:rPr>
          <w:iCs/>
          <w:lang w:val="en"/>
        </w:rPr>
        <w:instrText xml:space="preserve"> ADDIN EN.CITE.DATA </w:instrText>
      </w:r>
      <w:r w:rsidR="005657F8" w:rsidRPr="008654CF">
        <w:rPr>
          <w:iCs/>
          <w:lang w:val="en"/>
        </w:rPr>
      </w:r>
      <w:r w:rsidR="005657F8" w:rsidRPr="008654CF">
        <w:rPr>
          <w:iCs/>
          <w:lang w:val="en"/>
        </w:rPr>
        <w:fldChar w:fldCharType="end"/>
      </w:r>
      <w:r w:rsidR="005657F8" w:rsidRPr="008654CF">
        <w:rPr>
          <w:iCs/>
          <w:lang w:val="en"/>
        </w:rPr>
      </w:r>
      <w:r w:rsidR="005657F8" w:rsidRPr="008654CF">
        <w:rPr>
          <w:iCs/>
          <w:lang w:val="en"/>
        </w:rPr>
        <w:fldChar w:fldCharType="separate"/>
      </w:r>
      <w:r w:rsidR="005657F8" w:rsidRPr="008654CF">
        <w:rPr>
          <w:iCs/>
          <w:noProof/>
          <w:lang w:val="en"/>
        </w:rPr>
        <w:t>(Hecht et al., 2014; Schulze et al., 2014; Pascher et al., 2017; Grantina-Ievina et al., 2019; Rostoks et al., 2019; Umurzokov et al., 2019; Chen et al., 2020)</w:t>
      </w:r>
      <w:r w:rsidR="005657F8" w:rsidRPr="008654CF">
        <w:rPr>
          <w:iCs/>
          <w:lang w:val="en"/>
        </w:rPr>
        <w:fldChar w:fldCharType="end"/>
      </w:r>
      <w:r w:rsidR="00D67FDA" w:rsidRPr="008654CF">
        <w:rPr>
          <w:iCs/>
          <w:lang w:val="en"/>
        </w:rPr>
        <w:t xml:space="preserve">. </w:t>
      </w:r>
      <w:r w:rsidR="00F37795" w:rsidRPr="008654CF">
        <w:rPr>
          <w:iCs/>
          <w:lang w:val="en"/>
        </w:rPr>
        <w:t xml:space="preserve">While </w:t>
      </w:r>
      <w:r w:rsidR="00045925" w:rsidRPr="008654CF">
        <w:rPr>
          <w:iCs/>
          <w:lang w:val="en"/>
        </w:rPr>
        <w:t>canola</w:t>
      </w:r>
      <w:r w:rsidR="00F37795" w:rsidRPr="008654CF">
        <w:rPr>
          <w:iCs/>
          <w:lang w:val="en"/>
        </w:rPr>
        <w:t xml:space="preserve"> has characteristics such as secondary dormancy and small seed size that enable it to persist and be redistributed in the landscape, the presence of feral canola</w:t>
      </w:r>
      <w:r w:rsidR="00045925" w:rsidRPr="008654CF">
        <w:rPr>
          <w:iCs/>
          <w:lang w:val="en"/>
        </w:rPr>
        <w:t xml:space="preserve">, including </w:t>
      </w:r>
      <w:r w:rsidR="007400CC">
        <w:rPr>
          <w:iCs/>
          <w:lang w:val="en"/>
        </w:rPr>
        <w:t>HT</w:t>
      </w:r>
      <w:r w:rsidR="00045925" w:rsidRPr="008654CF">
        <w:rPr>
          <w:iCs/>
          <w:lang w:val="en"/>
        </w:rPr>
        <w:t xml:space="preserve"> canola such as </w:t>
      </w:r>
      <w:r w:rsidR="002220B0" w:rsidRPr="008654CF">
        <w:t>MON-ØØØ73-7</w:t>
      </w:r>
      <w:r w:rsidR="00045925" w:rsidRPr="008654CF">
        <w:rPr>
          <w:iCs/>
          <w:lang w:val="en"/>
        </w:rPr>
        <w:t>,</w:t>
      </w:r>
      <w:r w:rsidR="00F37795" w:rsidRPr="008654CF">
        <w:rPr>
          <w:iCs/>
          <w:lang w:val="en"/>
        </w:rPr>
        <w:t xml:space="preserve"> is not in itself an environmental or economic problem</w:t>
      </w:r>
      <w:r w:rsidR="00365FEB" w:rsidRPr="008654CF">
        <w:rPr>
          <w:iCs/>
          <w:lang w:val="en"/>
        </w:rPr>
        <w:t xml:space="preserve"> in </w:t>
      </w:r>
      <w:r w:rsidR="00F2775C" w:rsidRPr="008654CF">
        <w:rPr>
          <w:iCs/>
          <w:lang w:val="en"/>
        </w:rPr>
        <w:t>Europe</w:t>
      </w:r>
      <w:r w:rsidR="00045925" w:rsidRPr="008654CF">
        <w:rPr>
          <w:iCs/>
          <w:lang w:val="en"/>
        </w:rPr>
        <w:t xml:space="preserve"> </w:t>
      </w:r>
      <w:r w:rsidR="005657F8" w:rsidRPr="008654CF">
        <w:rPr>
          <w:iCs/>
          <w:lang w:val="en"/>
        </w:rPr>
        <w:fldChar w:fldCharType="begin"/>
      </w:r>
      <w:r w:rsidR="005657F8" w:rsidRPr="008654CF">
        <w:rPr>
          <w:iCs/>
          <w:lang w:val="en"/>
        </w:rPr>
        <w:instrText xml:space="preserve"> ADDIN EN.CITE &lt;EndNote&gt;&lt;Cite&gt;&lt;Author&gt;Devos&lt;/Author&gt;&lt;Year&gt;2012&lt;/Year&gt;&lt;RecNum&gt;11&lt;/RecNum&gt;&lt;DisplayText&gt;(Devos et al., 2012)&lt;/DisplayText&gt;&lt;record&gt;&lt;rec-number&gt;11&lt;/rec-number&gt;&lt;foreign-keys&gt;&lt;key app="EN" db-id="9dp50sxsprrex2eedwtvdxsjxpw9tv52v0ae" timestamp="1636955556"&gt;11&lt;/key&gt;&lt;/foreign-keys&gt;&lt;ref-type name="Journal Article"&gt;17&lt;/ref-type&gt;&lt;contributors&gt;&lt;authors&gt;&lt;author&gt;Devos, Y.&lt;/author&gt;&lt;author&gt;Hails, R. S.&lt;/author&gt;&lt;author&gt;Messean, A.&lt;/author&gt;&lt;author&gt;Perry, J. N.&lt;/author&gt;&lt;author&gt;Squire, G. R.&lt;/author&gt;&lt;/authors&gt;&lt;/contributors&gt;&lt;auth-address&gt;European Food Safety Authority, GMO Unit, Largo Natale Palli 5/A, 43121, Parma, Italy. Yann.Devos@efsa.europa.eu&lt;/auth-address&gt;&lt;titles&gt;&lt;title&gt;Feral genetically modified herbicide tolerant oilseed rape from seed import spills: are concerns scientifically justified?&lt;/title&gt;&lt;secondary-title&gt;Transgenic Res&lt;/secondary-title&gt;&lt;/titles&gt;&lt;periodical&gt;&lt;full-title&gt;Transgenic Res&lt;/full-title&gt;&lt;/periodical&gt;&lt;pages&gt;1-21&lt;/pages&gt;&lt;volume&gt;21&lt;/volume&gt;&lt;number&gt;1&lt;/number&gt;&lt;edition&gt;2011/04/29&lt;/edition&gt;&lt;keywords&gt;&lt;keyword&gt;Agriculture/*methods&lt;/keyword&gt;&lt;keyword&gt;Brassica napus/*genetics&lt;/keyword&gt;&lt;keyword&gt;European Union&lt;/keyword&gt;&lt;keyword&gt;Gene Flow&lt;/keyword&gt;&lt;keyword&gt;Herbicide Resistance/*genetics&lt;/keyword&gt;&lt;keyword&gt;*Introduced Species&lt;/keyword&gt;&lt;keyword&gt;Plant Dormancy/genetics&lt;/keyword&gt;&lt;keyword&gt;*Plants, Genetically Modified&lt;/keyword&gt;&lt;keyword&gt;Seeds/*genetics/*physiology&lt;/keyword&gt;&lt;/keywords&gt;&lt;dates&gt;&lt;year&gt;2012&lt;/year&gt;&lt;pub-dates&gt;&lt;date&gt;Feb&lt;/date&gt;&lt;/pub-dates&gt;&lt;/dates&gt;&lt;isbn&gt;1573-9368 (Electronic)&amp;#xD;0962-8819 (Linking)&lt;/isbn&gt;&lt;accession-num&gt;21526422&lt;/accession-num&gt;&lt;urls&gt;&lt;related-urls&gt;&lt;url&gt;https://www.ncbi.nlm.nih.gov/pubmed/21526422&lt;/url&gt;&lt;/related-urls&gt;&lt;/urls&gt;&lt;electronic-resource-num&gt;10.1007/s11248-011-9515-9&lt;/electronic-resource-num&gt;&lt;/record&gt;&lt;/Cite&gt;&lt;/EndNote&gt;</w:instrText>
      </w:r>
      <w:r w:rsidR="005657F8" w:rsidRPr="008654CF">
        <w:rPr>
          <w:iCs/>
          <w:lang w:val="en"/>
        </w:rPr>
        <w:fldChar w:fldCharType="separate"/>
      </w:r>
      <w:r w:rsidR="005657F8" w:rsidRPr="008654CF">
        <w:rPr>
          <w:iCs/>
          <w:noProof/>
          <w:lang w:val="en"/>
        </w:rPr>
        <w:t>(Devos et al., 2012)</w:t>
      </w:r>
      <w:r w:rsidR="005657F8" w:rsidRPr="008654CF">
        <w:rPr>
          <w:iCs/>
          <w:lang w:val="en"/>
        </w:rPr>
        <w:fldChar w:fldCharType="end"/>
      </w:r>
      <w:r w:rsidR="00F37795" w:rsidRPr="008654CF">
        <w:rPr>
          <w:iCs/>
          <w:lang w:val="en"/>
        </w:rPr>
        <w:t>.</w:t>
      </w:r>
    </w:p>
    <w:p w14:paraId="18D14780" w14:textId="1C84E95D" w:rsidR="00C229B1" w:rsidRPr="008654CF" w:rsidRDefault="005A607D" w:rsidP="00923A59">
      <w:pPr>
        <w:pStyle w:val="RARMPPara"/>
      </w:pPr>
      <w:r w:rsidRPr="008654CF">
        <w:rPr>
          <w:iCs/>
          <w:lang w:val="en"/>
        </w:rPr>
        <w:t>In Argentina</w:t>
      </w:r>
      <w:r w:rsidR="00217A0B" w:rsidRPr="008654CF">
        <w:rPr>
          <w:iCs/>
          <w:lang w:val="en"/>
        </w:rPr>
        <w:t xml:space="preserve">, </w:t>
      </w:r>
      <w:r w:rsidR="00222BA1" w:rsidRPr="008654CF">
        <w:rPr>
          <w:iCs/>
          <w:lang w:val="en"/>
        </w:rPr>
        <w:t xml:space="preserve">GM canola </w:t>
      </w:r>
      <w:r w:rsidR="007F2BEA" w:rsidRPr="008654CF">
        <w:rPr>
          <w:iCs/>
          <w:lang w:val="en"/>
        </w:rPr>
        <w:t>is banned from importation and cultivation</w:t>
      </w:r>
      <w:r w:rsidR="00F2775C" w:rsidRPr="008654CF">
        <w:rPr>
          <w:iCs/>
          <w:lang w:val="en"/>
        </w:rPr>
        <w:t>,</w:t>
      </w:r>
      <w:r w:rsidR="007F2BEA" w:rsidRPr="008654CF">
        <w:rPr>
          <w:iCs/>
          <w:lang w:val="en"/>
        </w:rPr>
        <w:t xml:space="preserve"> but</w:t>
      </w:r>
      <w:r w:rsidR="00222BA1" w:rsidRPr="008654CF">
        <w:rPr>
          <w:iCs/>
          <w:lang w:val="en"/>
        </w:rPr>
        <w:t xml:space="preserve"> </w:t>
      </w:r>
      <w:r w:rsidR="00C20F4F" w:rsidRPr="00C20F4F">
        <w:rPr>
          <w:iCs/>
        </w:rPr>
        <w:t>MON-ØØØ73-7</w:t>
      </w:r>
      <w:r w:rsidR="00217A0B" w:rsidRPr="008654CF">
        <w:rPr>
          <w:iCs/>
          <w:lang w:val="en"/>
        </w:rPr>
        <w:t xml:space="preserve"> canola has been found to invade </w:t>
      </w:r>
      <w:r w:rsidR="008A3D7F" w:rsidRPr="008654CF">
        <w:rPr>
          <w:iCs/>
          <w:lang w:val="en"/>
        </w:rPr>
        <w:t>the fields of other crops</w:t>
      </w:r>
      <w:r w:rsidR="007D3C55" w:rsidRPr="008654CF">
        <w:rPr>
          <w:iCs/>
          <w:lang w:val="en"/>
        </w:rPr>
        <w:t xml:space="preserve">, such as </w:t>
      </w:r>
      <w:r w:rsidR="00C20F4F">
        <w:rPr>
          <w:iCs/>
          <w:lang w:val="en"/>
        </w:rPr>
        <w:t>GT</w:t>
      </w:r>
      <w:r w:rsidR="00C20F4F" w:rsidRPr="008654CF">
        <w:rPr>
          <w:iCs/>
          <w:lang w:val="en"/>
        </w:rPr>
        <w:t xml:space="preserve"> </w:t>
      </w:r>
      <w:r w:rsidR="007D3C55" w:rsidRPr="008654CF">
        <w:rPr>
          <w:iCs/>
          <w:lang w:val="en"/>
        </w:rPr>
        <w:t>soybeans</w:t>
      </w:r>
      <w:r w:rsidR="007F2BEA" w:rsidRPr="008654CF">
        <w:rPr>
          <w:iCs/>
          <w:lang w:val="en"/>
        </w:rPr>
        <w:t xml:space="preserve"> </w:t>
      </w:r>
      <w:r w:rsidR="006B7FC1" w:rsidRPr="008654CF">
        <w:rPr>
          <w:iCs/>
          <w:lang w:val="en"/>
        </w:rPr>
        <w:fldChar w:fldCharType="begin">
          <w:fldData xml:space="preserve">PEVuZE5vdGU+PENpdGU+PEF1dGhvcj5QYW5kb2xmbzwvQXV0aG9yPjxZZWFyPjIwMTY8L1llYXI+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==
</w:fldData>
        </w:fldChar>
      </w:r>
      <w:r w:rsidR="00F81BAC" w:rsidRPr="008654CF">
        <w:rPr>
          <w:iCs/>
          <w:lang w:val="en"/>
        </w:rPr>
        <w:instrText xml:space="preserve"> ADDIN EN.CITE </w:instrText>
      </w:r>
      <w:r w:rsidR="00F81BAC" w:rsidRPr="008654CF">
        <w:rPr>
          <w:iCs/>
          <w:lang w:val="en"/>
        </w:rPr>
        <w:fldChar w:fldCharType="begin">
          <w:fldData xml:space="preserve">PEVuZE5vdGU+PENpdGU+PEF1dGhvcj5QYW5kb2xmbzwvQXV0aG9yPjxZZWFyPjIwMTY8L1llYXI+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==
</w:fldData>
        </w:fldChar>
      </w:r>
      <w:r w:rsidR="00F81BAC" w:rsidRPr="008654CF">
        <w:rPr>
          <w:iCs/>
          <w:lang w:val="en"/>
        </w:rPr>
        <w:instrText xml:space="preserve"> ADDIN EN.CITE.DATA </w:instrText>
      </w:r>
      <w:r w:rsidR="00F81BAC" w:rsidRPr="008654CF">
        <w:rPr>
          <w:iCs/>
          <w:lang w:val="en"/>
        </w:rPr>
      </w:r>
      <w:r w:rsidR="00F81BAC" w:rsidRPr="008654CF">
        <w:rPr>
          <w:iCs/>
          <w:lang w:val="en"/>
        </w:rPr>
        <w:fldChar w:fldCharType="end"/>
      </w:r>
      <w:r w:rsidR="006B7FC1" w:rsidRPr="008654CF">
        <w:rPr>
          <w:iCs/>
          <w:lang w:val="en"/>
        </w:rPr>
      </w:r>
      <w:r w:rsidR="006B7FC1" w:rsidRPr="008654CF">
        <w:rPr>
          <w:iCs/>
          <w:lang w:val="en"/>
        </w:rPr>
        <w:fldChar w:fldCharType="separate"/>
      </w:r>
      <w:r w:rsidR="00F81BAC" w:rsidRPr="008654CF">
        <w:rPr>
          <w:iCs/>
          <w:noProof/>
          <w:lang w:val="en"/>
        </w:rPr>
        <w:t>(Pandolfo et al., 2016)</w:t>
      </w:r>
      <w:r w:rsidR="006B7FC1" w:rsidRPr="008654CF">
        <w:rPr>
          <w:iCs/>
          <w:lang w:val="en"/>
        </w:rPr>
        <w:fldChar w:fldCharType="end"/>
      </w:r>
      <w:r w:rsidR="007D3C55" w:rsidRPr="008654CF">
        <w:rPr>
          <w:iCs/>
          <w:lang w:val="en"/>
        </w:rPr>
        <w:t>.</w:t>
      </w:r>
      <w:r w:rsidR="007F2BEA" w:rsidRPr="008654CF">
        <w:rPr>
          <w:iCs/>
          <w:lang w:val="en"/>
        </w:rPr>
        <w:t xml:space="preserve"> </w:t>
      </w:r>
      <w:r w:rsidR="007D3C55" w:rsidRPr="008654CF">
        <w:rPr>
          <w:iCs/>
          <w:lang w:val="en"/>
        </w:rPr>
        <w:t>Also, g</w:t>
      </w:r>
      <w:r w:rsidR="007F2BEA" w:rsidRPr="008654CF">
        <w:rPr>
          <w:iCs/>
          <w:lang w:val="en"/>
        </w:rPr>
        <w:t xml:space="preserve">ene flow of </w:t>
      </w:r>
      <w:r w:rsidR="00F634B4">
        <w:rPr>
          <w:iCs/>
          <w:lang w:val="en"/>
        </w:rPr>
        <w:t>HT</w:t>
      </w:r>
      <w:r w:rsidR="007F2BEA" w:rsidRPr="008654CF">
        <w:rPr>
          <w:iCs/>
          <w:lang w:val="en"/>
        </w:rPr>
        <w:t xml:space="preserve"> genes </w:t>
      </w:r>
      <w:r w:rsidR="00C13548" w:rsidRPr="008654CF">
        <w:rPr>
          <w:iCs/>
          <w:lang w:val="en"/>
        </w:rPr>
        <w:t>ha</w:t>
      </w:r>
      <w:r w:rsidR="00C13548">
        <w:rPr>
          <w:iCs/>
          <w:lang w:val="en"/>
        </w:rPr>
        <w:t>s</w:t>
      </w:r>
      <w:r w:rsidR="00C13548" w:rsidRPr="008654CF">
        <w:rPr>
          <w:iCs/>
          <w:lang w:val="en"/>
        </w:rPr>
        <w:t xml:space="preserve"> </w:t>
      </w:r>
      <w:r w:rsidR="007F2BEA" w:rsidRPr="008654CF">
        <w:rPr>
          <w:iCs/>
          <w:lang w:val="en"/>
        </w:rPr>
        <w:t xml:space="preserve">been shown to occur between </w:t>
      </w:r>
      <w:r w:rsidR="002220B0" w:rsidRPr="008654CF">
        <w:t xml:space="preserve">MON-ØØØ73-7 </w:t>
      </w:r>
      <w:r w:rsidR="007F2BEA" w:rsidRPr="008654CF">
        <w:rPr>
          <w:iCs/>
          <w:lang w:val="en"/>
        </w:rPr>
        <w:t xml:space="preserve">canola and </w:t>
      </w:r>
      <w:r w:rsidR="007F2BEA" w:rsidRPr="008654CF">
        <w:rPr>
          <w:i/>
          <w:lang w:val="en"/>
        </w:rPr>
        <w:t xml:space="preserve">Brassica </w:t>
      </w:r>
      <w:proofErr w:type="spellStart"/>
      <w:r w:rsidR="007F2BEA" w:rsidRPr="008654CF">
        <w:rPr>
          <w:i/>
          <w:lang w:val="en"/>
        </w:rPr>
        <w:t>rapa</w:t>
      </w:r>
      <w:proofErr w:type="spellEnd"/>
      <w:r w:rsidR="007F2BEA" w:rsidRPr="008654CF">
        <w:rPr>
          <w:iCs/>
          <w:lang w:val="en"/>
        </w:rPr>
        <w:t xml:space="preserve"> </w:t>
      </w:r>
      <w:r w:rsidR="006B7FC1" w:rsidRPr="008654CF">
        <w:rPr>
          <w:iCs/>
          <w:lang w:val="en"/>
        </w:rPr>
        <w:fldChar w:fldCharType="begin">
          <w:fldData xml:space="preserve">PEVuZE5vdGU+PENpdGU+PEF1dGhvcj5QYW5kb2xmbzwvQXV0aG9yPjxZZWFyPjIwMTg8L1llYXI+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</w:fldData>
        </w:fldChar>
      </w:r>
      <w:r w:rsidR="00F81BAC" w:rsidRPr="008654CF">
        <w:rPr>
          <w:iCs/>
          <w:lang w:val="en"/>
        </w:rPr>
        <w:instrText xml:space="preserve"> ADDIN EN.CITE </w:instrText>
      </w:r>
      <w:r w:rsidR="00F81BAC" w:rsidRPr="008654CF">
        <w:rPr>
          <w:iCs/>
          <w:lang w:val="en"/>
        </w:rPr>
        <w:fldChar w:fldCharType="begin">
          <w:fldData xml:space="preserve">PEVuZE5vdGU+PENpdGU+PEF1dGhvcj5QYW5kb2xmbzwvQXV0aG9yPjxZZWFyPjIwMTg8L1llYXI+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</w:fldData>
        </w:fldChar>
      </w:r>
      <w:r w:rsidR="00F81BAC" w:rsidRPr="008654CF">
        <w:rPr>
          <w:iCs/>
          <w:lang w:val="en"/>
        </w:rPr>
        <w:instrText xml:space="preserve"> ADDIN EN.CITE.DATA </w:instrText>
      </w:r>
      <w:r w:rsidR="00F81BAC" w:rsidRPr="008654CF">
        <w:rPr>
          <w:iCs/>
          <w:lang w:val="en"/>
        </w:rPr>
      </w:r>
      <w:r w:rsidR="00F81BAC" w:rsidRPr="008654CF">
        <w:rPr>
          <w:iCs/>
          <w:lang w:val="en"/>
        </w:rPr>
        <w:fldChar w:fldCharType="end"/>
      </w:r>
      <w:r w:rsidR="006B7FC1" w:rsidRPr="008654CF">
        <w:rPr>
          <w:iCs/>
          <w:lang w:val="en"/>
        </w:rPr>
      </w:r>
      <w:r w:rsidR="006B7FC1" w:rsidRPr="008654CF">
        <w:rPr>
          <w:iCs/>
          <w:lang w:val="en"/>
        </w:rPr>
        <w:fldChar w:fldCharType="separate"/>
      </w:r>
      <w:r w:rsidR="00F81BAC" w:rsidRPr="008654CF">
        <w:rPr>
          <w:iCs/>
          <w:noProof/>
          <w:lang w:val="en"/>
        </w:rPr>
        <w:t>(Pandolfo et al., 2018)</w:t>
      </w:r>
      <w:r w:rsidR="006B7FC1" w:rsidRPr="008654CF">
        <w:rPr>
          <w:iCs/>
          <w:lang w:val="en"/>
        </w:rPr>
        <w:fldChar w:fldCharType="end"/>
      </w:r>
      <w:r w:rsidR="007F2BEA" w:rsidRPr="008654CF">
        <w:rPr>
          <w:iCs/>
          <w:lang w:val="en"/>
        </w:rPr>
        <w:t>.</w:t>
      </w:r>
      <w:r w:rsidR="00FE48FB" w:rsidRPr="008654CF">
        <w:rPr>
          <w:iCs/>
          <w:lang w:val="en"/>
        </w:rPr>
        <w:t xml:space="preserve"> However, these </w:t>
      </w:r>
      <w:r w:rsidR="00C20F4F">
        <w:rPr>
          <w:iCs/>
          <w:lang w:val="en"/>
        </w:rPr>
        <w:t>GT</w:t>
      </w:r>
      <w:r w:rsidR="00FE48FB" w:rsidRPr="008654CF">
        <w:rPr>
          <w:iCs/>
          <w:lang w:val="en"/>
        </w:rPr>
        <w:t xml:space="preserve"> plants can be controlled by integrated weed management </w:t>
      </w:r>
      <w:r w:rsidR="00D90330" w:rsidRPr="008654CF">
        <w:rPr>
          <w:iCs/>
          <w:lang w:val="en"/>
        </w:rPr>
        <w:t xml:space="preserve">practices, </w:t>
      </w:r>
      <w:r w:rsidR="00FE48FB" w:rsidRPr="008654CF">
        <w:rPr>
          <w:iCs/>
          <w:lang w:val="en"/>
        </w:rPr>
        <w:t xml:space="preserve">including the use of alternative herbicides in various situations and crops. </w:t>
      </w:r>
    </w:p>
    <w:p w14:paraId="4BF3464F" w14:textId="4B6C76D7" w:rsidR="00937CCF" w:rsidRPr="008654CF" w:rsidRDefault="00937CCF" w:rsidP="00923A59">
      <w:pPr>
        <w:pStyle w:val="RARMPPara"/>
      </w:pPr>
      <w:r w:rsidRPr="008654CF">
        <w:t xml:space="preserve">Based on </w:t>
      </w:r>
      <w:r w:rsidR="0059478C" w:rsidRPr="008654CF">
        <w:t xml:space="preserve">the </w:t>
      </w:r>
      <w:r w:rsidRPr="008654CF">
        <w:t>available information</w:t>
      </w:r>
      <w:r w:rsidR="0041586E" w:rsidRPr="008654CF">
        <w:t xml:space="preserve"> and experience</w:t>
      </w:r>
      <w:r w:rsidRPr="008654CF">
        <w:t xml:space="preserve">, </w:t>
      </w:r>
      <w:r w:rsidR="0041586E" w:rsidRPr="008654CF">
        <w:t>it can be concluded that while</w:t>
      </w:r>
      <w:r w:rsidRPr="008654CF">
        <w:t xml:space="preserve"> </w:t>
      </w:r>
      <w:r w:rsidR="008C1B3B" w:rsidRPr="008C1B3B">
        <w:t xml:space="preserve">MON-ØØØ73-7 </w:t>
      </w:r>
      <w:r w:rsidRPr="008654CF">
        <w:t xml:space="preserve">plants can be considered a weed in certain contexts, it is not considered to be invasive or problematic weed outside agricultural systems. </w:t>
      </w:r>
      <w:bookmarkStart w:id="14" w:name="_Hlk89948480"/>
      <w:r w:rsidR="002220B0" w:rsidRPr="008654CF">
        <w:t xml:space="preserve">MON-ØØØ73-7 </w:t>
      </w:r>
      <w:bookmarkEnd w:id="14"/>
      <w:r w:rsidR="0041586E" w:rsidRPr="008654CF">
        <w:t xml:space="preserve">plants </w:t>
      </w:r>
      <w:r w:rsidRPr="008654CF">
        <w:t>can persist under favourable conditions and may at times require management, particularly when they volunteer in subsequent crops</w:t>
      </w:r>
      <w:r w:rsidR="00975764" w:rsidRPr="008654CF">
        <w:t>.</w:t>
      </w:r>
      <w:r w:rsidR="006539F2" w:rsidRPr="008654CF">
        <w:t xml:space="preserve"> </w:t>
      </w:r>
      <w:r w:rsidR="00595BED" w:rsidRPr="008654CF">
        <w:t xml:space="preserve">However, </w:t>
      </w:r>
      <w:r w:rsidR="006539F2" w:rsidRPr="008654CF">
        <w:t>no report</w:t>
      </w:r>
      <w:r w:rsidR="00DD5E57" w:rsidRPr="008654CF">
        <w:t>s were found indicating that volunteer</w:t>
      </w:r>
      <w:r w:rsidR="006539F2" w:rsidRPr="008654CF">
        <w:t xml:space="preserve"> </w:t>
      </w:r>
      <w:r w:rsidR="002220B0" w:rsidRPr="008654CF">
        <w:t xml:space="preserve">MON-ØØØ73-7 </w:t>
      </w:r>
      <w:r w:rsidR="00685B9A">
        <w:t xml:space="preserve">canola </w:t>
      </w:r>
      <w:r w:rsidR="00DD5E57" w:rsidRPr="008654CF">
        <w:t>was</w:t>
      </w:r>
      <w:r w:rsidR="006539F2" w:rsidRPr="008654CF">
        <w:t xml:space="preserve"> difficult to control in the environment under </w:t>
      </w:r>
      <w:r w:rsidR="00DD5E57" w:rsidRPr="008654CF">
        <w:t>either</w:t>
      </w:r>
      <w:r w:rsidR="006539F2" w:rsidRPr="008654CF">
        <w:t xml:space="preserve"> agricultural </w:t>
      </w:r>
      <w:r w:rsidR="00DD5E57" w:rsidRPr="008654CF">
        <w:t>or</w:t>
      </w:r>
      <w:r w:rsidR="006539F2" w:rsidRPr="008654CF">
        <w:t xml:space="preserve"> natural conditions.</w:t>
      </w:r>
    </w:p>
    <w:p w14:paraId="6CFA10A3" w14:textId="5EF179F1" w:rsidR="00347885" w:rsidRPr="008654CF" w:rsidRDefault="00347885" w:rsidP="00347885">
      <w:pPr>
        <w:pStyle w:val="Heading4"/>
        <w:spacing w:before="240" w:after="120"/>
        <w:rPr>
          <w:lang w:val="en"/>
        </w:rPr>
      </w:pPr>
      <w:r w:rsidRPr="008654CF">
        <w:rPr>
          <w:lang w:val="en"/>
        </w:rPr>
        <w:t>Glyphosate resistant weeds</w:t>
      </w:r>
    </w:p>
    <w:p w14:paraId="47FDBEFB" w14:textId="7ED5FA2C" w:rsidR="00D11FBD" w:rsidRPr="008654CF" w:rsidRDefault="00D11FBD" w:rsidP="00347885">
      <w:pPr>
        <w:pStyle w:val="RARMPPara"/>
        <w:rPr>
          <w:lang w:val="en"/>
        </w:rPr>
      </w:pPr>
      <w:r w:rsidRPr="008654CF">
        <w:t xml:space="preserve">Some concerns have been raised regarding the potential </w:t>
      </w:r>
      <w:r w:rsidRPr="008654CF">
        <w:rPr>
          <w:lang w:val="en"/>
        </w:rPr>
        <w:t xml:space="preserve">increase of </w:t>
      </w:r>
      <w:r w:rsidRPr="008654CF">
        <w:t xml:space="preserve">glyphosate resistant weeds as a result of gene flow from </w:t>
      </w:r>
      <w:r w:rsidR="00C20F4F">
        <w:rPr>
          <w:lang w:val="en"/>
        </w:rPr>
        <w:t>GT</w:t>
      </w:r>
      <w:r w:rsidR="00C20F4F" w:rsidRPr="008654CF">
        <w:rPr>
          <w:lang w:val="en"/>
        </w:rPr>
        <w:t xml:space="preserve"> </w:t>
      </w:r>
      <w:r w:rsidRPr="008654CF">
        <w:rPr>
          <w:lang w:val="en"/>
        </w:rPr>
        <w:t xml:space="preserve">crops </w:t>
      </w:r>
      <w:r w:rsidRPr="008654CF">
        <w:rPr>
          <w:lang w:val="en"/>
        </w:rPr>
        <w:fldChar w:fldCharType="begin"/>
      </w:r>
      <w:r w:rsidRPr="008654CF">
        <w:rPr>
          <w:lang w:val="en"/>
        </w:rPr>
        <w:instrText xml:space="preserve"> ADDIN EN.CITE &lt;EndNote&gt;&lt;Cite&gt;&lt;Author&gt;Mallory-Smith&lt;/Author&gt;&lt;Year&gt;2008&lt;/Year&gt;&lt;RecNum&gt;23332&lt;/RecNum&gt;&lt;DisplayText&gt;(Mallory-Smith and Zapiola, 2008)&lt;/DisplayText&gt;&lt;record&gt;&lt;rec-number&gt;23332&lt;/rec-number&gt;&lt;foreign-keys&gt;&lt;key app="EN" db-id="avrzt5sv7wwaa2epps1vzttcw5r5awswf02e" timestamp="1608177122"&gt;23332&lt;/key&gt;&lt;/foreign-keys&gt;&lt;ref-type name="Journal Article"&gt;17&lt;/ref-type&gt;&lt;contributors&gt;&lt;authors&gt;&lt;author&gt;Mallory-Smith, Carol&lt;/author&gt;&lt;author&gt;Zapiola, Maria&lt;/author&gt;&lt;/authors&gt;&lt;/contributors&gt;&lt;titles&gt;&lt;title&gt;Gene flow from glyphosate-resistant crops&lt;/title&gt;&lt;secondary-title&gt;Pest Management Science&lt;/secondary-title&gt;&lt;alt-title&gt;Pest Management Science&lt;/alt-title&gt;&lt;/titles&gt;&lt;periodical&gt;&lt;full-title&gt;Pest Management Science&lt;/full-title&gt;&lt;/periodical&gt;&lt;alt-periodical&gt;&lt;full-title&gt;Pest Management Science&lt;/full-title&gt;&lt;/alt-periodical&gt;&lt;pages&gt;428-440&lt;/pages&gt;&lt;volume&gt;64&lt;/volume&gt;&lt;number&gt;4&lt;/number&gt;&lt;dates&gt;&lt;year&gt;2008&lt;/year&gt;&lt;/dates&gt;&lt;isbn&gt;1526-498X&lt;/isbn&gt;&lt;urls&gt;&lt;related-urls&gt;&lt;url&gt;https://onlinelibrary.wiley.com/doi/abs/10.1002/ps.1517&lt;/url&gt;&lt;/related-urls&gt;&lt;/urls&gt;&lt;electronic-resource-num&gt;10.1002/ps.1517&lt;/electronic-resource-num&gt;&lt;/record&gt;&lt;/Cite&gt;&lt;/EndNote&gt;</w:instrText>
      </w:r>
      <w:r w:rsidRPr="008654CF">
        <w:rPr>
          <w:lang w:val="en"/>
        </w:rPr>
        <w:fldChar w:fldCharType="separate"/>
      </w:r>
      <w:r w:rsidRPr="008654CF">
        <w:rPr>
          <w:noProof/>
          <w:lang w:val="en"/>
        </w:rPr>
        <w:t>(Mallory-Smith and Zapiola, 2008)</w:t>
      </w:r>
      <w:r w:rsidRPr="008654CF">
        <w:fldChar w:fldCharType="end"/>
      </w:r>
      <w:r w:rsidRPr="008654CF">
        <w:t>.</w:t>
      </w:r>
    </w:p>
    <w:p w14:paraId="6A5906E8" w14:textId="27030841" w:rsidR="00D90330" w:rsidRPr="008654CF" w:rsidRDefault="00D90330" w:rsidP="00D90330">
      <w:pPr>
        <w:pStyle w:val="RARMPPara"/>
        <w:rPr>
          <w:lang w:val="en"/>
        </w:rPr>
      </w:pPr>
      <w:r w:rsidRPr="008654CF">
        <w:rPr>
          <w:iCs/>
          <w:lang w:val="en"/>
        </w:rPr>
        <w:t xml:space="preserve">In Australia, there are at least 21 glyphosate resistant weed species recorded </w:t>
      </w:r>
      <w:r w:rsidRPr="008654CF">
        <w:fldChar w:fldCharType="begin"/>
      </w:r>
      <w:r w:rsidRPr="008654CF">
        <w:instrText xml:space="preserve"> ADDIN EN.CITE &lt;EndNote&gt;&lt;Cite&gt;&lt;Author&gt;Heap&lt;/Author&gt;&lt;Year&gt;2020&lt;/Year&gt;&lt;RecNum&gt;24779&lt;/RecNum&gt;&lt;DisplayText&gt;(Heap, 2020)&lt;/DisplayText&gt;&lt;record&gt;&lt;rec-number&gt;24779&lt;/rec-number&gt;&lt;foreign-keys&gt;&lt;key app="EN" db-id="avrzt5sv7wwaa2epps1vzttcw5r5awswf02e" timestamp="1621825698"&gt;24779&lt;/key&gt;&lt;/foreign-keys&gt;&lt;ref-type name="Report"&gt;27&lt;/ref-type&gt;&lt;contributors&gt;&lt;authors&gt;&lt;author&gt;Heap, I.&lt;/author&gt;&lt;/authors&gt;&lt;/contributors&gt;&lt;titles&gt;&lt;title&gt;The International Survey of Herbicide Resistant Weeds&lt;/title&gt;&lt;/titles&gt;&lt;dates&gt;&lt;year&gt;2020&lt;/year&gt;&lt;/dates&gt;&lt;pub-location&gt;Available online, accessed 14 December 2020&lt;/pub-location&gt;&lt;label&gt;22249&lt;/label&gt;&lt;urls&gt;&lt;related-urls&gt;&lt;url&gt;&lt;style face="underline" font="default" size="100%"&gt;http://weedscience.org/&lt;/style&gt;&lt;/url&gt;&lt;/related-urls&gt;&lt;/urls&gt;&lt;/record&gt;&lt;/Cite&gt;&lt;/EndNote&gt;</w:instrText>
      </w:r>
      <w:r w:rsidRPr="008654CF">
        <w:fldChar w:fldCharType="separate"/>
      </w:r>
      <w:r w:rsidRPr="008654CF">
        <w:rPr>
          <w:noProof/>
        </w:rPr>
        <w:t>(Heap, 2020)</w:t>
      </w:r>
      <w:r w:rsidRPr="008654CF">
        <w:fldChar w:fldCharType="end"/>
      </w:r>
      <w:r w:rsidRPr="008654CF">
        <w:t xml:space="preserve">. The </w:t>
      </w:r>
      <w:hyperlink r:id="rId40" w:history="1">
        <w:r w:rsidRPr="008654CF">
          <w:rPr>
            <w:rStyle w:val="Hyperlink"/>
            <w:color w:val="auto"/>
          </w:rPr>
          <w:t>list of herbicide resistant weeds in Australia</w:t>
        </w:r>
      </w:hyperlink>
      <w:r w:rsidRPr="008654CF">
        <w:t xml:space="preserve"> prepared by CropLife Australia (accessed </w:t>
      </w:r>
      <w:r w:rsidR="00066C99">
        <w:t>July</w:t>
      </w:r>
      <w:r w:rsidRPr="008654CF">
        <w:t xml:space="preserve"> 202</w:t>
      </w:r>
      <w:r w:rsidR="00066C99">
        <w:t>4</w:t>
      </w:r>
      <w:r w:rsidRPr="008654CF">
        <w:t xml:space="preserve">), indicates that the most commonly found glyphosate-resistant weeds are mostly grass weeds and some broadleaf weeds such as </w:t>
      </w:r>
      <w:proofErr w:type="spellStart"/>
      <w:r w:rsidRPr="008654CF">
        <w:t>sowthistle</w:t>
      </w:r>
      <w:proofErr w:type="spellEnd"/>
      <w:r w:rsidRPr="008654CF">
        <w:t xml:space="preserve"> and fleabane. Among the related Brassicaceae weeds including wild radish (</w:t>
      </w:r>
      <w:r w:rsidRPr="008654CF">
        <w:rPr>
          <w:i/>
          <w:iCs/>
        </w:rPr>
        <w:t xml:space="preserve">Raphanus </w:t>
      </w:r>
      <w:proofErr w:type="spellStart"/>
      <w:r w:rsidRPr="008654CF">
        <w:rPr>
          <w:i/>
          <w:iCs/>
        </w:rPr>
        <w:t>raphanistrum</w:t>
      </w:r>
      <w:proofErr w:type="spellEnd"/>
      <w:r w:rsidRPr="008654CF">
        <w:t>), Buchan weed (</w:t>
      </w:r>
      <w:proofErr w:type="spellStart"/>
      <w:r w:rsidRPr="008654CF">
        <w:rPr>
          <w:i/>
          <w:iCs/>
        </w:rPr>
        <w:t>Hirschfeldia</w:t>
      </w:r>
      <w:proofErr w:type="spellEnd"/>
      <w:r w:rsidRPr="008654CF">
        <w:rPr>
          <w:i/>
          <w:iCs/>
        </w:rPr>
        <w:t xml:space="preserve"> </w:t>
      </w:r>
      <w:proofErr w:type="spellStart"/>
      <w:r w:rsidRPr="008654CF">
        <w:rPr>
          <w:i/>
          <w:iCs/>
        </w:rPr>
        <w:t>incana</w:t>
      </w:r>
      <w:proofErr w:type="spellEnd"/>
      <w:r w:rsidRPr="008654CF">
        <w:t>) and charlock (</w:t>
      </w:r>
      <w:r w:rsidRPr="008654CF">
        <w:rPr>
          <w:i/>
          <w:iCs/>
        </w:rPr>
        <w:t>Sinapis arvensis</w:t>
      </w:r>
      <w:r w:rsidRPr="008654CF">
        <w:t xml:space="preserve">), only three populations of glyphosate-resistant wild radish are recorded on the list. However, </w:t>
      </w:r>
      <w:r w:rsidRPr="008654CF">
        <w:rPr>
          <w:iCs/>
          <w:lang w:val="en"/>
        </w:rPr>
        <w:t xml:space="preserve">there has been no published evidence of gene flow occurring from </w:t>
      </w:r>
      <w:r w:rsidR="002220B0" w:rsidRPr="008654CF">
        <w:t>MON-ØØØ73-7</w:t>
      </w:r>
      <w:r w:rsidR="00685B9A">
        <w:t xml:space="preserve"> canola</w:t>
      </w:r>
      <w:r w:rsidR="002220B0" w:rsidRPr="008654CF">
        <w:t xml:space="preserve"> </w:t>
      </w:r>
      <w:r w:rsidRPr="008654CF">
        <w:rPr>
          <w:iCs/>
          <w:lang w:val="en"/>
        </w:rPr>
        <w:t>to any weedy plant species</w:t>
      </w:r>
      <w:r w:rsidR="00C671E2" w:rsidRPr="008654CF">
        <w:rPr>
          <w:iCs/>
          <w:lang w:val="en"/>
        </w:rPr>
        <w:t xml:space="preserve"> in Australia</w:t>
      </w:r>
      <w:r w:rsidRPr="008654CF">
        <w:t xml:space="preserve">. </w:t>
      </w:r>
    </w:p>
    <w:p w14:paraId="70DFFCCC" w14:textId="31F944BE" w:rsidR="00347885" w:rsidRPr="008654CF" w:rsidRDefault="00347885" w:rsidP="00347885">
      <w:pPr>
        <w:pStyle w:val="RARMPPara"/>
        <w:rPr>
          <w:lang w:val="en"/>
        </w:rPr>
      </w:pPr>
      <w:r w:rsidRPr="008654CF">
        <w:rPr>
          <w:lang w:val="en"/>
        </w:rPr>
        <w:t xml:space="preserve">In Canada, no evidence of gene flow from </w:t>
      </w:r>
      <w:r w:rsidR="00A84C43">
        <w:rPr>
          <w:lang w:val="en"/>
        </w:rPr>
        <w:t>HT</w:t>
      </w:r>
      <w:r w:rsidR="00A84C43" w:rsidRPr="00A84C43">
        <w:rPr>
          <w:lang w:val="en"/>
        </w:rPr>
        <w:t xml:space="preserve"> </w:t>
      </w:r>
      <w:r w:rsidRPr="00A84C43">
        <w:rPr>
          <w:lang w:val="en"/>
        </w:rPr>
        <w:t>canola</w:t>
      </w:r>
      <w:r w:rsidRPr="008654CF">
        <w:rPr>
          <w:lang w:val="en"/>
        </w:rPr>
        <w:t xml:space="preserve"> to related crucifers was reported</w:t>
      </w:r>
      <w:r w:rsidR="00D11FBD" w:rsidRPr="008654CF">
        <w:rPr>
          <w:lang w:val="en"/>
        </w:rPr>
        <w:t xml:space="preserve">. </w:t>
      </w:r>
      <w:r w:rsidR="00464775">
        <w:rPr>
          <w:lang w:val="en"/>
        </w:rPr>
        <w:t>H</w:t>
      </w:r>
      <w:r w:rsidRPr="008654CF">
        <w:rPr>
          <w:lang w:val="en"/>
        </w:rPr>
        <w:t xml:space="preserve">erbicide resistance was transmitted to </w:t>
      </w:r>
      <w:r w:rsidR="00464775" w:rsidRPr="008654CF">
        <w:rPr>
          <w:lang w:val="en"/>
        </w:rPr>
        <w:t xml:space="preserve">wild </w:t>
      </w:r>
      <w:r w:rsidRPr="008654CF">
        <w:rPr>
          <w:lang w:val="en"/>
        </w:rPr>
        <w:t>bird’s rape (</w:t>
      </w:r>
      <w:r w:rsidRPr="008654CF">
        <w:rPr>
          <w:i/>
          <w:lang w:val="en"/>
        </w:rPr>
        <w:t xml:space="preserve">Brassica </w:t>
      </w:r>
      <w:proofErr w:type="spellStart"/>
      <w:r w:rsidRPr="008654CF">
        <w:rPr>
          <w:i/>
          <w:lang w:val="en"/>
        </w:rPr>
        <w:t>rapa</w:t>
      </w:r>
      <w:proofErr w:type="spellEnd"/>
      <w:r w:rsidRPr="008654CF">
        <w:rPr>
          <w:lang w:val="en"/>
        </w:rPr>
        <w:t xml:space="preserve">), </w:t>
      </w:r>
      <w:r w:rsidR="00464775">
        <w:rPr>
          <w:lang w:val="en"/>
        </w:rPr>
        <w:t>a</w:t>
      </w:r>
      <w:r w:rsidR="00464775" w:rsidRPr="008654CF">
        <w:rPr>
          <w:lang w:val="en"/>
        </w:rPr>
        <w:t xml:space="preserve"> close relative</w:t>
      </w:r>
      <w:r w:rsidR="00464775">
        <w:rPr>
          <w:lang w:val="en"/>
        </w:rPr>
        <w:t>,</w:t>
      </w:r>
      <w:r w:rsidR="00464775" w:rsidRPr="008654CF">
        <w:rPr>
          <w:lang w:val="en"/>
        </w:rPr>
        <w:t xml:space="preserve"> </w:t>
      </w:r>
      <w:r w:rsidR="00464775">
        <w:rPr>
          <w:lang w:val="en"/>
        </w:rPr>
        <w:t>however</w:t>
      </w:r>
      <w:r w:rsidR="00D41833">
        <w:rPr>
          <w:lang w:val="en"/>
        </w:rPr>
        <w:t xml:space="preserve"> </w:t>
      </w:r>
      <w:r w:rsidR="0059478C" w:rsidRPr="008654CF">
        <w:rPr>
          <w:lang w:val="en"/>
        </w:rPr>
        <w:t xml:space="preserve">well-managed </w:t>
      </w:r>
      <w:r w:rsidRPr="008654CF">
        <w:rPr>
          <w:lang w:val="en"/>
        </w:rPr>
        <w:t>planting</w:t>
      </w:r>
      <w:r w:rsidR="0059478C" w:rsidRPr="008654CF">
        <w:rPr>
          <w:lang w:val="en"/>
        </w:rPr>
        <w:t xml:space="preserve"> of</w:t>
      </w:r>
      <w:r w:rsidRPr="008654CF">
        <w:rPr>
          <w:lang w:val="en"/>
        </w:rPr>
        <w:t xml:space="preserve"> </w:t>
      </w:r>
      <w:r w:rsidR="00A84C43">
        <w:rPr>
          <w:lang w:val="en"/>
        </w:rPr>
        <w:t>HT</w:t>
      </w:r>
      <w:r w:rsidR="00A84C43" w:rsidRPr="00A84C43">
        <w:rPr>
          <w:lang w:val="en"/>
        </w:rPr>
        <w:t xml:space="preserve"> </w:t>
      </w:r>
      <w:r w:rsidRPr="00A84C43">
        <w:rPr>
          <w:lang w:val="en"/>
        </w:rPr>
        <w:t>canola</w:t>
      </w:r>
      <w:r w:rsidRPr="008654CF">
        <w:rPr>
          <w:lang w:val="en"/>
        </w:rPr>
        <w:t xml:space="preserve"> </w:t>
      </w:r>
      <w:r w:rsidR="0059478C" w:rsidRPr="008654CF">
        <w:rPr>
          <w:lang w:val="en"/>
        </w:rPr>
        <w:t xml:space="preserve">would </w:t>
      </w:r>
      <w:r w:rsidRPr="008654CF">
        <w:rPr>
          <w:lang w:val="en"/>
        </w:rPr>
        <w:t xml:space="preserve">not promote </w:t>
      </w:r>
      <w:r w:rsidR="00A84C43">
        <w:rPr>
          <w:lang w:val="en"/>
        </w:rPr>
        <w:t>herbicide-</w:t>
      </w:r>
      <w:r w:rsidRPr="008654CF">
        <w:rPr>
          <w:lang w:val="en"/>
        </w:rPr>
        <w:t xml:space="preserve">resistant weeds </w:t>
      </w:r>
      <w:r w:rsidRPr="008654CF">
        <w:rPr>
          <w:lang w:val="en"/>
        </w:rPr>
        <w:fldChar w:fldCharType="begin"/>
      </w:r>
      <w:r w:rsidRPr="008654CF">
        <w:rPr>
          <w:lang w:val="en"/>
        </w:rPr>
        <w:instrText xml:space="preserve"> ADDIN EN.CITE &lt;EndNote&gt;&lt;Cite&gt;&lt;Author&gt;Beckie&lt;/Author&gt;&lt;Year&gt;2011&lt;/Year&gt;&lt;RecNum&gt;23312&lt;/RecNum&gt;&lt;DisplayText&gt;(Beckie et al., 2011)&lt;/DisplayText&gt;&lt;record&gt;&lt;rec-number&gt;23312&lt;/rec-number&gt;&lt;foreign-keys&gt;&lt;key app="EN" db-id="avrzt5sv7wwaa2epps1vzttcw5r5awswf02e" timestamp="1608177117"&gt;23312&lt;/key&gt;&lt;/foreign-keys&gt;&lt;ref-type name="Journal Article"&gt;17&lt;/ref-type&gt;&lt;contributors&gt;&lt;authors&gt;&lt;author&gt;Beckie, H. J.&lt;/author&gt;&lt;author&gt;Harker, K. N.&lt;/author&gt;&lt;author&gt;Légère, A.&lt;/author&gt;&lt;author&gt;Morrison, M. J.&lt;/author&gt;&lt;author&gt;Séguin-Swartz, G.&lt;/author&gt;&lt;author&gt;Falk, K. C.&lt;/author&gt;&lt;/authors&gt;&lt;/contributors&gt;&lt;titles&gt;&lt;title&gt;GM canola: The Canadian experience&lt;/title&gt;&lt;secondary-title&gt;Farm Policy Journal&lt;/secondary-title&gt;&lt;/titles&gt;&lt;periodical&gt;&lt;full-title&gt;Farm Policy Journal&lt;/full-title&gt;&lt;/periodical&gt;&lt;pages&gt;43-49&lt;/pages&gt;&lt;volume&gt;8&lt;/volume&gt;&lt;number&gt;1&lt;/number&gt;&lt;section&gt;43&lt;/section&gt;&lt;dates&gt;&lt;year&gt;2011&lt;/year&gt;&lt;/dates&gt;&lt;publisher&gt;Australian Farm Institute&lt;/publisher&gt;&lt;urls&gt;&lt;/urls&gt;&lt;/record&gt;&lt;/Cite&gt;&lt;/EndNote&gt;</w:instrText>
      </w:r>
      <w:r w:rsidRPr="008654CF">
        <w:rPr>
          <w:lang w:val="en"/>
        </w:rPr>
        <w:fldChar w:fldCharType="separate"/>
      </w:r>
      <w:r w:rsidRPr="008654CF">
        <w:rPr>
          <w:noProof/>
          <w:lang w:val="en"/>
        </w:rPr>
        <w:t>(Beckie et al., 2011)</w:t>
      </w:r>
      <w:r w:rsidRPr="008654CF">
        <w:fldChar w:fldCharType="end"/>
      </w:r>
      <w:r w:rsidRPr="008654CF">
        <w:t>.</w:t>
      </w:r>
      <w:r w:rsidR="00364E32">
        <w:t xml:space="preserve"> </w:t>
      </w:r>
      <w:r w:rsidR="00C9526C">
        <w:t xml:space="preserve">Although </w:t>
      </w:r>
      <w:r w:rsidR="00C9526C" w:rsidRPr="00C9526C">
        <w:rPr>
          <w:i/>
          <w:iCs/>
        </w:rPr>
        <w:t xml:space="preserve">B. </w:t>
      </w:r>
      <w:proofErr w:type="spellStart"/>
      <w:r w:rsidR="00C9526C" w:rsidRPr="00C9526C">
        <w:rPr>
          <w:i/>
          <w:iCs/>
        </w:rPr>
        <w:t>rapa</w:t>
      </w:r>
      <w:proofErr w:type="spellEnd"/>
      <w:r w:rsidR="00C9526C" w:rsidRPr="00C9526C">
        <w:t xml:space="preserve"> </w:t>
      </w:r>
      <w:r w:rsidR="00C9526C">
        <w:t xml:space="preserve">(wild turnip) </w:t>
      </w:r>
      <w:r w:rsidR="00BB1092">
        <w:t xml:space="preserve">is considered an agricultural and environmental weed in Australia, </w:t>
      </w:r>
      <w:r w:rsidR="00C9526C">
        <w:t xml:space="preserve">glyphosate resistant </w:t>
      </w:r>
      <w:r w:rsidR="00C9526C" w:rsidRPr="00C9526C">
        <w:rPr>
          <w:i/>
          <w:iCs/>
        </w:rPr>
        <w:t xml:space="preserve">B. </w:t>
      </w:r>
      <w:proofErr w:type="spellStart"/>
      <w:r w:rsidR="00C9526C" w:rsidRPr="00C9526C">
        <w:rPr>
          <w:i/>
          <w:iCs/>
        </w:rPr>
        <w:t>rapa</w:t>
      </w:r>
      <w:proofErr w:type="spellEnd"/>
      <w:r w:rsidR="00BB1092">
        <w:t xml:space="preserve"> has not been reported</w:t>
      </w:r>
      <w:r w:rsidR="00F318B7">
        <w:t xml:space="preserve"> </w:t>
      </w:r>
      <w:r w:rsidR="00F318B7" w:rsidRPr="00F318B7">
        <w:fldChar w:fldCharType="begin"/>
      </w:r>
      <w:r w:rsidR="00F318B7" w:rsidRPr="00F318B7">
        <w:instrText xml:space="preserve"> ADDIN EN.CITE &lt;EndNote&gt;&lt;Cite&gt;&lt;Author&gt;Heap&lt;/Author&gt;&lt;Year&gt;2020&lt;/Year&gt;&lt;RecNum&gt;24779&lt;/RecNum&gt;&lt;DisplayText&gt;(Heap, 2020)&lt;/DisplayText&gt;&lt;record&gt;&lt;rec-number&gt;24779&lt;/rec-number&gt;&lt;foreign-keys&gt;&lt;key app="EN" db-id="avrzt5sv7wwaa2epps1vzttcw5r5awswf02e" timestamp="1621825698"&gt;24779&lt;/key&gt;&lt;/foreign-keys&gt;&lt;ref-type name="Report"&gt;27&lt;/ref-type&gt;&lt;contributors&gt;&lt;authors&gt;&lt;author&gt;Heap, I.&lt;/author&gt;&lt;/authors&gt;&lt;/contributors&gt;&lt;titles&gt;&lt;title&gt;The International Survey of Herbicide Resistant Weeds&lt;/title&gt;&lt;/titles&gt;&lt;dates&gt;&lt;year&gt;2020&lt;/year&gt;&lt;/dates&gt;&lt;pub-location&gt;Available online, accessed 14 December 2020&lt;/pub-location&gt;&lt;label&gt;22249&lt;/label&gt;&lt;urls&gt;&lt;related-urls&gt;&lt;url&gt;&lt;style face="underline" font="default" size="100%"&gt;http://weedscience.org/&lt;/style&gt;&lt;/url&gt;&lt;/related-urls&gt;&lt;/urls&gt;&lt;/record&gt;&lt;/Cite&gt;&lt;/EndNote&gt;</w:instrText>
      </w:r>
      <w:r w:rsidR="00F318B7" w:rsidRPr="00F318B7">
        <w:fldChar w:fldCharType="separate"/>
      </w:r>
      <w:r w:rsidR="00F318B7" w:rsidRPr="00F318B7">
        <w:t>(Heap, 2020)</w:t>
      </w:r>
      <w:r w:rsidR="00F318B7" w:rsidRPr="00F318B7">
        <w:fldChar w:fldCharType="end"/>
      </w:r>
      <w:r w:rsidR="00667209">
        <w:t>,</w:t>
      </w:r>
      <w:r w:rsidR="00BB1092">
        <w:t xml:space="preserve"> </w:t>
      </w:r>
      <w:r w:rsidR="00667209">
        <w:t>indicating that in the</w:t>
      </w:r>
      <w:r w:rsidR="00BB1092">
        <w:t xml:space="preserve"> 1</w:t>
      </w:r>
      <w:r w:rsidR="00E64C56">
        <w:t>2</w:t>
      </w:r>
      <w:r w:rsidR="00BB1092">
        <w:t xml:space="preserve"> years of commercial cultivation of glyphosate tolerant canola</w:t>
      </w:r>
      <w:r w:rsidR="00667209">
        <w:t xml:space="preserve"> there has not been gene flow to transfer the introduced genes from canola to weedy </w:t>
      </w:r>
      <w:r w:rsidR="00667209" w:rsidRPr="0073616C">
        <w:rPr>
          <w:i/>
          <w:iCs/>
        </w:rPr>
        <w:t>B.</w:t>
      </w:r>
      <w:r w:rsidR="00A11099">
        <w:rPr>
          <w:i/>
          <w:iCs/>
        </w:rPr>
        <w:t> </w:t>
      </w:r>
      <w:proofErr w:type="spellStart"/>
      <w:r w:rsidR="00667209" w:rsidRPr="0073616C">
        <w:rPr>
          <w:i/>
          <w:iCs/>
        </w:rPr>
        <w:t>rapa</w:t>
      </w:r>
      <w:proofErr w:type="spellEnd"/>
      <w:r w:rsidR="00BB1092">
        <w:t>.</w:t>
      </w:r>
    </w:p>
    <w:p w14:paraId="5E3678DB" w14:textId="1374D479" w:rsidR="00547A42" w:rsidRPr="008654CF" w:rsidRDefault="00D90330" w:rsidP="002A6C75">
      <w:pPr>
        <w:pStyle w:val="Heading4"/>
        <w:spacing w:before="240" w:after="120"/>
      </w:pPr>
      <w:r w:rsidRPr="008654CF">
        <w:t>International r</w:t>
      </w:r>
      <w:r w:rsidR="00DC26B6" w:rsidRPr="008654CF">
        <w:t xml:space="preserve">isk assessments </w:t>
      </w:r>
      <w:proofErr w:type="gramStart"/>
      <w:r w:rsidR="00DC26B6" w:rsidRPr="008654CF">
        <w:t>published</w:t>
      </w:r>
      <w:proofErr w:type="gramEnd"/>
    </w:p>
    <w:p w14:paraId="1A2F36CF" w14:textId="41AEB2E8" w:rsidR="007549C8" w:rsidRPr="008654CF" w:rsidRDefault="00CF3052" w:rsidP="00BD0A16">
      <w:pPr>
        <w:pStyle w:val="RARMPPara"/>
      </w:pPr>
      <w:r w:rsidRPr="008654CF">
        <w:t xml:space="preserve">Since </w:t>
      </w:r>
      <w:r w:rsidR="001B2A50" w:rsidRPr="008654CF">
        <w:t xml:space="preserve">the licence DIR 020/2002 was issued, </w:t>
      </w:r>
      <w:r w:rsidR="00784BE4" w:rsidRPr="008654CF">
        <w:t xml:space="preserve">the European Food Safety Authority (EFSA) </w:t>
      </w:r>
      <w:r w:rsidRPr="008654CF">
        <w:t xml:space="preserve">has </w:t>
      </w:r>
      <w:r w:rsidR="00784BE4" w:rsidRPr="008654CF">
        <w:t xml:space="preserve">assessed </w:t>
      </w:r>
      <w:bookmarkStart w:id="15" w:name="_Hlk87314233"/>
      <w:r w:rsidR="009531ED" w:rsidRPr="008654CF">
        <w:t xml:space="preserve">oilseed rape GT73 </w:t>
      </w:r>
      <w:bookmarkEnd w:id="15"/>
      <w:r w:rsidR="009531ED" w:rsidRPr="008654CF">
        <w:t>(</w:t>
      </w:r>
      <w:r w:rsidR="002220B0" w:rsidRPr="008654CF">
        <w:t>MON-ØØØ73-7</w:t>
      </w:r>
      <w:r w:rsidR="009531ED" w:rsidRPr="008654CF">
        <w:t xml:space="preserve">) and concluded that it was as safe as conventional oilseed rape for </w:t>
      </w:r>
      <w:r w:rsidR="00811D77" w:rsidRPr="008654CF">
        <w:t>humans and animals</w:t>
      </w:r>
      <w:r w:rsidR="00AB57C9" w:rsidRPr="008654CF">
        <w:t xml:space="preserve">, and for the environment in the context of the proposed use </w:t>
      </w:r>
      <w:r w:rsidR="00AB57C9" w:rsidRPr="008654CF">
        <w:fldChar w:fldCharType="begin"/>
      </w:r>
      <w:r w:rsidR="00372225">
        <w:instrText xml:space="preserve"> ADDIN EN.CITE &lt;EndNote&gt;&lt;Cite&gt;&lt;Author&gt;EFSA&lt;/Author&gt;&lt;Year&gt;2004&lt;/Year&gt;&lt;RecNum&gt;6268&lt;/RecNum&gt;&lt;DisplayText&gt;(EFSA, 2004)&lt;/DisplayText&gt;&lt;record&gt;&lt;rec-number&gt;6268&lt;/rec-number&gt;&lt;foreign-keys&gt;&lt;key app="EN" db-id="avrzt5sv7wwaa2epps1vzttcw5r5awswf02e" timestamp="1503880564"&gt;6268&lt;/key&gt;&lt;/foreign-keys&gt;&lt;ref-type name="Journal Article"&gt;17&lt;/ref-type&gt;&lt;contributors&gt;&lt;authors&gt;&lt;author&gt;EFSA&lt;/author&gt;&lt;/authors&gt;&lt;/contributors&gt;&lt;titles&gt;&lt;title&gt;Opinion of the Scientific Panel on Genetically Modified Organisms on a request from the Commission related to the Notification (Reference C/NL/98/11) for the placing on the market of herbicide-tolerant oilseed rape GT73, for import and processing, under Part C of Directive 2001/18/EC from Monsanto&lt;/title&gt;&lt;secondary-title&gt;EFSA Journal&lt;/secondary-title&gt;&lt;/titles&gt;&lt;periodical&gt;&lt;full-title&gt;EFSA Journal&lt;/full-title&gt;&lt;/periodical&gt;&lt;pages&gt;1-19&lt;/pages&gt;&lt;volume&gt;29&lt;/volume&gt;&lt;keywords&gt;&lt;keyword&gt;of&lt;/keyword&gt;&lt;keyword&gt;genetically modified&lt;/keyword&gt;&lt;keyword&gt;genetically modified organisms&lt;/keyword&gt;&lt;keyword&gt;genetically modified organism&lt;/keyword&gt;&lt;keyword&gt;ORGANISMS&lt;/keyword&gt;&lt;keyword&gt;herbicide-tolerant&lt;/keyword&gt;&lt;keyword&gt;oilseed&lt;/keyword&gt;&lt;keyword&gt;oilseed rape&lt;/keyword&gt;&lt;/keywords&gt;&lt;dates&gt;&lt;year&gt;2004&lt;/year&gt;&lt;/dates&gt;&lt;label&gt;6918&lt;/label&gt;&lt;urls&gt;&lt;related-urls&gt;&lt;url&gt;&lt;style face="underline" font="default" size="100%"&gt;http://www.efsa.europa.eu/en/efsajournal/pub/29.htm&lt;/style&gt;&lt;/url&gt;&lt;/related-urls&gt;&lt;/urls&gt;&lt;/record&gt;&lt;/Cite&gt;&lt;/EndNote&gt;</w:instrText>
      </w:r>
      <w:r w:rsidR="00AB57C9" w:rsidRPr="008654CF">
        <w:fldChar w:fldCharType="separate"/>
      </w:r>
      <w:r w:rsidR="00AB57C9" w:rsidRPr="008654CF">
        <w:rPr>
          <w:noProof/>
        </w:rPr>
        <w:t>(EFSA, 2004)</w:t>
      </w:r>
      <w:r w:rsidR="00AB57C9" w:rsidRPr="008654CF">
        <w:fldChar w:fldCharType="end"/>
      </w:r>
      <w:r w:rsidR="00AB57C9" w:rsidRPr="008654CF">
        <w:t xml:space="preserve">. The European Union authorised </w:t>
      </w:r>
      <w:r w:rsidR="00C41834" w:rsidRPr="008654CF">
        <w:t>the</w:t>
      </w:r>
      <w:r w:rsidR="000D2206" w:rsidRPr="008654CF">
        <w:t xml:space="preserve"> import</w:t>
      </w:r>
      <w:r w:rsidR="00C41834" w:rsidRPr="008654CF">
        <w:t>,</w:t>
      </w:r>
      <w:r w:rsidR="000D2206" w:rsidRPr="008654CF">
        <w:t xml:space="preserve"> </w:t>
      </w:r>
      <w:proofErr w:type="gramStart"/>
      <w:r w:rsidR="000D2206" w:rsidRPr="008654CF">
        <w:t>processing</w:t>
      </w:r>
      <w:proofErr w:type="gramEnd"/>
      <w:r w:rsidR="00C41834" w:rsidRPr="008654CF">
        <w:t xml:space="preserve"> and use</w:t>
      </w:r>
      <w:r w:rsidR="000D2206" w:rsidRPr="008654CF">
        <w:t xml:space="preserve"> </w:t>
      </w:r>
      <w:r w:rsidR="00C41834" w:rsidRPr="008654CF">
        <w:t xml:space="preserve">of </w:t>
      </w:r>
      <w:r w:rsidR="00AB57C9" w:rsidRPr="008654CF">
        <w:t xml:space="preserve">oilseed rape GT73 </w:t>
      </w:r>
      <w:r w:rsidR="00C41834" w:rsidRPr="008654CF">
        <w:t xml:space="preserve">and derived products </w:t>
      </w:r>
      <w:r w:rsidR="00227C1E" w:rsidRPr="008654CF">
        <w:t>for</w:t>
      </w:r>
      <w:r w:rsidR="00C41834" w:rsidRPr="008654CF">
        <w:t xml:space="preserve"> animal feed in 200</w:t>
      </w:r>
      <w:r w:rsidR="00AB57C9" w:rsidRPr="008654CF">
        <w:t xml:space="preserve">5, with </w:t>
      </w:r>
      <w:r w:rsidR="003853A0" w:rsidRPr="008654CF">
        <w:t>a</w:t>
      </w:r>
      <w:r w:rsidR="00AB57C9" w:rsidRPr="008654CF">
        <w:t xml:space="preserve"> validity </w:t>
      </w:r>
      <w:r w:rsidR="003853A0" w:rsidRPr="008654CF">
        <w:t xml:space="preserve">period </w:t>
      </w:r>
      <w:r w:rsidR="00AB57C9" w:rsidRPr="008654CF">
        <w:t>of 10 years</w:t>
      </w:r>
      <w:r w:rsidR="00090ABF" w:rsidRPr="008654CF">
        <w:rPr>
          <w:rStyle w:val="FootnoteReference"/>
        </w:rPr>
        <w:footnoteReference w:id="1"/>
      </w:r>
      <w:r w:rsidR="00C41834" w:rsidRPr="008654CF">
        <w:t xml:space="preserve">. </w:t>
      </w:r>
      <w:r w:rsidR="00AA0CD3" w:rsidRPr="008654CF">
        <w:t xml:space="preserve">For renewal of </w:t>
      </w:r>
      <w:r w:rsidR="00C41834" w:rsidRPr="008654CF">
        <w:t xml:space="preserve">this </w:t>
      </w:r>
      <w:r w:rsidR="00AA0CD3" w:rsidRPr="008654CF">
        <w:t xml:space="preserve">authorisation, </w:t>
      </w:r>
      <w:r w:rsidR="00C41834" w:rsidRPr="008654CF">
        <w:t>EF</w:t>
      </w:r>
      <w:r w:rsidR="00D77D58" w:rsidRPr="008654CF">
        <w:t xml:space="preserve">SA </w:t>
      </w:r>
      <w:r w:rsidR="00BD2237" w:rsidRPr="008654CF">
        <w:t xml:space="preserve">assessed </w:t>
      </w:r>
      <w:r w:rsidR="00950876" w:rsidRPr="008654CF">
        <w:t xml:space="preserve">all available new data </w:t>
      </w:r>
      <w:r w:rsidR="00BD0A16" w:rsidRPr="008654CF">
        <w:t xml:space="preserve">in 2020 </w:t>
      </w:r>
      <w:r w:rsidR="00950876" w:rsidRPr="008654CF">
        <w:t xml:space="preserve">and concluded that there is no evidence </w:t>
      </w:r>
      <w:r w:rsidR="00F949E0" w:rsidRPr="008654CF">
        <w:t xml:space="preserve">of </w:t>
      </w:r>
      <w:r w:rsidR="00950876" w:rsidRPr="008654CF">
        <w:t xml:space="preserve">any new hazards, modified exposure or scientific uncertainties that would change the conclusions of the original risk assessment </w:t>
      </w:r>
      <w:r w:rsidR="00A71047" w:rsidRPr="008654CF">
        <w:t xml:space="preserve">on </w:t>
      </w:r>
      <w:r w:rsidR="00950876" w:rsidRPr="008654CF">
        <w:t>oilseed rape GT73</w:t>
      </w:r>
      <w:r w:rsidR="00BD2237" w:rsidRPr="008654CF">
        <w:t xml:space="preserve"> </w:t>
      </w:r>
      <w:r w:rsidR="00950876" w:rsidRPr="008654CF">
        <w:t>made in 2004</w:t>
      </w:r>
      <w:r w:rsidR="00D77D58" w:rsidRPr="008654CF">
        <w:t xml:space="preserve"> </w:t>
      </w:r>
      <w:r w:rsidR="00AB0B6E" w:rsidRPr="008654CF">
        <w:fldChar w:fldCharType="begin"/>
      </w:r>
      <w:r w:rsidR="00AB0B6E" w:rsidRPr="008654CF">
        <w:instrText xml:space="preserve"> ADDIN EN.CITE &lt;EndNote&gt;&lt;Cite&gt;&lt;Author&gt;EFSA&lt;/Author&gt;&lt;Year&gt;2020&lt;/Year&gt;&lt;RecNum&gt;1&lt;/RecNum&gt;&lt;DisplayText&gt;(EFSA, 2020)&lt;/DisplayText&gt;&lt;record&gt;&lt;rec-number&gt;1&lt;/rec-number&gt;&lt;foreign-keys&gt;&lt;key app="EN" db-id="9dp50sxsprrex2eedwtvdxsjxpw9tv52v0ae" timestamp="1635685345"&gt;1&lt;/key&gt;&lt;/foreign-keys&gt;&lt;ref-type name="Journal Article"&gt;17&lt;/ref-type&gt;&lt;contributors&gt;&lt;authors&gt;&lt;author&gt;EFSA&lt;/author&gt;&lt;/authors&gt;&lt;/contributors&gt;&lt;titles&gt;&lt;title&gt;Assessment of genetically modified oilseed rape GT73 for renewal authorisation under Regulation (EC) No 1829/2003 (application EFSA-GMO-RX-002)&lt;/title&gt;&lt;secondary-title&gt;EFSA Journal&lt;/secondary-title&gt;&lt;/titles&gt;&lt;periodical&gt;&lt;full-title&gt;EFSA Journal&lt;/full-title&gt;&lt;/periodical&gt;&lt;pages&gt;e06199&lt;/pages&gt;&lt;volume&gt;18&lt;/volume&gt;&lt;number&gt;7&lt;/number&gt;&lt;edition&gt;2020/08/04&lt;/edition&gt;&lt;keywords&gt;&lt;keyword&gt;Gt73&lt;/keyword&gt;&lt;keyword&gt;Oilseed rape&lt;/keyword&gt;&lt;keyword&gt;Regulation (EC) No 1829/2003&lt;/keyword&gt;&lt;keyword&gt;renewal&lt;/keyword&gt;&lt;/keywords&gt;&lt;dates&gt;&lt;year&gt;2020&lt;/year&gt;&lt;pub-dates&gt;&lt;date&gt;Jul&lt;/date&gt;&lt;/pub-dates&gt;&lt;/dates&gt;&lt;isbn&gt;1831-4732 (Electronic)&amp;#xD;1831-4732 (Linking)&lt;/isbn&gt;&lt;accession-num&gt;32742435&lt;/accession-num&gt;&lt;urls&gt;&lt;related-urls&gt;&lt;url&gt;https://www.ncbi.nlm.nih.gov/pubmed/32742435&lt;/url&gt;&lt;/related-urls&gt;&lt;/urls&gt;&lt;custom2&gt;PMC7388236&lt;/custom2&gt;&lt;electronic-resource-num&gt;10.2903/j.efsa.2020.6199&lt;/electronic-resource-num&gt;&lt;/record&gt;&lt;/Cite&gt;&lt;/EndNote&gt;</w:instrText>
      </w:r>
      <w:r w:rsidR="00AB0B6E" w:rsidRPr="008654CF">
        <w:fldChar w:fldCharType="separate"/>
      </w:r>
      <w:r w:rsidR="00AB0B6E" w:rsidRPr="008654CF">
        <w:rPr>
          <w:noProof/>
        </w:rPr>
        <w:t>(EFSA, 2020)</w:t>
      </w:r>
      <w:r w:rsidR="00AB0B6E" w:rsidRPr="008654CF">
        <w:fldChar w:fldCharType="end"/>
      </w:r>
      <w:r w:rsidR="00950876" w:rsidRPr="008654CF">
        <w:t xml:space="preserve">. </w:t>
      </w:r>
      <w:r w:rsidR="00A71047" w:rsidRPr="008654CF">
        <w:t>The EU renewed the authorisation in 2021 for 10 years</w:t>
      </w:r>
      <w:r w:rsidR="00597099" w:rsidRPr="008654CF">
        <w:rPr>
          <w:rStyle w:val="FootnoteReference"/>
        </w:rPr>
        <w:footnoteReference w:id="2"/>
      </w:r>
      <w:r w:rsidR="00597099" w:rsidRPr="008654CF">
        <w:t xml:space="preserve">.  In addition, </w:t>
      </w:r>
      <w:r w:rsidR="00EE2A81" w:rsidRPr="008654CF">
        <w:t>EFSA has also assessed oilseed rape GT73</w:t>
      </w:r>
      <w:r w:rsidR="00950876" w:rsidRPr="008654CF">
        <w:t xml:space="preserve"> </w:t>
      </w:r>
      <w:r w:rsidR="00BD0A16" w:rsidRPr="008654CF">
        <w:t xml:space="preserve">for renewal of the authorisation for continued marketing of existing </w:t>
      </w:r>
      <w:r w:rsidR="007A77C2" w:rsidRPr="008654CF">
        <w:t>food and feed ingredients, feed materials, feed additives and food additives</w:t>
      </w:r>
      <w:r w:rsidR="00BD0A16" w:rsidRPr="008654CF">
        <w:t xml:space="preserve"> produced from oilseed rape GT73</w:t>
      </w:r>
      <w:r w:rsidR="007A77C2" w:rsidRPr="008654CF">
        <w:t xml:space="preserve"> </w:t>
      </w:r>
      <w:r w:rsidR="00AB0B6E" w:rsidRPr="008654CF">
        <w:fldChar w:fldCharType="begin">
          <w:fldData xml:space="preserve">PEVuZE5vdGU+PENpdGU+PEF1dGhvcj5FRlNBPC9BdXRob3I+PFllYXI+MjAwOTwvWWVhcj48UmVj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</w:fldData>
        </w:fldChar>
      </w:r>
      <w:r w:rsidR="00372225">
        <w:instrText xml:space="preserve"> ADDIN EN.CITE </w:instrText>
      </w:r>
      <w:r w:rsidR="00372225">
        <w:fldChar w:fldCharType="begin">
          <w:fldData xml:space="preserve">PEVuZE5vdGU+PENpdGU+PEF1dGhvcj5FRlNBPC9BdXRob3I+PFllYXI+MjAwOTwvWWVhcj48UmVj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</w:fldData>
        </w:fldChar>
      </w:r>
      <w:r w:rsidR="00372225">
        <w:instrText xml:space="preserve"> ADDIN EN.CITE.DATA </w:instrText>
      </w:r>
      <w:r w:rsidR="00372225">
        <w:fldChar w:fldCharType="end"/>
      </w:r>
      <w:r w:rsidR="00AB0B6E" w:rsidRPr="008654CF">
        <w:fldChar w:fldCharType="separate"/>
      </w:r>
      <w:r w:rsidR="00AB0B6E" w:rsidRPr="008654CF">
        <w:rPr>
          <w:noProof/>
        </w:rPr>
        <w:t>(EFSA, 2009)</w:t>
      </w:r>
      <w:r w:rsidR="00AB0B6E" w:rsidRPr="008654CF">
        <w:fldChar w:fldCharType="end"/>
      </w:r>
      <w:r w:rsidR="00BD0A16" w:rsidRPr="008654CF">
        <w:t>,</w:t>
      </w:r>
      <w:r w:rsidR="00D77D58" w:rsidRPr="008654CF">
        <w:t xml:space="preserve"> </w:t>
      </w:r>
      <w:r w:rsidR="007A77C2" w:rsidRPr="008654CF">
        <w:t xml:space="preserve">and for </w:t>
      </w:r>
      <w:r w:rsidR="0004578B" w:rsidRPr="008654CF">
        <w:t>food containing or consisting of, and food produced from</w:t>
      </w:r>
      <w:r w:rsidR="00F949E0" w:rsidRPr="008654CF">
        <w:t>,</w:t>
      </w:r>
      <w:r w:rsidR="0004578B" w:rsidRPr="008654CF">
        <w:t xml:space="preserve"> or containing ingredients produced from</w:t>
      </w:r>
      <w:r w:rsidR="00F949E0" w:rsidRPr="008654CF">
        <w:t>,</w:t>
      </w:r>
      <w:r w:rsidR="0004578B" w:rsidRPr="008654CF">
        <w:t xml:space="preserve"> oilseed rape GT73</w:t>
      </w:r>
      <w:r w:rsidR="00D77D58" w:rsidRPr="008654CF">
        <w:t xml:space="preserve"> </w:t>
      </w:r>
      <w:r w:rsidR="00AB0B6E" w:rsidRPr="008654CF">
        <w:fldChar w:fldCharType="begin">
          <w:fldData xml:space="preserve">PEVuZE5vdGU+PENpdGU+PEF1dGhvcj5FRlNBPC9BdXRob3I+PFllYXI+MjAxMzwvWWVhcj48UmVj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==
</w:fldData>
        </w:fldChar>
      </w:r>
      <w:r w:rsidR="00372225">
        <w:instrText xml:space="preserve"> ADDIN EN.CITE </w:instrText>
      </w:r>
      <w:r w:rsidR="00372225">
        <w:fldChar w:fldCharType="begin">
          <w:fldData xml:space="preserve">PEVuZE5vdGU+PENpdGU+PEF1dGhvcj5FRlNBPC9BdXRob3I+PFllYXI+MjAxMzwvWWVhcj48UmVj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==
</w:fldData>
        </w:fldChar>
      </w:r>
      <w:r w:rsidR="00372225">
        <w:instrText xml:space="preserve"> ADDIN EN.CITE.DATA </w:instrText>
      </w:r>
      <w:r w:rsidR="00372225">
        <w:fldChar w:fldCharType="end"/>
      </w:r>
      <w:r w:rsidR="00AB0B6E" w:rsidRPr="008654CF">
        <w:fldChar w:fldCharType="separate"/>
      </w:r>
      <w:r w:rsidR="00AB0B6E" w:rsidRPr="008654CF">
        <w:rPr>
          <w:noProof/>
        </w:rPr>
        <w:t>(EFSA, 2013)</w:t>
      </w:r>
      <w:r w:rsidR="00AB0B6E" w:rsidRPr="008654CF">
        <w:fldChar w:fldCharType="end"/>
      </w:r>
      <w:r w:rsidR="0004578B" w:rsidRPr="008654CF">
        <w:t>.</w:t>
      </w:r>
      <w:r w:rsidR="00D77D58" w:rsidRPr="008654CF">
        <w:t xml:space="preserve">  </w:t>
      </w:r>
      <w:r w:rsidR="00B67E97" w:rsidRPr="008654CF">
        <w:t xml:space="preserve">Each of these assessments concluded that </w:t>
      </w:r>
      <w:r w:rsidR="00E952CB" w:rsidRPr="008654CF">
        <w:rPr>
          <w:lang w:val="en"/>
        </w:rPr>
        <w:t xml:space="preserve">there is no direct harm to human and animal health </w:t>
      </w:r>
      <w:proofErr w:type="gramStart"/>
      <w:r w:rsidR="00E952CB" w:rsidRPr="008654CF">
        <w:rPr>
          <w:lang w:val="en"/>
        </w:rPr>
        <w:t>as a consequence of</w:t>
      </w:r>
      <w:proofErr w:type="gramEnd"/>
      <w:r w:rsidR="00E952CB" w:rsidRPr="008654CF">
        <w:rPr>
          <w:lang w:val="en"/>
        </w:rPr>
        <w:t xml:space="preserve"> consuming food or feed produced from or</w:t>
      </w:r>
      <w:r w:rsidR="007F4162" w:rsidRPr="008654CF">
        <w:rPr>
          <w:lang w:val="en"/>
        </w:rPr>
        <w:t xml:space="preserve"> </w:t>
      </w:r>
      <w:r w:rsidR="00E952CB" w:rsidRPr="008654CF">
        <w:rPr>
          <w:lang w:val="en"/>
        </w:rPr>
        <w:t xml:space="preserve">containing </w:t>
      </w:r>
      <w:r w:rsidR="003D4724" w:rsidRPr="008654CF">
        <w:t>oilseed rape GT73</w:t>
      </w:r>
      <w:r w:rsidR="00161CC5" w:rsidRPr="008654CF">
        <w:t>.</w:t>
      </w:r>
      <w:r w:rsidR="004012FC">
        <w:t xml:space="preserve"> These assessments </w:t>
      </w:r>
      <w:r w:rsidR="004012FC" w:rsidRPr="004012FC">
        <w:t>did not</w:t>
      </w:r>
      <w:r w:rsidR="004012FC">
        <w:t xml:space="preserve"> include consideration of</w:t>
      </w:r>
      <w:r w:rsidR="004012FC" w:rsidRPr="004012FC">
        <w:t xml:space="preserve"> risks to the environment </w:t>
      </w:r>
      <w:r w:rsidR="004012FC">
        <w:t xml:space="preserve">for commercial cultivation of </w:t>
      </w:r>
      <w:r w:rsidR="004012FC" w:rsidRPr="008654CF">
        <w:t>oilseed rape GT73</w:t>
      </w:r>
      <w:r w:rsidR="004012FC" w:rsidRPr="004012FC">
        <w:t>.</w:t>
      </w:r>
    </w:p>
    <w:p w14:paraId="6524B173" w14:textId="480A15D0" w:rsidR="00AA0CD3" w:rsidRPr="008654CF" w:rsidRDefault="007549C8" w:rsidP="00923A59">
      <w:pPr>
        <w:pStyle w:val="RARMPPara"/>
      </w:pPr>
      <w:r w:rsidRPr="008654CF">
        <w:t xml:space="preserve">Decision and consent documents relating to authorisation for </w:t>
      </w:r>
      <w:r w:rsidR="007F62C5" w:rsidRPr="008654CF">
        <w:t xml:space="preserve">grain </w:t>
      </w:r>
      <w:r w:rsidRPr="008654CF">
        <w:t>import</w:t>
      </w:r>
      <w:r w:rsidR="007F62C5" w:rsidRPr="008654CF">
        <w:t xml:space="preserve"> into the EU</w:t>
      </w:r>
      <w:r w:rsidR="00D7252A" w:rsidRPr="008654CF">
        <w:t xml:space="preserve">, </w:t>
      </w:r>
      <w:r w:rsidR="007F62C5" w:rsidRPr="008654CF">
        <w:t xml:space="preserve">and </w:t>
      </w:r>
      <w:r w:rsidR="00E21619" w:rsidRPr="008654CF">
        <w:t xml:space="preserve">processing </w:t>
      </w:r>
      <w:r w:rsidR="00D7252A" w:rsidRPr="008654CF">
        <w:t xml:space="preserve">and food and feed use </w:t>
      </w:r>
      <w:r w:rsidRPr="008654CF">
        <w:t xml:space="preserve">of the </w:t>
      </w:r>
      <w:r w:rsidR="00E21619" w:rsidRPr="008654CF">
        <w:t>oilseed rape GT73</w:t>
      </w:r>
      <w:r w:rsidRPr="008654CF">
        <w:t xml:space="preserve"> can be found on the European Commission (EC) website </w:t>
      </w:r>
      <w:r w:rsidR="00E82CBE" w:rsidRPr="008654CF">
        <w:t>(</w:t>
      </w:r>
      <w:hyperlink r:id="rId41" w:history="1">
        <w:r w:rsidR="00DB173B" w:rsidRPr="00E5689A">
          <w:rPr>
            <w:rStyle w:val="Hyperlink"/>
            <w:color w:val="auto"/>
          </w:rPr>
          <w:t>EU Register of authorised GMOs</w:t>
        </w:r>
      </w:hyperlink>
      <w:r w:rsidR="00E82CBE" w:rsidRPr="008654CF">
        <w:t>).</w:t>
      </w:r>
    </w:p>
    <w:p w14:paraId="179C3D4B" w14:textId="42B12D12" w:rsidR="001317A6" w:rsidRPr="008654CF" w:rsidRDefault="00804CF7" w:rsidP="00B724EC">
      <w:pPr>
        <w:pStyle w:val="RARMPPara"/>
      </w:pPr>
      <w:r w:rsidRPr="008654CF">
        <w:t xml:space="preserve">The Philippines issued a </w:t>
      </w:r>
      <w:hyperlink r:id="rId42" w:history="1">
        <w:r w:rsidRPr="00B724EC">
          <w:rPr>
            <w:rStyle w:val="Hyperlink"/>
            <w:color w:val="auto"/>
          </w:rPr>
          <w:t>Biosafety Permit</w:t>
        </w:r>
      </w:hyperlink>
      <w:r w:rsidRPr="008654CF">
        <w:t xml:space="preserve"> in 2019 following a </w:t>
      </w:r>
      <w:hyperlink r:id="rId43" w:history="1">
        <w:r w:rsidRPr="00B724EC">
          <w:rPr>
            <w:rStyle w:val="Hyperlink"/>
            <w:color w:val="auto"/>
          </w:rPr>
          <w:t>biosafety asse</w:t>
        </w:r>
        <w:r w:rsidR="00993D6C" w:rsidRPr="00B724EC">
          <w:rPr>
            <w:rStyle w:val="Hyperlink"/>
            <w:color w:val="auto"/>
          </w:rPr>
          <w:t>ssment</w:t>
        </w:r>
      </w:hyperlink>
      <w:r w:rsidR="00993D6C" w:rsidRPr="008654CF">
        <w:t xml:space="preserve"> for direct use as food, feed or for processing of RT73</w:t>
      </w:r>
      <w:r w:rsidR="004332D6" w:rsidRPr="008654CF">
        <w:t xml:space="preserve"> canola</w:t>
      </w:r>
      <w:r w:rsidR="002220B0">
        <w:t xml:space="preserve"> (</w:t>
      </w:r>
      <w:r w:rsidR="002220B0" w:rsidRPr="008654CF">
        <w:t>MON-ØØØ73-7</w:t>
      </w:r>
      <w:r w:rsidR="002220B0">
        <w:t>)</w:t>
      </w:r>
      <w:r w:rsidR="00993D6C" w:rsidRPr="008654CF">
        <w:t xml:space="preserve">. </w:t>
      </w:r>
      <w:r w:rsidRPr="008654CF">
        <w:t xml:space="preserve">Malaysia </w:t>
      </w:r>
      <w:r w:rsidR="00993D6C" w:rsidRPr="008654CF">
        <w:t xml:space="preserve">also </w:t>
      </w:r>
      <w:hyperlink r:id="rId44" w:history="1">
        <w:r w:rsidR="00993D6C" w:rsidRPr="00B724EC">
          <w:rPr>
            <w:rStyle w:val="Hyperlink"/>
            <w:color w:val="auto"/>
          </w:rPr>
          <w:t xml:space="preserve">approved </w:t>
        </w:r>
        <w:r w:rsidR="00185D6A" w:rsidRPr="00B724EC">
          <w:rPr>
            <w:rStyle w:val="Hyperlink"/>
            <w:color w:val="auto"/>
          </w:rPr>
          <w:t xml:space="preserve">importation of RT73 </w:t>
        </w:r>
        <w:r w:rsidR="00A31B31" w:rsidRPr="00B724EC">
          <w:rPr>
            <w:rStyle w:val="Hyperlink"/>
            <w:color w:val="auto"/>
          </w:rPr>
          <w:t>canola</w:t>
        </w:r>
      </w:hyperlink>
      <w:r w:rsidR="00A31B31" w:rsidRPr="008654CF">
        <w:t xml:space="preserve"> </w:t>
      </w:r>
      <w:r w:rsidR="00185D6A" w:rsidRPr="008654CF">
        <w:t>for sale/</w:t>
      </w:r>
      <w:bookmarkStart w:id="16" w:name="_Hlk89087608"/>
      <w:r w:rsidR="00185D6A" w:rsidRPr="008654CF">
        <w:t xml:space="preserve">placing on the market for direct use as food, feed and for processing </w:t>
      </w:r>
      <w:bookmarkEnd w:id="16"/>
      <w:r w:rsidR="00185D6A" w:rsidRPr="008654CF">
        <w:t xml:space="preserve">in 2020 following a </w:t>
      </w:r>
      <w:hyperlink r:id="rId45" w:history="1">
        <w:r w:rsidR="00207D04" w:rsidRPr="00B724EC">
          <w:rPr>
            <w:rStyle w:val="Hyperlink"/>
            <w:color w:val="auto"/>
          </w:rPr>
          <w:t>risk assessment</w:t>
        </w:r>
      </w:hyperlink>
      <w:r w:rsidR="00207D04" w:rsidRPr="008654CF">
        <w:t xml:space="preserve"> by its Genetic Modification Advisory Committee. </w:t>
      </w:r>
      <w:r w:rsidR="0087427B" w:rsidRPr="008654CF">
        <w:t>Although the published information from these assessments is brief, the</w:t>
      </w:r>
      <w:r w:rsidR="00207D04" w:rsidRPr="008654CF">
        <w:t xml:space="preserve"> risk assessments </w:t>
      </w:r>
      <w:r w:rsidR="00F247C5" w:rsidRPr="008654CF">
        <w:t>did not identify any new risks</w:t>
      </w:r>
      <w:r w:rsidR="00B724EC">
        <w:t xml:space="preserve">. The </w:t>
      </w:r>
      <w:r w:rsidR="00B724EC" w:rsidRPr="008654CF">
        <w:t>Philippines</w:t>
      </w:r>
      <w:r w:rsidR="004F40B9">
        <w:t>’</w:t>
      </w:r>
      <w:r w:rsidR="00B724EC">
        <w:t xml:space="preserve"> assessment concluded </w:t>
      </w:r>
      <w:r w:rsidR="00207D04" w:rsidRPr="008654CF">
        <w:t>that</w:t>
      </w:r>
      <w:r w:rsidR="00B724EC">
        <w:t xml:space="preserve"> the RT73 canola is safe for human food and animal feed</w:t>
      </w:r>
      <w:r w:rsidR="00B724EC" w:rsidRPr="008654CF">
        <w:t xml:space="preserve"> </w:t>
      </w:r>
      <w:r w:rsidR="00B724EC">
        <w:t>and the environment</w:t>
      </w:r>
      <w:r w:rsidR="00707A60">
        <w:t>,</w:t>
      </w:r>
      <w:r w:rsidR="00B724EC">
        <w:t xml:space="preserve"> while the Malaysian assessment concluded that </w:t>
      </w:r>
      <w:r w:rsidR="00A31B31" w:rsidRPr="008654CF">
        <w:t xml:space="preserve">RT73 canola </w:t>
      </w:r>
      <w:r w:rsidR="00A6735E">
        <w:t xml:space="preserve">does not endanger biological diversity or human, </w:t>
      </w:r>
      <w:proofErr w:type="gramStart"/>
      <w:r w:rsidR="00A6735E">
        <w:t>animal</w:t>
      </w:r>
      <w:proofErr w:type="gramEnd"/>
      <w:r w:rsidR="00A6735E">
        <w:t xml:space="preserve"> and plant health</w:t>
      </w:r>
      <w:r w:rsidR="00B724EC">
        <w:t>,</w:t>
      </w:r>
      <w:r w:rsidR="00D45433">
        <w:t xml:space="preserve"> when it was used for food, feed and processing in these countries</w:t>
      </w:r>
      <w:r w:rsidR="002448C1" w:rsidRPr="008654CF">
        <w:t>.</w:t>
      </w:r>
      <w:r w:rsidR="00207D04" w:rsidRPr="008654CF">
        <w:t xml:space="preserve"> </w:t>
      </w:r>
      <w:r w:rsidR="00185D6A" w:rsidRPr="008654CF">
        <w:t xml:space="preserve"> </w:t>
      </w:r>
      <w:r w:rsidRPr="008654CF">
        <w:t xml:space="preserve"> </w:t>
      </w:r>
    </w:p>
    <w:p w14:paraId="1CD7EE5B" w14:textId="409F370E" w:rsidR="000A6265" w:rsidRPr="008654CF" w:rsidRDefault="00100560" w:rsidP="00993D6C">
      <w:pPr>
        <w:pStyle w:val="RARMPPara"/>
      </w:pPr>
      <w:r w:rsidRPr="008654CF">
        <w:t xml:space="preserve">Following the approval for unconfined release of GT73 canola </w:t>
      </w:r>
      <w:r w:rsidR="002220B0">
        <w:t>(</w:t>
      </w:r>
      <w:r w:rsidR="002220B0" w:rsidRPr="008654CF">
        <w:t>MON-ØØØ73-7</w:t>
      </w:r>
      <w:r w:rsidR="002220B0">
        <w:t xml:space="preserve">) </w:t>
      </w:r>
      <w:r w:rsidRPr="008654CF">
        <w:t xml:space="preserve">into the environment, including feed use, by the Canadian Food Inspection Agency in </w:t>
      </w:r>
      <w:hyperlink r:id="rId46" w:history="1">
        <w:r w:rsidRPr="008654CF">
          <w:rPr>
            <w:rStyle w:val="Hyperlink"/>
            <w:color w:val="auto"/>
          </w:rPr>
          <w:t>1995</w:t>
        </w:r>
      </w:hyperlink>
      <w:r w:rsidRPr="008654CF">
        <w:t xml:space="preserve"> and </w:t>
      </w:r>
      <w:r w:rsidR="00BE5FCE" w:rsidRPr="008654CF">
        <w:t xml:space="preserve">the approval for food use of GT73 canola by Health Canada in </w:t>
      </w:r>
      <w:hyperlink r:id="rId47" w:history="1">
        <w:r w:rsidR="00BE5FCE" w:rsidRPr="008654CF">
          <w:rPr>
            <w:rStyle w:val="Hyperlink"/>
            <w:color w:val="auto"/>
          </w:rPr>
          <w:t>1999</w:t>
        </w:r>
      </w:hyperlink>
      <w:r w:rsidR="00BE5FCE" w:rsidRPr="008654CF">
        <w:t xml:space="preserve">, </w:t>
      </w:r>
      <w:bookmarkStart w:id="17" w:name="_Hlk88698571"/>
      <w:r w:rsidR="00BE5FCE" w:rsidRPr="008654CF">
        <w:t xml:space="preserve">no further </w:t>
      </w:r>
      <w:r w:rsidR="002B5F83" w:rsidRPr="008654CF">
        <w:t>asse</w:t>
      </w:r>
      <w:r w:rsidR="002B5F83">
        <w:t>s</w:t>
      </w:r>
      <w:r w:rsidR="002B5F83" w:rsidRPr="008654CF">
        <w:t>sments</w:t>
      </w:r>
      <w:r w:rsidR="00BE5FCE" w:rsidRPr="008654CF">
        <w:t xml:space="preserve"> </w:t>
      </w:r>
      <w:r w:rsidR="00A17CF0" w:rsidRPr="008654CF">
        <w:t xml:space="preserve">on GT73 canola </w:t>
      </w:r>
      <w:r w:rsidR="00BE5FCE" w:rsidRPr="008654CF">
        <w:t>have been carried out by the Canadian authorities.</w:t>
      </w:r>
      <w:bookmarkEnd w:id="17"/>
      <w:r w:rsidR="00BE5FCE" w:rsidRPr="008654CF">
        <w:t xml:space="preserve"> Likewise, following </w:t>
      </w:r>
      <w:r w:rsidR="000D3CB3" w:rsidRPr="008654CF">
        <w:t xml:space="preserve">the approval for food and feed use by the US Food and Drug Administration in </w:t>
      </w:r>
      <w:hyperlink r:id="rId48" w:history="1">
        <w:r w:rsidR="000D3CB3" w:rsidRPr="008654CF">
          <w:rPr>
            <w:rStyle w:val="Hyperlink"/>
            <w:color w:val="auto"/>
          </w:rPr>
          <w:t>1995</w:t>
        </w:r>
      </w:hyperlink>
      <w:r w:rsidR="000D3CB3" w:rsidRPr="008654CF">
        <w:t xml:space="preserve"> and </w:t>
      </w:r>
      <w:r w:rsidR="00A17CF0" w:rsidRPr="008654CF">
        <w:t xml:space="preserve">the deregulation of GT73 canola by the Animal and Plant Health Inspection Services, US Department of Agriculture in </w:t>
      </w:r>
      <w:hyperlink r:id="rId49" w:history="1">
        <w:r w:rsidR="00A17CF0" w:rsidRPr="008654CF">
          <w:rPr>
            <w:rStyle w:val="Hyperlink"/>
            <w:color w:val="auto"/>
          </w:rPr>
          <w:t>1999</w:t>
        </w:r>
      </w:hyperlink>
      <w:r w:rsidR="00A63235" w:rsidRPr="008654CF">
        <w:t xml:space="preserve">, </w:t>
      </w:r>
      <w:r w:rsidR="00A17CF0" w:rsidRPr="008654CF">
        <w:t xml:space="preserve"> </w:t>
      </w:r>
      <w:r w:rsidR="00A63235" w:rsidRPr="008654CF">
        <w:t>no further assessments on GT73 canola have been carried out by the US authorities.</w:t>
      </w:r>
    </w:p>
    <w:p w14:paraId="7A487F01" w14:textId="58934A37" w:rsidR="00856B48" w:rsidRPr="00363C1E" w:rsidRDefault="00856B48" w:rsidP="00D45D6D">
      <w:pPr>
        <w:pStyle w:val="Heading3"/>
        <w:spacing w:before="240" w:after="120"/>
      </w:pPr>
      <w:r w:rsidRPr="00363C1E">
        <w:t>Conclusion</w:t>
      </w:r>
      <w:r w:rsidR="00363C1E" w:rsidRPr="00363C1E">
        <w:t xml:space="preserve"> of the risk assessment</w:t>
      </w:r>
    </w:p>
    <w:p w14:paraId="12BE2C8A" w14:textId="52E5CAFF" w:rsidR="003C5DA4" w:rsidRPr="008654CF" w:rsidRDefault="0060567B" w:rsidP="00923A59">
      <w:pPr>
        <w:pStyle w:val="RARMPPara"/>
        <w:rPr>
          <w:spacing w:val="2"/>
          <w:lang w:val="en"/>
        </w:rPr>
      </w:pPr>
      <w:r w:rsidRPr="008654CF">
        <w:t>B</w:t>
      </w:r>
      <w:r w:rsidR="00856B48" w:rsidRPr="008654CF">
        <w:t>ased on available information</w:t>
      </w:r>
      <w:r w:rsidR="002905FA" w:rsidRPr="008654CF">
        <w:t xml:space="preserve">, </w:t>
      </w:r>
      <w:r w:rsidR="00CB53B4" w:rsidRPr="008654CF">
        <w:t>there is no indication that any adverse or unexpected events have occurred either in Australia or in other countries where cultivation and</w:t>
      </w:r>
      <w:r w:rsidRPr="008654CF">
        <w:t>/</w:t>
      </w:r>
      <w:r w:rsidR="00CB53B4" w:rsidRPr="008654CF">
        <w:t xml:space="preserve">or import and distribution of </w:t>
      </w:r>
      <w:r w:rsidR="002220B0" w:rsidRPr="008654CF">
        <w:t>MON-ØØØ73-7</w:t>
      </w:r>
      <w:r w:rsidR="002220B0">
        <w:t xml:space="preserve"> </w:t>
      </w:r>
      <w:r w:rsidR="00685B9A">
        <w:t>canola</w:t>
      </w:r>
      <w:r w:rsidR="00F40EB0" w:rsidRPr="008654CF">
        <w:t xml:space="preserve"> </w:t>
      </w:r>
      <w:r w:rsidRPr="008654CF">
        <w:t>has been authorised</w:t>
      </w:r>
      <w:r w:rsidR="00CB53B4" w:rsidRPr="008654CF">
        <w:t>. No information was found in the literature</w:t>
      </w:r>
      <w:r w:rsidRPr="008654CF">
        <w:t xml:space="preserve"> review or from plant databases</w:t>
      </w:r>
      <w:r w:rsidR="00CB53B4" w:rsidRPr="008654CF">
        <w:t xml:space="preserve"> to indicate </w:t>
      </w:r>
      <w:r w:rsidR="00671F53" w:rsidRPr="008654CF">
        <w:t>altered</w:t>
      </w:r>
      <w:r w:rsidR="00CB53B4" w:rsidRPr="008654CF">
        <w:t xml:space="preserve"> or increased risk</w:t>
      </w:r>
      <w:r w:rsidR="00671F53" w:rsidRPr="008654CF">
        <w:t>s</w:t>
      </w:r>
      <w:r w:rsidR="00CB53B4" w:rsidRPr="008654CF">
        <w:t xml:space="preserve"> to human health and safety or to the environment from </w:t>
      </w:r>
      <w:r w:rsidR="002220B0" w:rsidRPr="008654CF">
        <w:t>MON-ØØØ73-7</w:t>
      </w:r>
      <w:r w:rsidR="00685B9A">
        <w:t xml:space="preserve"> canola</w:t>
      </w:r>
      <w:r w:rsidR="00CB53B4" w:rsidRPr="008654CF">
        <w:t xml:space="preserve">. </w:t>
      </w:r>
      <w:r w:rsidR="004E2F97" w:rsidRPr="008654CF">
        <w:t>T</w:t>
      </w:r>
      <w:r w:rsidR="00CB53B4" w:rsidRPr="008654CF">
        <w:t xml:space="preserve">he </w:t>
      </w:r>
      <w:r w:rsidR="00F57ED1" w:rsidRPr="008654CF">
        <w:t xml:space="preserve">conclusion of the </w:t>
      </w:r>
      <w:r w:rsidR="001B483D" w:rsidRPr="008654CF">
        <w:t xml:space="preserve">risk assessment </w:t>
      </w:r>
      <w:r w:rsidR="00F57ED1" w:rsidRPr="008654CF">
        <w:t xml:space="preserve">for DIR </w:t>
      </w:r>
      <w:r w:rsidR="00BD6296" w:rsidRPr="008654CF">
        <w:t>020/2002</w:t>
      </w:r>
      <w:r w:rsidR="00F57ED1" w:rsidRPr="008654CF">
        <w:t xml:space="preserve"> remains valid</w:t>
      </w:r>
      <w:r w:rsidR="00CB53B4" w:rsidRPr="008654CF">
        <w:rPr>
          <w:spacing w:val="2"/>
          <w:lang w:val="en"/>
        </w:rPr>
        <w:t xml:space="preserve">. </w:t>
      </w:r>
    </w:p>
    <w:p w14:paraId="4A3D461E" w14:textId="04FE072C" w:rsidR="00856B48" w:rsidRPr="008654CF" w:rsidRDefault="00AE0765" w:rsidP="00923A59">
      <w:pPr>
        <w:pStyle w:val="RARMPPara"/>
        <w:rPr>
          <w:spacing w:val="2"/>
          <w:lang w:val="en"/>
        </w:rPr>
      </w:pPr>
      <w:r w:rsidRPr="008654CF">
        <w:rPr>
          <w:spacing w:val="2"/>
          <w:lang w:val="en"/>
        </w:rPr>
        <w:t>Th</w:t>
      </w:r>
      <w:r w:rsidR="003C5DA4" w:rsidRPr="008654CF">
        <w:rPr>
          <w:spacing w:val="2"/>
          <w:lang w:val="en"/>
        </w:rPr>
        <w:t>us</w:t>
      </w:r>
      <w:r w:rsidR="00223F24" w:rsidRPr="008654CF">
        <w:rPr>
          <w:spacing w:val="2"/>
          <w:lang w:val="en"/>
        </w:rPr>
        <w:t>,</w:t>
      </w:r>
      <w:r w:rsidR="003C5DA4" w:rsidRPr="008654CF">
        <w:rPr>
          <w:spacing w:val="2"/>
          <w:lang w:val="en"/>
        </w:rPr>
        <w:t xml:space="preserve"> th</w:t>
      </w:r>
      <w:r w:rsidRPr="008654CF">
        <w:rPr>
          <w:spacing w:val="2"/>
          <w:lang w:val="en"/>
        </w:rPr>
        <w:t xml:space="preserve">e dealings with </w:t>
      </w:r>
      <w:r w:rsidR="002220B0" w:rsidRPr="008654CF">
        <w:t>MON-ØØØ73-7</w:t>
      </w:r>
      <w:r w:rsidR="002220B0">
        <w:t xml:space="preserve"> </w:t>
      </w:r>
      <w:r w:rsidR="00685B9A">
        <w:t>canola</w:t>
      </w:r>
      <w:r w:rsidR="00C671E2" w:rsidRPr="008654CF">
        <w:t xml:space="preserve"> </w:t>
      </w:r>
      <w:r w:rsidR="004E2F97" w:rsidRPr="008654CF">
        <w:rPr>
          <w:spacing w:val="2"/>
          <w:lang w:val="en"/>
        </w:rPr>
        <w:t>represent</w:t>
      </w:r>
      <w:r w:rsidR="003C5DA4" w:rsidRPr="008654CF">
        <w:rPr>
          <w:spacing w:val="2"/>
          <w:lang w:val="en"/>
        </w:rPr>
        <w:t xml:space="preserve"> minimal risk to human health and the environment</w:t>
      </w:r>
      <w:r w:rsidRPr="008654CF">
        <w:rPr>
          <w:spacing w:val="2"/>
          <w:lang w:val="en"/>
        </w:rPr>
        <w:t xml:space="preserve">. </w:t>
      </w:r>
    </w:p>
    <w:p w14:paraId="70893970" w14:textId="77777777" w:rsidR="001B483D" w:rsidRPr="008654CF" w:rsidRDefault="001B483D" w:rsidP="00D45D6D">
      <w:pPr>
        <w:pStyle w:val="Heading2"/>
        <w:spacing w:after="120"/>
      </w:pPr>
      <w:r w:rsidRPr="008654CF">
        <w:t>Risk management plan</w:t>
      </w:r>
    </w:p>
    <w:p w14:paraId="40C67AA3" w14:textId="77777777" w:rsidR="003B6C27" w:rsidRDefault="001B483D" w:rsidP="00923A59">
      <w:pPr>
        <w:pStyle w:val="RARMPPara"/>
        <w:rPr>
          <w:lang w:val="en"/>
        </w:rPr>
      </w:pPr>
      <w:r w:rsidRPr="001B483D">
        <w:rPr>
          <w:lang w:val="en"/>
        </w:rPr>
        <w:t>Risk management is used to protect the health and safety of people and to protect the environment by controlling or mitigating risk. The risk management plan addresses risks evaluated as requiring treatment</w:t>
      </w:r>
      <w:r>
        <w:rPr>
          <w:lang w:val="en"/>
        </w:rPr>
        <w:t xml:space="preserve">. </w:t>
      </w:r>
    </w:p>
    <w:p w14:paraId="498D161E" w14:textId="77777777" w:rsidR="00481135" w:rsidRPr="008654CF" w:rsidRDefault="001B483D" w:rsidP="00923A59">
      <w:pPr>
        <w:pStyle w:val="RARMPPara"/>
        <w:rPr>
          <w:lang w:val="en"/>
        </w:rPr>
      </w:pPr>
      <w:r w:rsidRPr="008654CF">
        <w:rPr>
          <w:lang w:val="en"/>
        </w:rPr>
        <w:t xml:space="preserve">Under Section </w:t>
      </w:r>
      <w:r w:rsidR="003B6C27" w:rsidRPr="008654CF">
        <w:rPr>
          <w:lang w:val="en"/>
        </w:rPr>
        <w:t>79(1)</w:t>
      </w:r>
      <w:r w:rsidRPr="008654CF">
        <w:rPr>
          <w:lang w:val="en"/>
        </w:rPr>
        <w:t xml:space="preserve"> of the Act, </w:t>
      </w:r>
      <w:r w:rsidR="003B6C27" w:rsidRPr="008654CF">
        <w:rPr>
          <w:lang w:val="en"/>
        </w:rPr>
        <w:t xml:space="preserve">the Regulator must not decide to include dealings with a GMO on the GMO Register unless satisfied that any risks posed by the dealing are minimal; and it is not necessary for persons undertaking the dealing to hold, or be covered by a GMO </w:t>
      </w:r>
      <w:proofErr w:type="spellStart"/>
      <w:r w:rsidR="003B6C27" w:rsidRPr="008654CF">
        <w:rPr>
          <w:lang w:val="en"/>
        </w:rPr>
        <w:t>licence</w:t>
      </w:r>
      <w:proofErr w:type="spellEnd"/>
      <w:r w:rsidR="003B6C27" w:rsidRPr="008654CF">
        <w:rPr>
          <w:lang w:val="en"/>
        </w:rPr>
        <w:t xml:space="preserve">, </w:t>
      </w:r>
      <w:proofErr w:type="gramStart"/>
      <w:r w:rsidR="003B6C27" w:rsidRPr="008654CF">
        <w:rPr>
          <w:lang w:val="en"/>
        </w:rPr>
        <w:t>in order to</w:t>
      </w:r>
      <w:proofErr w:type="gramEnd"/>
      <w:r w:rsidR="003B6C27" w:rsidRPr="008654CF">
        <w:rPr>
          <w:lang w:val="en"/>
        </w:rPr>
        <w:t xml:space="preserve"> protect the health and safety of people or to protect the environment. </w:t>
      </w:r>
    </w:p>
    <w:p w14:paraId="6B696F49" w14:textId="55CFECF0" w:rsidR="00E34634" w:rsidRPr="008654CF" w:rsidRDefault="00E34634" w:rsidP="00923A59">
      <w:pPr>
        <w:pStyle w:val="RARMPPara"/>
        <w:rPr>
          <w:lang w:val="en"/>
        </w:rPr>
      </w:pPr>
      <w:r w:rsidRPr="008654CF">
        <w:rPr>
          <w:lang w:val="en"/>
        </w:rPr>
        <w:t xml:space="preserve">A </w:t>
      </w:r>
      <w:proofErr w:type="spellStart"/>
      <w:r w:rsidRPr="008654CF">
        <w:rPr>
          <w:lang w:val="en"/>
        </w:rPr>
        <w:t>licence</w:t>
      </w:r>
      <w:proofErr w:type="spellEnd"/>
      <w:r w:rsidRPr="008654CF">
        <w:rPr>
          <w:lang w:val="en"/>
        </w:rPr>
        <w:t xml:space="preserve"> is not considered necessary for the proposed dealings</w:t>
      </w:r>
      <w:r w:rsidR="00D90330" w:rsidRPr="008654CF">
        <w:rPr>
          <w:lang w:val="en"/>
        </w:rPr>
        <w:t xml:space="preserve"> with </w:t>
      </w:r>
      <w:r w:rsidR="00313195" w:rsidRPr="008654CF">
        <w:t>MON-ØØØ73-7</w:t>
      </w:r>
      <w:r w:rsidR="00313195">
        <w:t xml:space="preserve"> </w:t>
      </w:r>
      <w:r w:rsidR="00685B9A">
        <w:t>canola</w:t>
      </w:r>
      <w:r w:rsidRPr="008654CF">
        <w:rPr>
          <w:lang w:val="en"/>
        </w:rPr>
        <w:t>, because</w:t>
      </w:r>
      <w:r w:rsidR="003C5DA4" w:rsidRPr="008654CF">
        <w:rPr>
          <w:lang w:val="en"/>
        </w:rPr>
        <w:t>:</w:t>
      </w:r>
    </w:p>
    <w:p w14:paraId="2C6BF916" w14:textId="24C1914D" w:rsidR="00E34634" w:rsidRPr="008654CF" w:rsidRDefault="00E34634" w:rsidP="00923A59">
      <w:pPr>
        <w:pStyle w:val="ListParagraph"/>
        <w:numPr>
          <w:ilvl w:val="0"/>
          <w:numId w:val="4"/>
        </w:numPr>
        <w:ind w:left="851" w:hanging="284"/>
        <w:rPr>
          <w:spacing w:val="2"/>
          <w:lang w:val="en"/>
        </w:rPr>
      </w:pPr>
      <w:r w:rsidRPr="008654CF">
        <w:rPr>
          <w:spacing w:val="2"/>
          <w:lang w:val="en"/>
        </w:rPr>
        <w:t>the risk was assessed as</w:t>
      </w:r>
      <w:r w:rsidR="0060567B" w:rsidRPr="008654CF">
        <w:rPr>
          <w:spacing w:val="2"/>
          <w:lang w:val="en"/>
        </w:rPr>
        <w:t xml:space="preserve"> negligible</w:t>
      </w:r>
      <w:r w:rsidR="00223F24" w:rsidRPr="008654CF">
        <w:rPr>
          <w:spacing w:val="2"/>
          <w:lang w:val="en"/>
        </w:rPr>
        <w:t>,</w:t>
      </w:r>
      <w:r w:rsidR="000516E3" w:rsidRPr="008654CF">
        <w:rPr>
          <w:spacing w:val="2"/>
          <w:lang w:val="en"/>
        </w:rPr>
        <w:t xml:space="preserve"> and </w:t>
      </w:r>
      <w:r w:rsidRPr="008654CF">
        <w:rPr>
          <w:spacing w:val="2"/>
          <w:lang w:val="en"/>
        </w:rPr>
        <w:t xml:space="preserve">previous experience in dealing with </w:t>
      </w:r>
      <w:r w:rsidR="00F97A39" w:rsidRPr="008654CF">
        <w:t>MON-ØØØ73-7</w:t>
      </w:r>
      <w:r w:rsidR="00BD6296" w:rsidRPr="008654CF">
        <w:t xml:space="preserve"> canola</w:t>
      </w:r>
      <w:r w:rsidRPr="008654CF">
        <w:rPr>
          <w:spacing w:val="2"/>
          <w:lang w:val="en"/>
        </w:rPr>
        <w:t xml:space="preserve"> </w:t>
      </w:r>
      <w:r w:rsidR="006E2196" w:rsidRPr="008654CF">
        <w:rPr>
          <w:spacing w:val="2"/>
          <w:lang w:val="en"/>
        </w:rPr>
        <w:t>demonstrated safe use</w:t>
      </w:r>
      <w:r w:rsidR="00223F24" w:rsidRPr="008654CF">
        <w:rPr>
          <w:spacing w:val="2"/>
          <w:lang w:val="en"/>
        </w:rPr>
        <w:t>,</w:t>
      </w:r>
      <w:r w:rsidR="006E2196" w:rsidRPr="008654CF">
        <w:rPr>
          <w:spacing w:val="2"/>
          <w:lang w:val="en"/>
        </w:rPr>
        <w:t xml:space="preserve"> which indicates minimal risk </w:t>
      </w:r>
      <w:proofErr w:type="gramStart"/>
      <w:r w:rsidR="006E2196" w:rsidRPr="008654CF">
        <w:rPr>
          <w:spacing w:val="2"/>
          <w:lang w:val="en"/>
        </w:rPr>
        <w:t>as a result of</w:t>
      </w:r>
      <w:proofErr w:type="gramEnd"/>
      <w:r w:rsidR="006E2196" w:rsidRPr="008654CF">
        <w:rPr>
          <w:spacing w:val="2"/>
          <w:lang w:val="en"/>
        </w:rPr>
        <w:t xml:space="preserve"> gene technology</w:t>
      </w:r>
      <w:r w:rsidR="00263223" w:rsidRPr="008654CF">
        <w:rPr>
          <w:spacing w:val="2"/>
          <w:lang w:val="en"/>
        </w:rPr>
        <w:t>;</w:t>
      </w:r>
      <w:r w:rsidRPr="008654CF">
        <w:rPr>
          <w:spacing w:val="2"/>
          <w:lang w:val="en"/>
        </w:rPr>
        <w:t xml:space="preserve"> and</w:t>
      </w:r>
    </w:p>
    <w:p w14:paraId="3DAFF1D8" w14:textId="5B10E06C" w:rsidR="003B6C27" w:rsidRPr="008654CF" w:rsidRDefault="00E34634" w:rsidP="00923A59">
      <w:pPr>
        <w:pStyle w:val="ListParagraph"/>
        <w:numPr>
          <w:ilvl w:val="0"/>
          <w:numId w:val="4"/>
        </w:numPr>
        <w:ind w:left="851" w:hanging="284"/>
        <w:rPr>
          <w:spacing w:val="2"/>
          <w:lang w:val="en"/>
        </w:rPr>
      </w:pPr>
      <w:r w:rsidRPr="008654CF">
        <w:rPr>
          <w:spacing w:val="2"/>
          <w:lang w:val="en"/>
        </w:rPr>
        <w:t xml:space="preserve">neither statutory </w:t>
      </w:r>
      <w:r w:rsidR="007A5BBC" w:rsidRPr="008654CF">
        <w:rPr>
          <w:spacing w:val="2"/>
          <w:lang w:val="en"/>
        </w:rPr>
        <w:t xml:space="preserve">(s65 and s66 of the Act) </w:t>
      </w:r>
      <w:r w:rsidRPr="008654CF">
        <w:rPr>
          <w:spacing w:val="2"/>
          <w:lang w:val="en"/>
        </w:rPr>
        <w:t xml:space="preserve">nor application-specific </w:t>
      </w:r>
      <w:proofErr w:type="spellStart"/>
      <w:r w:rsidRPr="008654CF">
        <w:rPr>
          <w:spacing w:val="2"/>
          <w:lang w:val="en"/>
        </w:rPr>
        <w:t>licence</w:t>
      </w:r>
      <w:proofErr w:type="spellEnd"/>
      <w:r w:rsidRPr="008654CF">
        <w:rPr>
          <w:spacing w:val="2"/>
          <w:lang w:val="en"/>
        </w:rPr>
        <w:t xml:space="preserve"> conditions </w:t>
      </w:r>
      <w:r w:rsidR="007A5BBC" w:rsidRPr="008654CF">
        <w:rPr>
          <w:spacing w:val="2"/>
          <w:lang w:val="en"/>
        </w:rPr>
        <w:t xml:space="preserve">(DIR </w:t>
      </w:r>
      <w:r w:rsidR="00BD6296" w:rsidRPr="008654CF">
        <w:rPr>
          <w:spacing w:val="2"/>
          <w:lang w:val="en"/>
        </w:rPr>
        <w:t>020/2002</w:t>
      </w:r>
      <w:r w:rsidR="007A5BBC" w:rsidRPr="008654CF">
        <w:rPr>
          <w:spacing w:val="2"/>
          <w:lang w:val="en"/>
        </w:rPr>
        <w:t xml:space="preserve">) </w:t>
      </w:r>
      <w:r w:rsidRPr="008654CF">
        <w:rPr>
          <w:spacing w:val="2"/>
          <w:lang w:val="en"/>
        </w:rPr>
        <w:t>resulted in a finding that would justify continued licensing</w:t>
      </w:r>
      <w:r w:rsidR="00263223" w:rsidRPr="008654CF">
        <w:rPr>
          <w:spacing w:val="2"/>
          <w:lang w:val="en"/>
        </w:rPr>
        <w:t xml:space="preserve"> to manage th</w:t>
      </w:r>
      <w:r w:rsidR="006E2196" w:rsidRPr="008654CF">
        <w:rPr>
          <w:spacing w:val="2"/>
          <w:lang w:val="en"/>
        </w:rPr>
        <w:t>i</w:t>
      </w:r>
      <w:r w:rsidR="00263223" w:rsidRPr="008654CF">
        <w:rPr>
          <w:spacing w:val="2"/>
          <w:lang w:val="en"/>
        </w:rPr>
        <w:t xml:space="preserve">s </w:t>
      </w:r>
      <w:r w:rsidR="006E2196" w:rsidRPr="008654CF">
        <w:rPr>
          <w:spacing w:val="2"/>
          <w:lang w:val="en"/>
        </w:rPr>
        <w:t xml:space="preserve">minimal </w:t>
      </w:r>
      <w:r w:rsidR="00263223" w:rsidRPr="008654CF">
        <w:rPr>
          <w:spacing w:val="2"/>
          <w:lang w:val="en"/>
        </w:rPr>
        <w:t>risk</w:t>
      </w:r>
      <w:r w:rsidR="003B6C27" w:rsidRPr="008654CF">
        <w:rPr>
          <w:spacing w:val="2"/>
          <w:lang w:val="en"/>
        </w:rPr>
        <w:t>.</w:t>
      </w:r>
    </w:p>
    <w:p w14:paraId="555D51B5" w14:textId="58B2C98B" w:rsidR="0060567B" w:rsidRPr="008654CF" w:rsidRDefault="007A5BBC" w:rsidP="00923A59">
      <w:pPr>
        <w:pStyle w:val="RARMPPara"/>
        <w:rPr>
          <w:lang w:val="en"/>
        </w:rPr>
      </w:pPr>
      <w:r w:rsidRPr="008654CF">
        <w:rPr>
          <w:lang w:val="en"/>
        </w:rPr>
        <w:t xml:space="preserve">If the Regulator </w:t>
      </w:r>
      <w:proofErr w:type="gramStart"/>
      <w:r w:rsidRPr="008654CF">
        <w:rPr>
          <w:lang w:val="en"/>
        </w:rPr>
        <w:t>makes a determination</w:t>
      </w:r>
      <w:proofErr w:type="gramEnd"/>
      <w:r w:rsidRPr="008654CF">
        <w:rPr>
          <w:lang w:val="en"/>
        </w:rPr>
        <w:t xml:space="preserve"> to include dealings with a GMO on the Register, under Section 77(b) specific conditions</w:t>
      </w:r>
      <w:r w:rsidRPr="008654CF" w:rsidDel="007A5BBC">
        <w:rPr>
          <w:lang w:val="en"/>
        </w:rPr>
        <w:t xml:space="preserve"> </w:t>
      </w:r>
      <w:r w:rsidRPr="008654CF">
        <w:rPr>
          <w:lang w:val="en"/>
        </w:rPr>
        <w:t xml:space="preserve">might be included on the GM Register to manage risks. </w:t>
      </w:r>
      <w:r w:rsidR="00AB1565" w:rsidRPr="008654CF">
        <w:rPr>
          <w:lang w:val="en"/>
        </w:rPr>
        <w:t>Based on the risk assessment presented here, specific conditions to manage risks are not considered necessary.</w:t>
      </w:r>
    </w:p>
    <w:p w14:paraId="3EEAB0BD" w14:textId="768AAFCE" w:rsidR="00553C35" w:rsidRPr="008654CF" w:rsidRDefault="00553C35" w:rsidP="00D45D6D">
      <w:pPr>
        <w:pStyle w:val="Heading2"/>
        <w:spacing w:after="120"/>
        <w:rPr>
          <w:lang w:val="en"/>
        </w:rPr>
      </w:pPr>
      <w:r w:rsidRPr="008654CF">
        <w:rPr>
          <w:lang w:val="en"/>
        </w:rPr>
        <w:t>Conclusions of the consultation Risk Assessment and Risk Management Plan</w:t>
      </w:r>
    </w:p>
    <w:p w14:paraId="2CD31EF6" w14:textId="10E5504C" w:rsidR="00553C35" w:rsidRPr="008654CF" w:rsidRDefault="00DE6963" w:rsidP="00923A59">
      <w:pPr>
        <w:pStyle w:val="RARMPPara"/>
      </w:pPr>
      <w:r w:rsidRPr="008654CF">
        <w:t xml:space="preserve">The </w:t>
      </w:r>
      <w:r w:rsidR="007E290C" w:rsidRPr="008654CF">
        <w:t xml:space="preserve">dealings </w:t>
      </w:r>
      <w:r w:rsidR="000472D8" w:rsidRPr="008654CF">
        <w:t xml:space="preserve">with </w:t>
      </w:r>
      <w:r w:rsidR="000272E2" w:rsidRPr="008654CF">
        <w:t>MON-ØØØ73-7</w:t>
      </w:r>
      <w:r w:rsidR="00685B9A">
        <w:t xml:space="preserve"> canola</w:t>
      </w:r>
      <w:r w:rsidR="00D90330" w:rsidRPr="008654CF">
        <w:t xml:space="preserve"> </w:t>
      </w:r>
      <w:r w:rsidR="000472D8" w:rsidRPr="008654CF">
        <w:t xml:space="preserve">as authorised under the DIR 020/2002 licence </w:t>
      </w:r>
      <w:r w:rsidR="007E290C" w:rsidRPr="008654CF">
        <w:t>pose</w:t>
      </w:r>
      <w:r w:rsidR="00553C35" w:rsidRPr="008654CF">
        <w:t xml:space="preserve"> </w:t>
      </w:r>
      <w:r w:rsidR="00B15667" w:rsidRPr="008654CF">
        <w:t>minimal</w:t>
      </w:r>
      <w:r w:rsidR="00553C35" w:rsidRPr="008654CF">
        <w:t xml:space="preserve"> risk to the health and safety of people or the environment </w:t>
      </w:r>
      <w:proofErr w:type="gramStart"/>
      <w:r w:rsidR="00553C35" w:rsidRPr="008654CF">
        <w:t>as a result of</w:t>
      </w:r>
      <w:proofErr w:type="gramEnd"/>
      <w:r w:rsidR="00553C35" w:rsidRPr="008654CF">
        <w:t xml:space="preserve"> gene technology</w:t>
      </w:r>
      <w:r w:rsidR="007E290C" w:rsidRPr="008654CF">
        <w:t xml:space="preserve">. </w:t>
      </w:r>
      <w:r w:rsidR="00AB1565" w:rsidRPr="008654CF">
        <w:rPr>
          <w:lang w:val="en"/>
        </w:rPr>
        <w:t>N</w:t>
      </w:r>
      <w:r w:rsidR="005B78DA" w:rsidRPr="008654CF">
        <w:t xml:space="preserve">o conditions are proposed if the Regulator </w:t>
      </w:r>
      <w:proofErr w:type="gramStart"/>
      <w:r w:rsidR="00F949E0" w:rsidRPr="008654CF">
        <w:t>makes a determination</w:t>
      </w:r>
      <w:proofErr w:type="gramEnd"/>
      <w:r w:rsidR="00F949E0" w:rsidRPr="008654CF">
        <w:t xml:space="preserve"> to include </w:t>
      </w:r>
      <w:r w:rsidR="005B78DA" w:rsidRPr="008654CF">
        <w:t>those</w:t>
      </w:r>
      <w:r w:rsidR="007E290C" w:rsidRPr="008654CF">
        <w:t xml:space="preserve"> dealings on </w:t>
      </w:r>
      <w:r w:rsidR="00102F5D" w:rsidRPr="008654CF">
        <w:t>t</w:t>
      </w:r>
      <w:r w:rsidR="007E290C" w:rsidRPr="008654CF">
        <w:t>he Register</w:t>
      </w:r>
      <w:r w:rsidR="00553C35" w:rsidRPr="008654CF">
        <w:t>.</w:t>
      </w:r>
    </w:p>
    <w:p w14:paraId="275E5958" w14:textId="6FAB6E43" w:rsidR="00DF57A0" w:rsidRPr="00CB53B4" w:rsidRDefault="006C7124" w:rsidP="00B257F6">
      <w:pPr>
        <w:pStyle w:val="Heading2"/>
        <w:spacing w:after="120"/>
      </w:pPr>
      <w:r>
        <w:br w:type="page"/>
      </w:r>
      <w:r w:rsidR="003C5DA4">
        <w:t>Literature Cited</w:t>
      </w:r>
    </w:p>
    <w:p w14:paraId="51C20050" w14:textId="77777777" w:rsidR="00032E1C" w:rsidRPr="00032E1C" w:rsidRDefault="00DF57A0" w:rsidP="00032E1C">
      <w:pPr>
        <w:pStyle w:val="EndNoteBibliography"/>
        <w:spacing w:after="240"/>
      </w:pPr>
      <w:r>
        <w:fldChar w:fldCharType="begin"/>
      </w:r>
      <w:r>
        <w:instrText xml:space="preserve"> ADDIN EN.REFLIST </w:instrText>
      </w:r>
      <w:r>
        <w:fldChar w:fldCharType="separate"/>
      </w:r>
      <w:r w:rsidR="00032E1C" w:rsidRPr="00032E1C">
        <w:t>ABARES (2023). Crop data underpinning Australian Crop Report No. 208: December 2023. (Canberra, Australia: Australian Bureau of Agricultural and Resource Economics and Sciences).</w:t>
      </w:r>
    </w:p>
    <w:p w14:paraId="5AF1E121" w14:textId="77777777" w:rsidR="00032E1C" w:rsidRPr="00032E1C" w:rsidRDefault="00032E1C" w:rsidP="00032E1C">
      <w:pPr>
        <w:pStyle w:val="EndNoteBibliography"/>
        <w:spacing w:after="240"/>
      </w:pPr>
      <w:r w:rsidRPr="00032E1C">
        <w:t>ANZFA (2000). Final risk analysis report - Application A363: Food produced from glyphosate-tolerant canola line GT73. (Canberra, Australia: Australia New Zealand Food Authority).</w:t>
      </w:r>
    </w:p>
    <w:p w14:paraId="73132D69" w14:textId="77777777" w:rsidR="00032E1C" w:rsidRPr="00032E1C" w:rsidRDefault="00032E1C" w:rsidP="00032E1C">
      <w:pPr>
        <w:pStyle w:val="EndNoteBibliography"/>
        <w:spacing w:after="240"/>
      </w:pPr>
      <w:r w:rsidRPr="00032E1C">
        <w:t>Australian Oilseeds Federation (2019). Canola volunteer control 2019.</w:t>
      </w:r>
    </w:p>
    <w:p w14:paraId="45ED971B" w14:textId="77777777" w:rsidR="00032E1C" w:rsidRPr="00032E1C" w:rsidRDefault="00032E1C" w:rsidP="00032E1C">
      <w:pPr>
        <w:pStyle w:val="EndNoteBibliography"/>
        <w:spacing w:after="240"/>
      </w:pPr>
      <w:r w:rsidRPr="00032E1C">
        <w:t>Beckie, H.J., Harker, K.N., Légère, A., Morrison, M.J., Séguin-Swartz, G., and Falk, K.C. (2011). GM canola: The Canadian experience. Farm Policy Journal</w:t>
      </w:r>
      <w:r w:rsidRPr="00032E1C">
        <w:rPr>
          <w:i/>
        </w:rPr>
        <w:t xml:space="preserve"> 8</w:t>
      </w:r>
      <w:r w:rsidRPr="00032E1C">
        <w:t>, 43-49.</w:t>
      </w:r>
    </w:p>
    <w:p w14:paraId="32D8DD3D" w14:textId="77777777" w:rsidR="00032E1C" w:rsidRPr="00032E1C" w:rsidRDefault="00032E1C" w:rsidP="00032E1C">
      <w:pPr>
        <w:pStyle w:val="EndNoteBibliography"/>
        <w:spacing w:after="240"/>
      </w:pPr>
      <w:r w:rsidRPr="00032E1C">
        <w:t xml:space="preserve">Beres, Z.T., Yang, X., Jin, L., Zhao, W., Mackey, D.M., and Snow, A.A. (2018). Overexpression of a native gene encoding 5-Enolpyruvylshikimate-3-Phosphate Synthase (EPSPS) may enhance fecundity in </w:t>
      </w:r>
      <w:r w:rsidRPr="00032E1C">
        <w:rPr>
          <w:i/>
        </w:rPr>
        <w:t>Arabidopsis thaliana</w:t>
      </w:r>
      <w:r w:rsidRPr="00032E1C">
        <w:t xml:space="preserve"> in the absence of glyphosate. International Journal of Plant Sciences</w:t>
      </w:r>
      <w:r w:rsidRPr="00032E1C">
        <w:rPr>
          <w:i/>
        </w:rPr>
        <w:t xml:space="preserve"> 179</w:t>
      </w:r>
      <w:r w:rsidRPr="00032E1C">
        <w:t>, 390-401.</w:t>
      </w:r>
    </w:p>
    <w:p w14:paraId="476D76FA" w14:textId="77777777" w:rsidR="00032E1C" w:rsidRPr="00032E1C" w:rsidRDefault="00032E1C" w:rsidP="00032E1C">
      <w:pPr>
        <w:pStyle w:val="EndNoteBibliography"/>
        <w:spacing w:after="240"/>
      </w:pPr>
      <w:r w:rsidRPr="00032E1C">
        <w:t>Busi, R., and Powles, S.B. (2016). Transgenic glyphosate-resistant canola (</w:t>
      </w:r>
      <w:r w:rsidRPr="00032E1C">
        <w:rPr>
          <w:i/>
        </w:rPr>
        <w:t>Brassica napus</w:t>
      </w:r>
      <w:r w:rsidRPr="00032E1C">
        <w:t>) can persist outside agricultural fields in Australia. Agriculture, Ecosystems &amp; Environment</w:t>
      </w:r>
      <w:r w:rsidRPr="00032E1C">
        <w:rPr>
          <w:i/>
        </w:rPr>
        <w:t xml:space="preserve"> 220</w:t>
      </w:r>
      <w:r w:rsidRPr="00032E1C">
        <w:t>, 28-34.</w:t>
      </w:r>
    </w:p>
    <w:p w14:paraId="21E53F10" w14:textId="77777777" w:rsidR="00032E1C" w:rsidRPr="00032E1C" w:rsidRDefault="00032E1C" w:rsidP="00032E1C">
      <w:pPr>
        <w:pStyle w:val="EndNoteBibliography"/>
        <w:spacing w:after="240"/>
      </w:pPr>
      <w:r w:rsidRPr="00032E1C">
        <w:t>Chen, R., Shimono, A., Aono, M., Nakajima, N., Ohsawa, R., and Yoshioka, Y. (2020). Genetic diversity and population structure of feral rapeseed (Brassica napus L.) in Japan. PLoS One</w:t>
      </w:r>
      <w:r w:rsidRPr="00032E1C">
        <w:rPr>
          <w:i/>
        </w:rPr>
        <w:t xml:space="preserve"> 15</w:t>
      </w:r>
      <w:r w:rsidRPr="00032E1C">
        <w:t>, e0227990.</w:t>
      </w:r>
    </w:p>
    <w:p w14:paraId="0F29A240" w14:textId="77777777" w:rsidR="00032E1C" w:rsidRPr="00032E1C" w:rsidRDefault="00032E1C" w:rsidP="00032E1C">
      <w:pPr>
        <w:pStyle w:val="EndNoteBibliography"/>
        <w:spacing w:after="240"/>
      </w:pPr>
      <w:r w:rsidRPr="00032E1C">
        <w:t>Colton, B., and Potter, T.D. (1999). History. In Canola in Australia: the first 30 years, P.A. Salisbury, T.D. Potter, G. McDonald, and A.G. Green, eds. (Organising Committee of the 10th International Rapeseed Congress).</w:t>
      </w:r>
    </w:p>
    <w:p w14:paraId="1741B98B" w14:textId="77777777" w:rsidR="00032E1C" w:rsidRPr="00032E1C" w:rsidRDefault="00032E1C" w:rsidP="00032E1C">
      <w:pPr>
        <w:pStyle w:val="EndNoteBibliography"/>
        <w:spacing w:after="240"/>
      </w:pPr>
      <w:r w:rsidRPr="00032E1C">
        <w:t>Devos, Y., Hails, R.S., Messean, A., Perry, J.N., and Squire, G.R. (2012). Feral genetically modified herbicide tolerant oilseed rape from seed import spills: are concerns scientifically justified? Transgenic Res</w:t>
      </w:r>
      <w:r w:rsidRPr="00032E1C">
        <w:rPr>
          <w:i/>
        </w:rPr>
        <w:t xml:space="preserve"> 21</w:t>
      </w:r>
      <w:r w:rsidRPr="00032E1C">
        <w:t>, 1-21.</w:t>
      </w:r>
    </w:p>
    <w:p w14:paraId="102FCE7A" w14:textId="77777777" w:rsidR="00032E1C" w:rsidRPr="00032E1C" w:rsidRDefault="00032E1C" w:rsidP="00032E1C">
      <w:pPr>
        <w:pStyle w:val="EndNoteBibliography"/>
        <w:spacing w:after="240"/>
      </w:pPr>
      <w:r w:rsidRPr="00032E1C">
        <w:t>EFSA (2004). Opinion of the Scientific Panel on Genetically Modified Organisms on a request from the Commission related to the Notification (Reference C/NL/98/11) for the placing on the market of herbicide-tolerant oilseed rape GT73, for import and processing, under Part C of Directive 2001/18/EC from Monsanto. EFSA Journal</w:t>
      </w:r>
      <w:r w:rsidRPr="00032E1C">
        <w:rPr>
          <w:i/>
        </w:rPr>
        <w:t xml:space="preserve"> 29</w:t>
      </w:r>
      <w:r w:rsidRPr="00032E1C">
        <w:t>, 1-19.</w:t>
      </w:r>
    </w:p>
    <w:p w14:paraId="4E01C4F0" w14:textId="77777777" w:rsidR="00032E1C" w:rsidRPr="00032E1C" w:rsidRDefault="00032E1C" w:rsidP="00032E1C">
      <w:pPr>
        <w:pStyle w:val="EndNoteBibliography"/>
        <w:spacing w:after="240"/>
      </w:pPr>
      <w:r w:rsidRPr="00032E1C">
        <w:t>EFSA (2009). Scientific Opinion on applications (EFSA-GMO-RX-GT73[8.1.a] and EFSA-GMO-RX-GT73[8.1.b/20.1.b]) for renewal of the authorisation for continued marketing of existing (1) food and food ingredients produced from oilseed rape GT73; and of (2) feed materials, feed additives and food additives produced from oilseed rape GT73, all under Regulation (EC) No 1829/2003 from Monsanto. EFSA Journal</w:t>
      </w:r>
      <w:r w:rsidRPr="00032E1C">
        <w:rPr>
          <w:i/>
        </w:rPr>
        <w:t xml:space="preserve"> 7</w:t>
      </w:r>
      <w:r w:rsidRPr="00032E1C">
        <w:t>, 1417.</w:t>
      </w:r>
    </w:p>
    <w:p w14:paraId="342E0F35" w14:textId="77777777" w:rsidR="00032E1C" w:rsidRPr="00032E1C" w:rsidRDefault="00032E1C" w:rsidP="00032E1C">
      <w:pPr>
        <w:pStyle w:val="EndNoteBibliography"/>
        <w:spacing w:after="240"/>
      </w:pPr>
      <w:r w:rsidRPr="00032E1C">
        <w:t>EFSA (2013). Scientific opinion on applications (EFSA-GMO-NL-2010-87) for the placing on the market of genetically modified herbicide tolerant oilseed rape GT73 for food containing or consist of, and food produced from or containing ingredients produced from, oilseed rape GT73 (with the exception of refined oil and food additives) under Regulation (EC) No 1829/2003 from Monsanto. EFSA Journal</w:t>
      </w:r>
      <w:r w:rsidRPr="00032E1C">
        <w:rPr>
          <w:i/>
        </w:rPr>
        <w:t xml:space="preserve"> 11</w:t>
      </w:r>
      <w:r w:rsidRPr="00032E1C">
        <w:t>, 3079.</w:t>
      </w:r>
    </w:p>
    <w:p w14:paraId="3405A3F8" w14:textId="77777777" w:rsidR="00032E1C" w:rsidRPr="00032E1C" w:rsidRDefault="00032E1C" w:rsidP="00032E1C">
      <w:pPr>
        <w:pStyle w:val="EndNoteBibliography"/>
        <w:spacing w:after="240"/>
      </w:pPr>
      <w:r w:rsidRPr="00032E1C">
        <w:t>EFSA (2020). Assessment of genetically modified oilseed rape GT73 for renewal authorisation under Regulation (EC) No 1829/2003 (application EFSA-GMO-RX-002). EFSA Journal</w:t>
      </w:r>
      <w:r w:rsidRPr="00032E1C">
        <w:rPr>
          <w:i/>
        </w:rPr>
        <w:t xml:space="preserve"> 18</w:t>
      </w:r>
      <w:r w:rsidRPr="00032E1C">
        <w:t>, e06199.</w:t>
      </w:r>
    </w:p>
    <w:p w14:paraId="2D253FBA" w14:textId="77777777" w:rsidR="00032E1C" w:rsidRPr="00032E1C" w:rsidRDefault="00032E1C" w:rsidP="00032E1C">
      <w:pPr>
        <w:pStyle w:val="EndNoteBibliography"/>
        <w:spacing w:after="240"/>
      </w:pPr>
      <w:r w:rsidRPr="00032E1C">
        <w:t>Fang, J., Nan, P., Gu, Z., Ge, X., Feng, Y.-Q., and Lu, B. (2018). Overexpressing exogenous 5-enolpyruvylshikimate-3-phosphate synthase (EPSPS) genes increases fecundity and auxin content of transgenic Arabidopsis plants. Frontiers in Plant Science</w:t>
      </w:r>
      <w:r w:rsidRPr="00032E1C">
        <w:rPr>
          <w:i/>
        </w:rPr>
        <w:t xml:space="preserve"> 9</w:t>
      </w:r>
      <w:r w:rsidRPr="00032E1C">
        <w:t>, 233.</w:t>
      </w:r>
    </w:p>
    <w:p w14:paraId="43066E49" w14:textId="77777777" w:rsidR="00032E1C" w:rsidRPr="00032E1C" w:rsidRDefault="00032E1C" w:rsidP="00032E1C">
      <w:pPr>
        <w:pStyle w:val="EndNoteBibliography"/>
        <w:spacing w:after="240"/>
      </w:pPr>
      <w:r w:rsidRPr="00032E1C">
        <w:t>Fernandez-Cornejo, J., Wechsler, S., and Milkove, D. (2016). The adoption of genetically engineered alfalfa, canola, and sugarbeets in the United States. Economic Information Bulletin No. 163. (U.S. Department of Agriculture, Economic Research Service).</w:t>
      </w:r>
    </w:p>
    <w:p w14:paraId="567F93C9" w14:textId="77777777" w:rsidR="00032E1C" w:rsidRPr="00032E1C" w:rsidRDefault="00032E1C" w:rsidP="00032E1C">
      <w:pPr>
        <w:pStyle w:val="EndNoteBibliography"/>
        <w:spacing w:after="240"/>
      </w:pPr>
      <w:r w:rsidRPr="00032E1C">
        <w:t>Grantina-Ievina, L., Ievina, B., Evelone, V., Berga, S., Kovalcuka, L., Bergspica, I., Jakovele, A.</w:t>
      </w:r>
      <w:r w:rsidRPr="00032E1C">
        <w:rPr>
          <w:i/>
        </w:rPr>
        <w:t>, et al.</w:t>
      </w:r>
      <w:r w:rsidRPr="00032E1C">
        <w:t xml:space="preserve"> (2019). Potential risk evaluation for unintended entry of genetically modified plant propagating material in Europe through import of seeds and animal feed - the experience of Latvia. GM Crops &amp; Food</w:t>
      </w:r>
      <w:r w:rsidRPr="00032E1C">
        <w:rPr>
          <w:i/>
        </w:rPr>
        <w:t xml:space="preserve"> 10</w:t>
      </w:r>
      <w:r w:rsidRPr="00032E1C">
        <w:t>, 159-169.</w:t>
      </w:r>
    </w:p>
    <w:p w14:paraId="231A17C6" w14:textId="77777777" w:rsidR="00032E1C" w:rsidRPr="00032E1C" w:rsidRDefault="00032E1C" w:rsidP="00032E1C">
      <w:pPr>
        <w:pStyle w:val="EndNoteBibliography"/>
        <w:spacing w:after="240"/>
      </w:pPr>
      <w:r w:rsidRPr="00032E1C">
        <w:t>GRDC (2017). GRDC Canola GrowNotes: Northern. (Grains Research and Development Corporation).</w:t>
      </w:r>
    </w:p>
    <w:p w14:paraId="0986F19C" w14:textId="77777777" w:rsidR="00032E1C" w:rsidRPr="00032E1C" w:rsidRDefault="00032E1C" w:rsidP="00032E1C">
      <w:pPr>
        <w:pStyle w:val="EndNoteBibliography"/>
        <w:spacing w:after="240"/>
      </w:pPr>
      <w:r w:rsidRPr="00032E1C">
        <w:t>Heap, I. (2020). The International Survey of Herbicide Resistant Weeds. (Available online, accessed 14 December 2020).</w:t>
      </w:r>
    </w:p>
    <w:p w14:paraId="23C7F1FB" w14:textId="77777777" w:rsidR="00032E1C" w:rsidRPr="00032E1C" w:rsidRDefault="00032E1C" w:rsidP="00032E1C">
      <w:pPr>
        <w:pStyle w:val="EndNoteBibliography"/>
        <w:spacing w:after="240"/>
      </w:pPr>
      <w:r w:rsidRPr="00032E1C">
        <w:t>Hecht, M., Oehen, B., Schulze, J., Brodmann, P., and Bagutti, C. (2014). Detection of feral GT73 transgenic oilseed rape (Brassica napus) along railway lines on entry routes to oilseed factories in Switzerland. Environ Sci Pollut Res Int</w:t>
      </w:r>
      <w:r w:rsidRPr="00032E1C">
        <w:rPr>
          <w:i/>
        </w:rPr>
        <w:t xml:space="preserve"> 21</w:t>
      </w:r>
      <w:r w:rsidRPr="00032E1C">
        <w:t>, 1455-1465.</w:t>
      </w:r>
    </w:p>
    <w:p w14:paraId="7B78088F" w14:textId="77777777" w:rsidR="00032E1C" w:rsidRPr="00032E1C" w:rsidRDefault="00032E1C" w:rsidP="00032E1C">
      <w:pPr>
        <w:pStyle w:val="EndNoteBibliography"/>
        <w:spacing w:after="240"/>
      </w:pPr>
      <w:r w:rsidRPr="00032E1C">
        <w:t>Invasive Plants and Animals Committee (2015). Noxious weed list for Australian states and territories.</w:t>
      </w:r>
    </w:p>
    <w:p w14:paraId="19C91D8D" w14:textId="77777777" w:rsidR="00032E1C" w:rsidRPr="00032E1C" w:rsidRDefault="00032E1C" w:rsidP="00032E1C">
      <w:pPr>
        <w:pStyle w:val="EndNoteBibliography"/>
        <w:spacing w:after="240"/>
      </w:pPr>
      <w:r w:rsidRPr="00032E1C">
        <w:t xml:space="preserve">ISAAA (2018). Global Status of Commercialized Biotech/GM Crops in 2018: Biotech Crops Continue to Help Meet the Challenges of Increased Population and Climate Change. </w:t>
      </w:r>
      <w:r w:rsidRPr="00032E1C">
        <w:rPr>
          <w:i/>
        </w:rPr>
        <w:t>ISAAA Brief No. 54</w:t>
      </w:r>
      <w:r w:rsidRPr="00032E1C">
        <w:t>. (ISAAA: Ithaca, NY.).</w:t>
      </w:r>
    </w:p>
    <w:p w14:paraId="5CA6FABE" w14:textId="77777777" w:rsidR="00032E1C" w:rsidRPr="00032E1C" w:rsidRDefault="00032E1C" w:rsidP="00032E1C">
      <w:pPr>
        <w:pStyle w:val="EndNoteBibliography"/>
        <w:spacing w:after="240"/>
      </w:pPr>
      <w:r w:rsidRPr="00032E1C">
        <w:t>Mallory-Smith, C., and Zapiola, M. (2008). Gene flow from glyphosate-resistant crops. Pest Management Science</w:t>
      </w:r>
      <w:r w:rsidRPr="00032E1C">
        <w:rPr>
          <w:i/>
        </w:rPr>
        <w:t xml:space="preserve"> 64</w:t>
      </w:r>
      <w:r w:rsidRPr="00032E1C">
        <w:t>, 428-440.</w:t>
      </w:r>
    </w:p>
    <w:p w14:paraId="156E4A39" w14:textId="77777777" w:rsidR="00032E1C" w:rsidRPr="00032E1C" w:rsidRDefault="00032E1C" w:rsidP="00032E1C">
      <w:pPr>
        <w:pStyle w:val="EndNoteBibliography"/>
        <w:spacing w:after="240"/>
      </w:pPr>
      <w:r w:rsidRPr="00032E1C">
        <w:t>Matsushita, A., Goto, H., Takahashi, Y., Tsuda, M., and Ohsawa, R. (2020). Consideration of familiarity accumulated in the confined field trials for environmental risk assessment of genetically modified soybean (Glycine max) in Japan. Transgenic Res</w:t>
      </w:r>
      <w:r w:rsidRPr="00032E1C">
        <w:rPr>
          <w:i/>
        </w:rPr>
        <w:t xml:space="preserve"> 29</w:t>
      </w:r>
      <w:r w:rsidRPr="00032E1C">
        <w:t>, 229-242.</w:t>
      </w:r>
    </w:p>
    <w:p w14:paraId="0BED3DCC" w14:textId="77777777" w:rsidR="00032E1C" w:rsidRPr="00032E1C" w:rsidRDefault="00032E1C" w:rsidP="00032E1C">
      <w:pPr>
        <w:pStyle w:val="EndNoteBibliography"/>
        <w:spacing w:after="240"/>
      </w:pPr>
      <w:r w:rsidRPr="00032E1C">
        <w:t>Munier, D.J., Brittan, K.L., and Lanini, W.T. (2012). Seed bank persistence of genetically modified canola in California. Environ Sci Pollut Res Int</w:t>
      </w:r>
      <w:r w:rsidRPr="00032E1C">
        <w:rPr>
          <w:i/>
        </w:rPr>
        <w:t xml:space="preserve"> 19</w:t>
      </w:r>
      <w:r w:rsidRPr="00032E1C">
        <w:t>, 2281-2284.</w:t>
      </w:r>
    </w:p>
    <w:p w14:paraId="6E209EAC" w14:textId="77777777" w:rsidR="00032E1C" w:rsidRPr="00032E1C" w:rsidRDefault="00032E1C" w:rsidP="00032E1C">
      <w:pPr>
        <w:pStyle w:val="EndNoteBibliography"/>
        <w:spacing w:after="240"/>
      </w:pPr>
      <w:r w:rsidRPr="00032E1C">
        <w:t>Ng, K., Raphael, B., Maloney, L., Evans, J., and Parsons, S. (2021). The state of weeds data collection in Australia. (Canberra, Australia: Australian Bureau of Agricultural and Resource Economics and Sciences).</w:t>
      </w:r>
    </w:p>
    <w:p w14:paraId="1C8D0801" w14:textId="77777777" w:rsidR="00032E1C" w:rsidRPr="00032E1C" w:rsidRDefault="00032E1C" w:rsidP="00032E1C">
      <w:pPr>
        <w:pStyle w:val="EndNoteBibliography"/>
        <w:spacing w:after="240"/>
      </w:pPr>
      <w:r w:rsidRPr="00032E1C">
        <w:t>OGTR (2021). Risk Assessment and Risk Management Plan for DIR 178 - Commercial release of canola genetically modified for herbicide tolerance and a hybrid breeding system (MS11 × RF3 and MS11 × RF3 × MON 88302). (Canberra, Australia: Office of the Gene Technology Regulator).</w:t>
      </w:r>
    </w:p>
    <w:p w14:paraId="4A958D7A" w14:textId="77777777" w:rsidR="00032E1C" w:rsidRPr="00032E1C" w:rsidRDefault="00032E1C" w:rsidP="00032E1C">
      <w:pPr>
        <w:pStyle w:val="EndNoteBibliography"/>
        <w:spacing w:after="240"/>
      </w:pPr>
      <w:r w:rsidRPr="00032E1C">
        <w:t xml:space="preserve">OGTR (2024). The Biology of </w:t>
      </w:r>
      <w:r w:rsidRPr="00032E1C">
        <w:rPr>
          <w:i/>
        </w:rPr>
        <w:t>Brassica napus</w:t>
      </w:r>
      <w:r w:rsidRPr="00032E1C">
        <w:t xml:space="preserve"> L. (canola) and </w:t>
      </w:r>
      <w:r w:rsidRPr="00032E1C">
        <w:rPr>
          <w:i/>
        </w:rPr>
        <w:t>Brassica juncea</w:t>
      </w:r>
      <w:r w:rsidRPr="00032E1C">
        <w:t xml:space="preserve"> (L.) Czern. &amp; Coss. (Indian mustard) (Canberra, Australia: Office of the Gene Technology Regulator).</w:t>
      </w:r>
    </w:p>
    <w:p w14:paraId="0A777303" w14:textId="77777777" w:rsidR="00032E1C" w:rsidRPr="00032E1C" w:rsidRDefault="00032E1C" w:rsidP="00032E1C">
      <w:pPr>
        <w:pStyle w:val="EndNoteBibliography"/>
        <w:spacing w:after="240"/>
      </w:pPr>
      <w:r w:rsidRPr="00032E1C">
        <w:t>Pandolfo, C.E., Presotto, A., Carbonell, F.T., Ureta, S., Poverene, M., and Cantamutto, M. (2016). Transgenic glyphosate-resistant oilseed rape (Brassica napus) as an invasive weed in Argentina: detection, characterization, and control alternatives. Environ Sci Pollut Res Int</w:t>
      </w:r>
      <w:r w:rsidRPr="00032E1C">
        <w:rPr>
          <w:i/>
        </w:rPr>
        <w:t xml:space="preserve"> 23</w:t>
      </w:r>
      <w:r w:rsidRPr="00032E1C">
        <w:t>, 24081-24091.</w:t>
      </w:r>
    </w:p>
    <w:p w14:paraId="080D815C" w14:textId="77777777" w:rsidR="00032E1C" w:rsidRPr="00032E1C" w:rsidRDefault="00032E1C" w:rsidP="00032E1C">
      <w:pPr>
        <w:pStyle w:val="EndNoteBibliography"/>
        <w:spacing w:after="240"/>
      </w:pPr>
      <w:r w:rsidRPr="00032E1C">
        <w:t>Pandolfo, C.E., Presotto, A., Carbonell, F.T., Ureta, S., Poverene, M., and Cantamutto, M. (2018). Transgene escape and persistence in an agroecosystem: the case of glyphosate-resistant Brassica rapa L. in central Argentina. Environ Sci Pollut Res Int</w:t>
      </w:r>
      <w:r w:rsidRPr="00032E1C">
        <w:rPr>
          <w:i/>
        </w:rPr>
        <w:t xml:space="preserve"> 25</w:t>
      </w:r>
      <w:r w:rsidRPr="00032E1C">
        <w:t>, 6251-6264.</w:t>
      </w:r>
    </w:p>
    <w:p w14:paraId="5FD3469C" w14:textId="77777777" w:rsidR="00032E1C" w:rsidRPr="00032E1C" w:rsidRDefault="00032E1C" w:rsidP="00032E1C">
      <w:pPr>
        <w:pStyle w:val="EndNoteBibliography"/>
        <w:spacing w:after="240"/>
      </w:pPr>
      <w:r w:rsidRPr="00032E1C">
        <w:t>Pascher, K., Hainz-Renetzeder, C., Gollmann, G., and Schneeweiss, G.M. (2017). Spillage of viable seeds of oilseed rape along transportation routes: Ecological risk assessment and perspectives on management efforts. Frontiers in Ecology and Evolution</w:t>
      </w:r>
      <w:r w:rsidRPr="00032E1C">
        <w:rPr>
          <w:i/>
        </w:rPr>
        <w:t xml:space="preserve"> 5</w:t>
      </w:r>
      <w:r w:rsidRPr="00032E1C">
        <w:t>.</w:t>
      </w:r>
    </w:p>
    <w:p w14:paraId="49E59638" w14:textId="77777777" w:rsidR="00032E1C" w:rsidRPr="00032E1C" w:rsidRDefault="00032E1C" w:rsidP="00032E1C">
      <w:pPr>
        <w:pStyle w:val="EndNoteBibliography"/>
        <w:spacing w:after="240"/>
      </w:pPr>
      <w:r w:rsidRPr="00032E1C">
        <w:t>Roadside Conservation Committee (2014). Roadside Environmental Weeds List. (Department of Parks and Wildlife, Western Australia).</w:t>
      </w:r>
    </w:p>
    <w:p w14:paraId="2AD3660A" w14:textId="77777777" w:rsidR="00032E1C" w:rsidRPr="00032E1C" w:rsidRDefault="00032E1C" w:rsidP="00032E1C">
      <w:pPr>
        <w:pStyle w:val="EndNoteBibliography"/>
        <w:spacing w:after="240"/>
      </w:pPr>
      <w:r w:rsidRPr="00032E1C">
        <w:t>Rostoks, N., Grantiņa-Ieviņa, L., Ieviņa, B., Evelone, V., Valciņa, O., and Aleksejeva, I. (2019). Genetically modified seeds and plant propagating material in Europe: potential routes of entrance and current status. Heliyon</w:t>
      </w:r>
      <w:r w:rsidRPr="00032E1C">
        <w:rPr>
          <w:i/>
        </w:rPr>
        <w:t xml:space="preserve"> 5</w:t>
      </w:r>
      <w:r w:rsidRPr="00032E1C">
        <w:t>, e01242.</w:t>
      </w:r>
    </w:p>
    <w:p w14:paraId="4AC9C527" w14:textId="77777777" w:rsidR="00032E1C" w:rsidRPr="00032E1C" w:rsidRDefault="00032E1C" w:rsidP="00032E1C">
      <w:pPr>
        <w:pStyle w:val="EndNoteBibliography"/>
        <w:spacing w:after="240"/>
      </w:pPr>
      <w:r w:rsidRPr="00032E1C">
        <w:t>Salisbury, P.A., Cowling, W.A., and Potter, T.D. (2016). Continuing innovation in Australian canola breeding. Crop and Pasture Science</w:t>
      </w:r>
      <w:r w:rsidRPr="00032E1C">
        <w:rPr>
          <w:i/>
        </w:rPr>
        <w:t xml:space="preserve"> 67</w:t>
      </w:r>
      <w:r w:rsidRPr="00032E1C">
        <w:t>, 266-272.</w:t>
      </w:r>
    </w:p>
    <w:p w14:paraId="3CFF50CF" w14:textId="77777777" w:rsidR="00032E1C" w:rsidRPr="00032E1C" w:rsidRDefault="00032E1C" w:rsidP="00032E1C">
      <w:pPr>
        <w:pStyle w:val="EndNoteBibliography"/>
        <w:spacing w:after="240"/>
      </w:pPr>
      <w:r w:rsidRPr="00032E1C">
        <w:t>Schafer, M.G., Ross, A.A., Londo, J.P., Burdick, C.A., Lee, E.H., Travers, S.E., Van de Water, P.K.</w:t>
      </w:r>
      <w:r w:rsidRPr="00032E1C">
        <w:rPr>
          <w:i/>
        </w:rPr>
        <w:t>, et al.</w:t>
      </w:r>
      <w:r w:rsidRPr="00032E1C">
        <w:t xml:space="preserve"> (2011). The establishment of genetically engineered canola populations in the U.S. PLoS One</w:t>
      </w:r>
      <w:r w:rsidRPr="00032E1C">
        <w:rPr>
          <w:i/>
        </w:rPr>
        <w:t xml:space="preserve"> 6</w:t>
      </w:r>
      <w:r w:rsidRPr="00032E1C">
        <w:t>, e25736.</w:t>
      </w:r>
    </w:p>
    <w:p w14:paraId="16131B78" w14:textId="77777777" w:rsidR="00032E1C" w:rsidRPr="00032E1C" w:rsidRDefault="00032E1C" w:rsidP="00032E1C">
      <w:pPr>
        <w:pStyle w:val="EndNoteBibliography"/>
        <w:spacing w:after="240"/>
      </w:pPr>
      <w:r w:rsidRPr="00032E1C">
        <w:t>Schulze, J., Frauenknecht, T., Brodmann, P., and Bagutti, C. (2014). Unexpected diversity of feral genetically modified oilseed rape (</w:t>
      </w:r>
      <w:r w:rsidRPr="00032E1C">
        <w:rPr>
          <w:i/>
        </w:rPr>
        <w:t xml:space="preserve">Brassica napus </w:t>
      </w:r>
      <w:r w:rsidRPr="00032E1C">
        <w:t>L.) despite a cultivation and import ban in Switzerland. PLoS One</w:t>
      </w:r>
      <w:r w:rsidRPr="00032E1C">
        <w:rPr>
          <w:i/>
        </w:rPr>
        <w:t xml:space="preserve"> 9</w:t>
      </w:r>
      <w:r w:rsidRPr="00032E1C">
        <w:t>, e114477.</w:t>
      </w:r>
    </w:p>
    <w:p w14:paraId="185AA77F" w14:textId="77777777" w:rsidR="00032E1C" w:rsidRPr="00032E1C" w:rsidRDefault="00032E1C" w:rsidP="00032E1C">
      <w:pPr>
        <w:pStyle w:val="EndNoteBibliography"/>
      </w:pPr>
      <w:r w:rsidRPr="00032E1C">
        <w:t>Umurzokov, M., Jeong, I.H., Ruziev, F., Bo, A.B., Jia, W., Hien, L.T.T., Khaitov, B.</w:t>
      </w:r>
      <w:r w:rsidRPr="00032E1C">
        <w:rPr>
          <w:i/>
        </w:rPr>
        <w:t>, et al.</w:t>
      </w:r>
      <w:r w:rsidRPr="00032E1C">
        <w:t xml:space="preserve"> (2019). Alternative herbicides to manage unintentionally released transgenic canola. Weed &amp; Turfgrass Science</w:t>
      </w:r>
      <w:r w:rsidRPr="00032E1C">
        <w:rPr>
          <w:i/>
        </w:rPr>
        <w:t xml:space="preserve"> 8</w:t>
      </w:r>
      <w:r w:rsidRPr="00032E1C">
        <w:t>, 123-130.</w:t>
      </w:r>
    </w:p>
    <w:p w14:paraId="6FEBF3FE" w14:textId="76117FA4" w:rsidR="002B086B" w:rsidRPr="00AD6352" w:rsidRDefault="00DF57A0" w:rsidP="00B257F6">
      <w:pPr>
        <w:pStyle w:val="Heading2"/>
        <w:spacing w:after="120"/>
      </w:pPr>
      <w:r>
        <w:fldChar w:fldCharType="end"/>
      </w:r>
      <w:r w:rsidR="004720E6" w:rsidRPr="00AD6352">
        <w:t xml:space="preserve">Literature reviewed in preparation of the </w:t>
      </w:r>
      <w:r w:rsidR="00553C35" w:rsidRPr="00AD6352">
        <w:t xml:space="preserve">consultation </w:t>
      </w:r>
      <w:proofErr w:type="gramStart"/>
      <w:r w:rsidR="004720E6" w:rsidRPr="00AD6352">
        <w:t>RARMP</w:t>
      </w:r>
      <w:proofErr w:type="gramEnd"/>
    </w:p>
    <w:p w14:paraId="07020266" w14:textId="2906C0CE" w:rsidR="004720E6" w:rsidRPr="008654CF" w:rsidRDefault="004720E6" w:rsidP="0096368D">
      <w:r w:rsidRPr="00AD6352">
        <w:t xml:space="preserve">References found through the literature searches described in the body of this document, but </w:t>
      </w:r>
      <w:r w:rsidR="00AA0CD3" w:rsidRPr="00AD6352">
        <w:t xml:space="preserve">not </w:t>
      </w:r>
      <w:r w:rsidR="00AA0CD3" w:rsidRPr="008654CF">
        <w:t xml:space="preserve">subsequently </w:t>
      </w:r>
      <w:r w:rsidRPr="008654CF">
        <w:t>cited directly are provided in this list. References are grouped generally, but some may have relevance to more than one area.</w:t>
      </w:r>
    </w:p>
    <w:p w14:paraId="3B7ACEE9" w14:textId="48463685" w:rsidR="0096368D" w:rsidRPr="008654CF" w:rsidRDefault="0096368D" w:rsidP="00B257F6">
      <w:pPr>
        <w:spacing w:before="240"/>
        <w:rPr>
          <w:b/>
        </w:rPr>
      </w:pPr>
      <w:r w:rsidRPr="008654CF">
        <w:rPr>
          <w:b/>
        </w:rPr>
        <w:t xml:space="preserve">1. </w:t>
      </w:r>
      <w:r w:rsidR="00AD6352" w:rsidRPr="008654CF">
        <w:rPr>
          <w:b/>
        </w:rPr>
        <w:t xml:space="preserve">Methods for detection of introduced gene(s) in </w:t>
      </w:r>
      <w:r w:rsidR="00F97A39" w:rsidRPr="005C5908">
        <w:rPr>
          <w:b/>
          <w:bCs/>
        </w:rPr>
        <w:t>MON-ØØØ73-7</w:t>
      </w:r>
      <w:r w:rsidR="00AD6352" w:rsidRPr="008654CF">
        <w:rPr>
          <w:b/>
        </w:rPr>
        <w:t xml:space="preserve"> canola</w:t>
      </w:r>
    </w:p>
    <w:p w14:paraId="3125230B" w14:textId="77777777" w:rsidR="00D103DC" w:rsidRPr="008654CF" w:rsidRDefault="00D103DC" w:rsidP="00D103DC">
      <w:pPr>
        <w:pStyle w:val="EndNoteBibliography"/>
        <w:spacing w:after="240"/>
      </w:pPr>
      <w:r w:rsidRPr="008654CF">
        <w:t>Ben Ali, S.-E., Madi, Z.E., Hochegger, R., Quist, D., Prewein, B., Haslberger, A.G., and Brandes, C. (2014). Mutation Scanning in a Single and a Stacked Genetically Modified (GM) Event by Real-Time PCR and High Resolution Melting (HRM) Analysis. International Journal of Molecular Sciences</w:t>
      </w:r>
      <w:r w:rsidRPr="008654CF">
        <w:rPr>
          <w:i/>
        </w:rPr>
        <w:t xml:space="preserve"> 15</w:t>
      </w:r>
      <w:r w:rsidRPr="008654CF">
        <w:t>, 19898-19923.</w:t>
      </w:r>
    </w:p>
    <w:p w14:paraId="78BE381B" w14:textId="77777777" w:rsidR="00D103DC" w:rsidRPr="008654CF" w:rsidRDefault="00D103DC" w:rsidP="00D103DC">
      <w:pPr>
        <w:pStyle w:val="EndNoteBibliography"/>
        <w:spacing w:after="240"/>
      </w:pPr>
      <w:r w:rsidRPr="008654CF">
        <w:t>Demeke, T., Eng, M., Holigroski, M., and Lee, S.-J. (2021). Effect of amount of DNA on digital pcr assessment of genetically engineered canola and soybean events. Food Analytical Methods</w:t>
      </w:r>
      <w:r w:rsidRPr="008654CF">
        <w:rPr>
          <w:i/>
        </w:rPr>
        <w:t xml:space="preserve"> 14</w:t>
      </w:r>
      <w:r w:rsidRPr="008654CF">
        <w:t>, 372-379.</w:t>
      </w:r>
    </w:p>
    <w:p w14:paraId="347B5F37" w14:textId="77777777" w:rsidR="00D103DC" w:rsidRPr="008654CF" w:rsidRDefault="00D103DC" w:rsidP="00D103DC">
      <w:pPr>
        <w:pStyle w:val="EndNoteBibliography"/>
        <w:spacing w:after="240"/>
      </w:pPr>
      <w:r w:rsidRPr="008654CF">
        <w:t>Kim, I.R., Lim, H.S., Choi, W., Kang, D.I., Lee, S.Y., and Lee, J.R. (2020). Monitoring living modified canola using an efficient multiplex PCR assay in natural environments in South Korea. Applied Sciences</w:t>
      </w:r>
      <w:r w:rsidRPr="008654CF">
        <w:rPr>
          <w:i/>
        </w:rPr>
        <w:t xml:space="preserve"> 10</w:t>
      </w:r>
      <w:r w:rsidRPr="008654CF">
        <w:t>, 7721.</w:t>
      </w:r>
    </w:p>
    <w:p w14:paraId="099FED91" w14:textId="7085D5B4" w:rsidR="00CF3534" w:rsidRPr="008654CF" w:rsidRDefault="00D103DC" w:rsidP="00D103DC">
      <w:pPr>
        <w:pStyle w:val="EndNoteBibliography"/>
      </w:pPr>
      <w:r w:rsidRPr="008654CF">
        <w:t>Mazur, M., Sieradzki, Z., Król, B., and Kwiatek, K. (2017). Multiplex PCR assays for qualitative detection and identification of the GT73, Ms8, Rf3 and T45 varieties of genetically modified oilseed rape. Journal of Animal and Feed Sciences</w:t>
      </w:r>
      <w:r w:rsidRPr="008654CF">
        <w:rPr>
          <w:i/>
        </w:rPr>
        <w:t xml:space="preserve"> 26</w:t>
      </w:r>
      <w:r w:rsidRPr="008654CF">
        <w:t>, 148-156.</w:t>
      </w:r>
    </w:p>
    <w:p w14:paraId="4C0F8223" w14:textId="3456A460" w:rsidR="00E570AC" w:rsidRPr="008654CF" w:rsidRDefault="00E570AC" w:rsidP="00B257F6">
      <w:pPr>
        <w:spacing w:before="240"/>
        <w:rPr>
          <w:b/>
        </w:rPr>
      </w:pPr>
      <w:r w:rsidRPr="008654CF">
        <w:rPr>
          <w:b/>
        </w:rPr>
        <w:t xml:space="preserve">2. </w:t>
      </w:r>
      <w:r w:rsidR="00CF3534" w:rsidRPr="008654CF">
        <w:rPr>
          <w:b/>
        </w:rPr>
        <w:t>W</w:t>
      </w:r>
      <w:r w:rsidR="000E57A9" w:rsidRPr="008654CF">
        <w:rPr>
          <w:b/>
        </w:rPr>
        <w:t>eediness of GM plants including herbicide-tolerant canola</w:t>
      </w:r>
    </w:p>
    <w:p w14:paraId="6200AC45" w14:textId="77777777" w:rsidR="00D24957" w:rsidRPr="008654CF" w:rsidRDefault="00D24957" w:rsidP="00D24957">
      <w:pPr>
        <w:pStyle w:val="EndNoteBibliography"/>
        <w:spacing w:after="240"/>
      </w:pPr>
      <w:r w:rsidRPr="008654CF">
        <w:t>Bauer-Panskus, A., Breckling, B., Hamberger, S., and Then, C. (2013). Cultivation-independent establishment of genetically engineered plants in natural populations: current evidence and implications for EU regulation. Environmental Sciences Europe</w:t>
      </w:r>
      <w:r w:rsidRPr="008654CF">
        <w:rPr>
          <w:i/>
        </w:rPr>
        <w:t xml:space="preserve"> 25</w:t>
      </w:r>
      <w:r w:rsidRPr="008654CF">
        <w:t>, 34.</w:t>
      </w:r>
    </w:p>
    <w:p w14:paraId="4EDDBF7D" w14:textId="77777777" w:rsidR="00D24957" w:rsidRPr="008654CF" w:rsidRDefault="00D24957" w:rsidP="00D24957">
      <w:pPr>
        <w:pStyle w:val="EndNoteBibliography"/>
        <w:spacing w:after="240"/>
      </w:pPr>
      <w:r w:rsidRPr="008654CF">
        <w:t>Bauer-Panskus, A., Miyazaki, J., Kawall, K., and Then, C. (2020). Risk assessment of genetically engineered plants that can persist and propagate in the environment. Environmental Sciences Europe</w:t>
      </w:r>
      <w:r w:rsidRPr="008654CF">
        <w:rPr>
          <w:i/>
        </w:rPr>
        <w:t xml:space="preserve"> 32</w:t>
      </w:r>
      <w:r w:rsidRPr="008654CF">
        <w:t>, 32.</w:t>
      </w:r>
    </w:p>
    <w:p w14:paraId="2C07F1E2" w14:textId="77777777" w:rsidR="00D24957" w:rsidRPr="008654CF" w:rsidRDefault="00D24957" w:rsidP="00D24957">
      <w:pPr>
        <w:pStyle w:val="EndNoteBibliography"/>
        <w:spacing w:after="240"/>
      </w:pPr>
      <w:r w:rsidRPr="008654CF">
        <w:t>Belter, A. (2016). Long-term monitoring of field trial sites with genetically modified oilseed rape (</w:t>
      </w:r>
      <w:r w:rsidRPr="008654CF">
        <w:rPr>
          <w:i/>
        </w:rPr>
        <w:t>Brassica napus</w:t>
      </w:r>
      <w:r w:rsidRPr="008654CF">
        <w:t xml:space="preserve"> L.) in saxony-Anhalt, Germany. Fifteen years persistence to date but no spatial dispersion. Genes</w:t>
      </w:r>
      <w:r w:rsidRPr="008654CF">
        <w:rPr>
          <w:i/>
        </w:rPr>
        <w:t xml:space="preserve"> 7</w:t>
      </w:r>
      <w:r w:rsidRPr="008654CF">
        <w:t>, 1-13.</w:t>
      </w:r>
    </w:p>
    <w:p w14:paraId="47D72BEA" w14:textId="77777777" w:rsidR="00D24957" w:rsidRPr="008654CF" w:rsidRDefault="00D24957" w:rsidP="00D24957">
      <w:pPr>
        <w:pStyle w:val="EndNoteBibliography"/>
        <w:spacing w:after="240"/>
      </w:pPr>
      <w:r w:rsidRPr="008654CF">
        <w:t>Ellstrand, N.C. (2018). "Born to Run"? Not Necessarily: Species and Trait Bias in Persistent Free-Living Transgenic Plants. Front Bioeng Biotechnol</w:t>
      </w:r>
      <w:r w:rsidRPr="008654CF">
        <w:rPr>
          <w:i/>
        </w:rPr>
        <w:t xml:space="preserve"> 6</w:t>
      </w:r>
      <w:r w:rsidRPr="008654CF">
        <w:t>, 88.</w:t>
      </w:r>
    </w:p>
    <w:p w14:paraId="7D60D30C" w14:textId="2A72F75A" w:rsidR="004720E6" w:rsidRPr="008654CF" w:rsidRDefault="00D24957" w:rsidP="00AF4970">
      <w:pPr>
        <w:pStyle w:val="EndNoteBibliography"/>
      </w:pPr>
      <w:r w:rsidRPr="008654CF">
        <w:t>Tsatsakis, A.M., Nawaz, M.A., Tutelyan, V.A., Golokhvast, K.S., Kalantzi, O.-I., Chung, D.H., Kang, S.J.</w:t>
      </w:r>
      <w:r w:rsidRPr="008654CF">
        <w:rPr>
          <w:i/>
        </w:rPr>
        <w:t>, et al.</w:t>
      </w:r>
      <w:r w:rsidRPr="008654CF">
        <w:t xml:space="preserve"> (2017). Impact on environment, ecosystem, diversity and health from culturing and using GMOs as feed and food. Food and Chemical Toxicology</w:t>
      </w:r>
      <w:r w:rsidRPr="008654CF">
        <w:rPr>
          <w:i/>
        </w:rPr>
        <w:t xml:space="preserve"> 107</w:t>
      </w:r>
      <w:r w:rsidRPr="008654CF">
        <w:t>, 108-121.</w:t>
      </w:r>
    </w:p>
    <w:p w14:paraId="77914B74" w14:textId="4FBB684E" w:rsidR="00E570AC" w:rsidRPr="008654CF" w:rsidRDefault="00E570AC" w:rsidP="00B257F6">
      <w:pPr>
        <w:spacing w:before="240"/>
        <w:rPr>
          <w:b/>
        </w:rPr>
      </w:pPr>
      <w:r w:rsidRPr="008654CF">
        <w:rPr>
          <w:b/>
        </w:rPr>
        <w:t xml:space="preserve">3. </w:t>
      </w:r>
      <w:r w:rsidR="00914E1B" w:rsidRPr="008654CF">
        <w:rPr>
          <w:b/>
        </w:rPr>
        <w:t>Safety assessment of CP4 EPSPS and GOXV247 proteins</w:t>
      </w:r>
    </w:p>
    <w:p w14:paraId="50AE24AC" w14:textId="77777777" w:rsidR="00AF4970" w:rsidRPr="008654CF" w:rsidRDefault="00AF4970" w:rsidP="00AF4970">
      <w:pPr>
        <w:pStyle w:val="EndNoteBibliography"/>
        <w:spacing w:after="240"/>
      </w:pPr>
      <w:r w:rsidRPr="008654CF">
        <w:t>ILSI (2012). A review of the environmental safety of the CP4 EPSPS protein. Environmental Biosafety Research</w:t>
      </w:r>
      <w:r w:rsidRPr="008654CF">
        <w:rPr>
          <w:i/>
        </w:rPr>
        <w:t xml:space="preserve"> 10</w:t>
      </w:r>
      <w:r w:rsidRPr="008654CF">
        <w:t>, 5-25.</w:t>
      </w:r>
    </w:p>
    <w:p w14:paraId="43C1C974" w14:textId="77777777" w:rsidR="00AF4970" w:rsidRPr="008654CF" w:rsidRDefault="00AF4970" w:rsidP="00AF4970">
      <w:pPr>
        <w:pStyle w:val="EndNoteBibliography"/>
        <w:spacing w:after="240"/>
      </w:pPr>
      <w:r w:rsidRPr="008654CF">
        <w:t>Salisu, I.B., Shahid, A.A., Yaqoob, A., Rao, A.Q., and Husnain, T. (2019). Effect of dietary supplementation of recombinant Cry and Cp4 epsps proteins on haematological indices of growing rabbits. Journal of Animal Physiology and Animal Nutrition</w:t>
      </w:r>
      <w:r w:rsidRPr="008654CF">
        <w:rPr>
          <w:i/>
        </w:rPr>
        <w:t xml:space="preserve"> 103</w:t>
      </w:r>
      <w:r w:rsidRPr="008654CF">
        <w:t>, 305-316.</w:t>
      </w:r>
    </w:p>
    <w:p w14:paraId="7C5A415A" w14:textId="77777777" w:rsidR="00AF4970" w:rsidRPr="008654CF" w:rsidRDefault="00AF4970" w:rsidP="00AF4970">
      <w:pPr>
        <w:pStyle w:val="EndNoteBibliography"/>
        <w:spacing w:after="240"/>
      </w:pPr>
      <w:r w:rsidRPr="008654CF">
        <w:t>Shi, Z., Zou, S., Lu, C., Wu, B., Huang, K., Zhao, C., and He, X. (2019). Evaluation of the effects of feeding glyphosate-tolerant soybeans (CP4 EPSPS) on the testis of male Sprague-Dawley rats. GM Crops Food</w:t>
      </w:r>
      <w:r w:rsidRPr="008654CF">
        <w:rPr>
          <w:i/>
        </w:rPr>
        <w:t xml:space="preserve"> 10</w:t>
      </w:r>
      <w:r w:rsidRPr="008654CF">
        <w:t>, 181-190.</w:t>
      </w:r>
    </w:p>
    <w:p w14:paraId="25BDAAD4" w14:textId="2D8A0E36" w:rsidR="00E570AC" w:rsidRPr="008654CF" w:rsidRDefault="00AF4970" w:rsidP="00AF4970">
      <w:r w:rsidRPr="008654CF">
        <w:rPr>
          <w:noProof/>
        </w:rPr>
        <w:t>Zdziarski, I.M., Edwards, J.W., Carman, J.A., and Haynes, J.I. (2014). GM crops and the rat digestive tract: A critical review. Environment International</w:t>
      </w:r>
      <w:r w:rsidRPr="008654CF">
        <w:rPr>
          <w:i/>
          <w:noProof/>
        </w:rPr>
        <w:t xml:space="preserve"> 73</w:t>
      </w:r>
      <w:r w:rsidRPr="008654CF">
        <w:rPr>
          <w:noProof/>
        </w:rPr>
        <w:t>, 423-433.</w:t>
      </w:r>
    </w:p>
    <w:p w14:paraId="01AAADBF" w14:textId="0CB1C8F5" w:rsidR="002C7026" w:rsidRPr="008654CF" w:rsidRDefault="001F118C" w:rsidP="00A42FAE">
      <w:pPr>
        <w:spacing w:before="240"/>
        <w:rPr>
          <w:b/>
        </w:rPr>
      </w:pPr>
      <w:r w:rsidRPr="008654CF">
        <w:rPr>
          <w:b/>
        </w:rPr>
        <w:t xml:space="preserve">4. </w:t>
      </w:r>
      <w:r w:rsidR="00A42FAE" w:rsidRPr="008654CF">
        <w:rPr>
          <w:b/>
        </w:rPr>
        <w:t>Socio-economic considerations of GM crops</w:t>
      </w:r>
    </w:p>
    <w:p w14:paraId="21011142" w14:textId="1B3E226B" w:rsidR="00A42FAE" w:rsidRPr="008654CF" w:rsidRDefault="00A42FAE" w:rsidP="00A42FAE">
      <w:pPr>
        <w:pStyle w:val="EndNoteBibliography"/>
        <w:spacing w:after="240"/>
      </w:pPr>
      <w:r w:rsidRPr="008654CF">
        <w:t>Biden, S., Smyth, S.J., and Hudson, D. (2018). The economic and environmental cost of delayed GM crop adoption: The case of Australia's GM canola moratorium. GM Crops &amp; Food</w:t>
      </w:r>
      <w:r w:rsidRPr="008654CF">
        <w:rPr>
          <w:i/>
        </w:rPr>
        <w:t xml:space="preserve"> 9</w:t>
      </w:r>
      <w:r w:rsidRPr="008654CF">
        <w:t>, 13-20.</w:t>
      </w:r>
    </w:p>
    <w:p w14:paraId="3CC96429" w14:textId="77777777" w:rsidR="00460B0B" w:rsidRPr="008654CF" w:rsidRDefault="00911EEB" w:rsidP="00911EEB">
      <w:pPr>
        <w:spacing w:before="240"/>
        <w:rPr>
          <w:b/>
        </w:rPr>
      </w:pPr>
      <w:r w:rsidRPr="008654CF">
        <w:rPr>
          <w:b/>
        </w:rPr>
        <w:t>5. Herbicide use associated with herbicide-tolerant GM crops</w:t>
      </w:r>
    </w:p>
    <w:p w14:paraId="47512E0D" w14:textId="77777777" w:rsidR="008978AD" w:rsidRPr="008654CF" w:rsidRDefault="008978AD" w:rsidP="008978AD">
      <w:pPr>
        <w:pStyle w:val="EndNoteBibliography"/>
        <w:spacing w:after="240"/>
      </w:pPr>
      <w:r w:rsidRPr="008654CF">
        <w:t>Bøhn, T., Cuhra, M., Traavik, T., Sanden, M., Fagan, J., and Primicerio, R. (2014). Compositional differences in soybeans on the market: Glyphosate accumulates in Roundup Ready GM soybeans. Food Chemistry</w:t>
      </w:r>
      <w:r w:rsidRPr="008654CF">
        <w:rPr>
          <w:i/>
        </w:rPr>
        <w:t xml:space="preserve"> 153</w:t>
      </w:r>
      <w:r w:rsidRPr="008654CF">
        <w:t>, 207-215.</w:t>
      </w:r>
    </w:p>
    <w:p w14:paraId="10608171" w14:textId="77777777" w:rsidR="008978AD" w:rsidRPr="008654CF" w:rsidRDefault="008978AD" w:rsidP="008978AD">
      <w:pPr>
        <w:pStyle w:val="EndNoteBibliography"/>
        <w:spacing w:after="240"/>
      </w:pPr>
      <w:r w:rsidRPr="008654CF">
        <w:t>Cuhra, M. (2015). Review of GMO safety assessment studies: glyphosate residues in Roundup Ready crops is an ignored issue. Environmental Sciences Europe</w:t>
      </w:r>
      <w:r w:rsidRPr="008654CF">
        <w:rPr>
          <w:i/>
        </w:rPr>
        <w:t xml:space="preserve"> 27</w:t>
      </w:r>
      <w:r w:rsidRPr="008654CF">
        <w:t>, 20.</w:t>
      </w:r>
    </w:p>
    <w:p w14:paraId="615281EC" w14:textId="77777777" w:rsidR="008978AD" w:rsidRPr="008654CF" w:rsidRDefault="008978AD" w:rsidP="008978AD">
      <w:pPr>
        <w:pStyle w:val="EndNoteBibliography"/>
        <w:spacing w:after="240"/>
      </w:pPr>
      <w:r w:rsidRPr="008654CF">
        <w:t>Cuhra, M., Bøhn, T., and Cuhra, P. (2016). Glyphosate: Too much of a good thing? Frontiers in Environmental Science</w:t>
      </w:r>
      <w:r w:rsidRPr="008654CF">
        <w:rPr>
          <w:i/>
        </w:rPr>
        <w:t xml:space="preserve"> 4</w:t>
      </w:r>
      <w:r w:rsidRPr="008654CF">
        <w:t>.</w:t>
      </w:r>
    </w:p>
    <w:p w14:paraId="354F2B94" w14:textId="77777777" w:rsidR="008978AD" w:rsidRPr="008654CF" w:rsidRDefault="008978AD" w:rsidP="008978AD">
      <w:pPr>
        <w:pStyle w:val="EndNoteBibliography"/>
        <w:spacing w:after="240"/>
      </w:pPr>
      <w:r w:rsidRPr="008654CF">
        <w:t>Guyton, K.Z., Loomis, D., Grosse, Y., El Ghissassi, F., Benbrahim-Tallaa, L., Guha, N., Scoccianti, C.</w:t>
      </w:r>
      <w:r w:rsidRPr="008654CF">
        <w:rPr>
          <w:i/>
        </w:rPr>
        <w:t>, et al.</w:t>
      </w:r>
      <w:r w:rsidRPr="008654CF">
        <w:t xml:space="preserve"> (2015). Carcinogenicity of tetrachlorvinphos, parathion, malathion, diazinon, and glyphosate. The Lancet Oncology</w:t>
      </w:r>
      <w:r w:rsidRPr="008654CF">
        <w:rPr>
          <w:i/>
        </w:rPr>
        <w:t xml:space="preserve"> 16</w:t>
      </w:r>
      <w:r w:rsidRPr="008654CF">
        <w:t>, 490-491.</w:t>
      </w:r>
    </w:p>
    <w:p w14:paraId="39BB1A3E" w14:textId="3947955F" w:rsidR="00911EEB" w:rsidRPr="008654CF" w:rsidRDefault="008978AD" w:rsidP="008978AD">
      <w:pPr>
        <w:spacing w:before="240"/>
      </w:pPr>
      <w:r w:rsidRPr="008654CF">
        <w:rPr>
          <w:noProof/>
        </w:rPr>
        <w:t>Herman, R.A., and Price, W.D. (2013). Unintended compositional changes in genetically modified (GM) crops: 20 years of research. Journal of Agricultural and Food Chemistry</w:t>
      </w:r>
      <w:r w:rsidRPr="008654CF">
        <w:rPr>
          <w:i/>
          <w:noProof/>
        </w:rPr>
        <w:t xml:space="preserve"> 61</w:t>
      </w:r>
      <w:r w:rsidRPr="008654CF">
        <w:rPr>
          <w:noProof/>
        </w:rPr>
        <w:t>, 11695-11701.</w:t>
      </w:r>
      <w:r w:rsidR="00911EEB" w:rsidRPr="008654CF">
        <w:t xml:space="preserve"> </w:t>
      </w:r>
    </w:p>
    <w:p w14:paraId="18BCBADB" w14:textId="77777777" w:rsidR="003F21FA" w:rsidRDefault="003F21FA" w:rsidP="002C7026">
      <w:pPr>
        <w:rPr>
          <w:color w:val="FF0000"/>
        </w:rPr>
        <w:sectPr w:rsidR="003F21FA" w:rsidSect="009F544D">
          <w:headerReference w:type="default" r:id="rId50"/>
          <w:pgSz w:w="11906" w:h="16838"/>
          <w:pgMar w:top="1134" w:right="1134" w:bottom="1134" w:left="1134" w:header="709" w:footer="709" w:gutter="0"/>
          <w:cols w:space="708"/>
          <w:docGrid w:linePitch="360"/>
        </w:sectPr>
      </w:pPr>
    </w:p>
    <w:p w14:paraId="542B45A7" w14:textId="77777777" w:rsidR="003F21FA" w:rsidRDefault="003F21FA" w:rsidP="003F21FA">
      <w:pPr>
        <w:pStyle w:val="Heading2"/>
        <w:numPr>
          <w:ilvl w:val="0"/>
          <w:numId w:val="0"/>
        </w:numPr>
        <w:spacing w:after="240"/>
      </w:pPr>
      <w:r>
        <w:t xml:space="preserve">Appendix A: </w:t>
      </w:r>
      <w:r w:rsidRPr="003A0831">
        <w:t xml:space="preserve">Summary of submissions from </w:t>
      </w:r>
      <w:r>
        <w:t xml:space="preserve">prescribed </w:t>
      </w:r>
      <w:r w:rsidRPr="003A0831">
        <w:t xml:space="preserve">experts, </w:t>
      </w:r>
      <w:proofErr w:type="gramStart"/>
      <w:r w:rsidRPr="003A0831">
        <w:t>agencies</w:t>
      </w:r>
      <w:proofErr w:type="gramEnd"/>
      <w:r w:rsidRPr="003A0831">
        <w:t xml:space="preserve"> and authorities</w:t>
      </w:r>
      <w:r>
        <w:t xml:space="preserve"> </w:t>
      </w:r>
      <w:r w:rsidRPr="008F56C9">
        <w:t>on the consultation RARMP</w:t>
      </w:r>
    </w:p>
    <w:p w14:paraId="1B1C0118" w14:textId="77777777" w:rsidR="003F21FA" w:rsidRDefault="003F21FA" w:rsidP="003F21FA">
      <w:r>
        <w:t>T</w:t>
      </w:r>
      <w:r w:rsidRPr="008754A7">
        <w:t xml:space="preserve">he Regulator received </w:t>
      </w:r>
      <w:proofErr w:type="gramStart"/>
      <w:r>
        <w:t>a number of</w:t>
      </w:r>
      <w:proofErr w:type="gramEnd"/>
      <w:r>
        <w:t xml:space="preserve"> submissions </w:t>
      </w:r>
      <w:r w:rsidRPr="008754A7">
        <w:t xml:space="preserve">from </w:t>
      </w:r>
      <w:r>
        <w:t xml:space="preserve">prescribed </w:t>
      </w:r>
      <w:r w:rsidRPr="008754A7">
        <w:t>experts, agencies and authorities</w:t>
      </w:r>
      <w:r w:rsidRPr="008754A7">
        <w:rPr>
          <w:vertAlign w:val="superscript"/>
        </w:rPr>
        <w:footnoteReference w:id="3"/>
      </w:r>
      <w:r w:rsidRPr="008754A7">
        <w:t xml:space="preserve"> on the consultation RARMP. All issues raised in submissions that related to risks to the health and safety of people and the environment were considered in the context of the currently available scientific evidence and were used in finalising the RARMP that formed the basis of the Regulator’s decision to include dealings with </w:t>
      </w:r>
      <w:r>
        <w:t xml:space="preserve">the </w:t>
      </w:r>
      <w:r w:rsidRPr="008754A7">
        <w:t xml:space="preserve">GM </w:t>
      </w:r>
      <w:r>
        <w:t>canola</w:t>
      </w:r>
      <w:r w:rsidRPr="008754A7">
        <w:t xml:space="preserve"> on the GMO Register.</w:t>
      </w:r>
      <w:r>
        <w:t xml:space="preserve"> </w:t>
      </w:r>
      <w:r w:rsidRPr="008F56C9">
        <w:t>Advice received is summarised below.</w:t>
      </w:r>
    </w:p>
    <w:tbl>
      <w:tblPr>
        <w:tblW w:w="4964" w:type="pct"/>
        <w:tblCellMar>
          <w:left w:w="30" w:type="dxa"/>
          <w:right w:w="30" w:type="dxa"/>
        </w:tblCellMar>
        <w:tblLook w:val="0000" w:firstRow="0" w:lastRow="0" w:firstColumn="0" w:lastColumn="0" w:noHBand="0" w:noVBand="0"/>
      </w:tblPr>
      <w:tblGrid>
        <w:gridCol w:w="1309"/>
        <w:gridCol w:w="4695"/>
        <w:gridCol w:w="3565"/>
      </w:tblGrid>
      <w:tr w:rsidR="0003149D" w:rsidRPr="002B06FF" w14:paraId="13AC3B74" w14:textId="77777777" w:rsidTr="0003149D">
        <w:trPr>
          <w:cantSplit/>
          <w:trHeight w:val="20"/>
          <w:tblHeader/>
        </w:trPr>
        <w:tc>
          <w:tcPr>
            <w:tcW w:w="684" w:type="pct"/>
            <w:tcBorders>
              <w:top w:val="single" w:sz="6" w:space="0" w:color="auto"/>
              <w:bottom w:val="single" w:sz="6" w:space="0" w:color="auto"/>
            </w:tcBorders>
            <w:shd w:val="clear" w:color="auto" w:fill="D9D9D9" w:themeFill="background1" w:themeFillShade="D9"/>
            <w:vAlign w:val="center"/>
          </w:tcPr>
          <w:p w14:paraId="5E9E9C3B" w14:textId="6A0EFE05" w:rsidR="0003149D" w:rsidRPr="002B06FF" w:rsidRDefault="0003149D" w:rsidP="00D11F99">
            <w:pPr>
              <w:jc w:val="center"/>
              <w:rPr>
                <w:rFonts w:ascii="Calibri" w:hAnsi="Calibri" w:cs="Calibri"/>
                <w:b/>
                <w:sz w:val="20"/>
                <w:szCs w:val="20"/>
                <w:vertAlign w:val="superscript"/>
              </w:rPr>
            </w:pPr>
            <w:r w:rsidRPr="002B06FF">
              <w:rPr>
                <w:rFonts w:ascii="Calibri" w:hAnsi="Calibri" w:cs="Calibri"/>
                <w:b/>
                <w:sz w:val="20"/>
                <w:szCs w:val="20"/>
              </w:rPr>
              <w:t>Submi</w:t>
            </w:r>
            <w:r>
              <w:rPr>
                <w:rFonts w:ascii="Calibri" w:hAnsi="Calibri" w:cs="Calibri"/>
                <w:b/>
                <w:sz w:val="20"/>
                <w:szCs w:val="20"/>
              </w:rPr>
              <w:t>ssion</w:t>
            </w:r>
          </w:p>
        </w:tc>
        <w:tc>
          <w:tcPr>
            <w:tcW w:w="2453" w:type="pct"/>
            <w:tcBorders>
              <w:top w:val="single" w:sz="6" w:space="0" w:color="auto"/>
              <w:left w:val="nil"/>
              <w:bottom w:val="single" w:sz="6" w:space="0" w:color="auto"/>
            </w:tcBorders>
            <w:shd w:val="clear" w:color="auto" w:fill="D9D9D9" w:themeFill="background1" w:themeFillShade="D9"/>
            <w:vAlign w:val="center"/>
          </w:tcPr>
          <w:p w14:paraId="05DC6931" w14:textId="77777777" w:rsidR="0003149D" w:rsidRPr="002B06FF" w:rsidRDefault="0003149D" w:rsidP="00D11F99">
            <w:pPr>
              <w:jc w:val="center"/>
              <w:rPr>
                <w:rFonts w:ascii="Calibri" w:hAnsi="Calibri" w:cs="Calibri"/>
                <w:b/>
                <w:sz w:val="20"/>
                <w:szCs w:val="20"/>
              </w:rPr>
            </w:pPr>
            <w:r w:rsidRPr="002B06FF">
              <w:rPr>
                <w:rFonts w:ascii="Calibri" w:hAnsi="Calibri" w:cs="Calibri"/>
                <w:b/>
                <w:sz w:val="20"/>
                <w:szCs w:val="20"/>
              </w:rPr>
              <w:t>Summary of issues raised</w:t>
            </w:r>
          </w:p>
        </w:tc>
        <w:tc>
          <w:tcPr>
            <w:tcW w:w="1863" w:type="pct"/>
            <w:tcBorders>
              <w:top w:val="single" w:sz="6" w:space="0" w:color="auto"/>
              <w:bottom w:val="single" w:sz="6" w:space="0" w:color="auto"/>
            </w:tcBorders>
            <w:shd w:val="clear" w:color="auto" w:fill="D9D9D9" w:themeFill="background1" w:themeFillShade="D9"/>
            <w:vAlign w:val="center"/>
          </w:tcPr>
          <w:p w14:paraId="73BC2389" w14:textId="77777777" w:rsidR="0003149D" w:rsidRPr="002B06FF" w:rsidRDefault="0003149D" w:rsidP="00D11F99">
            <w:pPr>
              <w:jc w:val="center"/>
              <w:rPr>
                <w:rFonts w:ascii="Calibri" w:hAnsi="Calibri" w:cs="Calibri"/>
                <w:b/>
                <w:sz w:val="20"/>
                <w:szCs w:val="20"/>
              </w:rPr>
            </w:pPr>
            <w:r w:rsidRPr="002B06FF">
              <w:rPr>
                <w:rFonts w:ascii="Calibri" w:hAnsi="Calibri" w:cs="Calibri"/>
                <w:b/>
                <w:sz w:val="20"/>
                <w:szCs w:val="20"/>
              </w:rPr>
              <w:t>Comment</w:t>
            </w:r>
          </w:p>
        </w:tc>
      </w:tr>
      <w:tr w:rsidR="0003149D" w:rsidRPr="002B06FF" w14:paraId="2349B06B" w14:textId="77777777" w:rsidTr="0003149D">
        <w:tc>
          <w:tcPr>
            <w:tcW w:w="684" w:type="pct"/>
            <w:tcBorders>
              <w:top w:val="single" w:sz="6" w:space="0" w:color="auto"/>
              <w:bottom w:val="single" w:sz="6" w:space="0" w:color="auto"/>
            </w:tcBorders>
          </w:tcPr>
          <w:p w14:paraId="51718E35" w14:textId="77777777" w:rsidR="0003149D" w:rsidRPr="008E058E" w:rsidRDefault="0003149D" w:rsidP="00D11F99">
            <w:pPr>
              <w:numPr>
                <w:ilvl w:val="12"/>
                <w:numId w:val="0"/>
              </w:numPr>
              <w:spacing w:before="60" w:after="60"/>
              <w:jc w:val="center"/>
              <w:rPr>
                <w:rFonts w:ascii="Calibri" w:hAnsi="Calibri" w:cs="Calibri"/>
                <w:sz w:val="20"/>
                <w:szCs w:val="20"/>
              </w:rPr>
            </w:pPr>
            <w:r w:rsidRPr="008E058E">
              <w:rPr>
                <w:rFonts w:ascii="Calibri" w:hAnsi="Calibri" w:cs="Calibri"/>
                <w:sz w:val="20"/>
                <w:szCs w:val="20"/>
              </w:rPr>
              <w:t>1</w:t>
            </w:r>
          </w:p>
          <w:p w14:paraId="79625CA3" w14:textId="5C33ECFE"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6" w:space="0" w:color="auto"/>
              <w:bottom w:val="single" w:sz="6" w:space="0" w:color="auto"/>
            </w:tcBorders>
          </w:tcPr>
          <w:p w14:paraId="4D88D4EC"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Agrees that the conclusions of all relevant previous RARMPs remain valid and considered that the information gathered was sufficient to identify any new risks.</w:t>
            </w:r>
          </w:p>
          <w:p w14:paraId="155D3761"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Agrees with the overall conclusions of the Reg-003 RARMP and that the dealings pose minimal risk.</w:t>
            </w:r>
          </w:p>
        </w:tc>
        <w:tc>
          <w:tcPr>
            <w:tcW w:w="1863" w:type="pct"/>
            <w:tcBorders>
              <w:top w:val="single" w:sz="6" w:space="0" w:color="auto"/>
              <w:left w:val="nil"/>
              <w:bottom w:val="single" w:sz="6" w:space="0" w:color="auto"/>
            </w:tcBorders>
          </w:tcPr>
          <w:p w14:paraId="34224F51" w14:textId="77777777" w:rsidR="0003149D" w:rsidRPr="008E058E" w:rsidRDefault="0003149D" w:rsidP="00D11F99">
            <w:pPr>
              <w:spacing w:before="60" w:after="60"/>
              <w:ind w:left="113"/>
              <w:rPr>
                <w:rFonts w:ascii="Calibri" w:hAnsi="Calibri" w:cs="Calibri"/>
                <w:sz w:val="20"/>
                <w:szCs w:val="20"/>
              </w:rPr>
            </w:pPr>
            <w:r w:rsidRPr="008E058E">
              <w:rPr>
                <w:rFonts w:ascii="Calibri" w:hAnsi="Calibri" w:cs="Calibri"/>
                <w:sz w:val="20"/>
                <w:szCs w:val="20"/>
              </w:rPr>
              <w:t>Noted.</w:t>
            </w:r>
          </w:p>
        </w:tc>
      </w:tr>
      <w:tr w:rsidR="0003149D" w:rsidRPr="002B06FF" w14:paraId="0079CACA" w14:textId="77777777" w:rsidTr="0003149D">
        <w:tc>
          <w:tcPr>
            <w:tcW w:w="684" w:type="pct"/>
            <w:tcBorders>
              <w:top w:val="single" w:sz="6" w:space="0" w:color="auto"/>
              <w:bottom w:val="single" w:sz="6" w:space="0" w:color="auto"/>
            </w:tcBorders>
          </w:tcPr>
          <w:p w14:paraId="5D01B21D" w14:textId="77777777" w:rsidR="0003149D" w:rsidRPr="008E058E" w:rsidRDefault="0003149D" w:rsidP="00D11F99">
            <w:pPr>
              <w:numPr>
                <w:ilvl w:val="12"/>
                <w:numId w:val="0"/>
              </w:numPr>
              <w:spacing w:before="60" w:after="60"/>
              <w:jc w:val="center"/>
              <w:rPr>
                <w:rFonts w:ascii="Calibri" w:hAnsi="Calibri" w:cs="Calibri"/>
                <w:sz w:val="20"/>
                <w:szCs w:val="20"/>
              </w:rPr>
            </w:pPr>
            <w:r w:rsidRPr="008E058E">
              <w:rPr>
                <w:rFonts w:ascii="Calibri" w:hAnsi="Calibri" w:cs="Calibri"/>
                <w:sz w:val="20"/>
                <w:szCs w:val="20"/>
              </w:rPr>
              <w:t>2</w:t>
            </w:r>
          </w:p>
          <w:p w14:paraId="490A99C5" w14:textId="4F17AAAF"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6" w:space="0" w:color="auto"/>
              <w:bottom w:val="single" w:sz="6" w:space="0" w:color="auto"/>
            </w:tcBorders>
          </w:tcPr>
          <w:p w14:paraId="36B9FF32"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No concerns.</w:t>
            </w:r>
          </w:p>
        </w:tc>
        <w:tc>
          <w:tcPr>
            <w:tcW w:w="1863" w:type="pct"/>
            <w:tcBorders>
              <w:top w:val="single" w:sz="6" w:space="0" w:color="auto"/>
              <w:bottom w:val="single" w:sz="6" w:space="0" w:color="auto"/>
            </w:tcBorders>
          </w:tcPr>
          <w:p w14:paraId="187FF8D5" w14:textId="77777777" w:rsidR="0003149D" w:rsidRPr="008E058E" w:rsidRDefault="0003149D" w:rsidP="00D11F99">
            <w:pPr>
              <w:spacing w:before="60" w:after="60"/>
              <w:ind w:left="113"/>
              <w:rPr>
                <w:rFonts w:ascii="Calibri" w:hAnsi="Calibri" w:cs="Calibri"/>
                <w:sz w:val="20"/>
                <w:szCs w:val="20"/>
              </w:rPr>
            </w:pPr>
            <w:r w:rsidRPr="008E058E">
              <w:rPr>
                <w:rFonts w:ascii="Calibri" w:hAnsi="Calibri" w:cs="Calibri"/>
                <w:sz w:val="20"/>
                <w:szCs w:val="20"/>
              </w:rPr>
              <w:t>Noted.</w:t>
            </w:r>
          </w:p>
        </w:tc>
      </w:tr>
      <w:tr w:rsidR="0003149D" w:rsidRPr="002B06FF" w14:paraId="3FDDA42F" w14:textId="77777777" w:rsidTr="0003149D">
        <w:tc>
          <w:tcPr>
            <w:tcW w:w="684" w:type="pct"/>
            <w:tcBorders>
              <w:top w:val="single" w:sz="6" w:space="0" w:color="auto"/>
              <w:bottom w:val="single" w:sz="6" w:space="0" w:color="auto"/>
            </w:tcBorders>
          </w:tcPr>
          <w:p w14:paraId="5B655ED4" w14:textId="77777777" w:rsidR="0003149D" w:rsidRPr="008E058E" w:rsidRDefault="0003149D" w:rsidP="00D11F99">
            <w:pPr>
              <w:numPr>
                <w:ilvl w:val="12"/>
                <w:numId w:val="0"/>
              </w:numPr>
              <w:spacing w:before="60" w:after="60"/>
              <w:jc w:val="center"/>
              <w:rPr>
                <w:rFonts w:ascii="Calibri" w:hAnsi="Calibri" w:cs="Calibri"/>
                <w:sz w:val="20"/>
                <w:szCs w:val="20"/>
              </w:rPr>
            </w:pPr>
            <w:r w:rsidRPr="008E058E">
              <w:rPr>
                <w:rFonts w:ascii="Calibri" w:hAnsi="Calibri" w:cs="Calibri"/>
                <w:sz w:val="20"/>
                <w:szCs w:val="20"/>
              </w:rPr>
              <w:t>3</w:t>
            </w:r>
          </w:p>
          <w:p w14:paraId="7C3A6BBD" w14:textId="59FBD051"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6" w:space="0" w:color="auto"/>
              <w:bottom w:val="single" w:sz="6" w:space="0" w:color="auto"/>
            </w:tcBorders>
          </w:tcPr>
          <w:p w14:paraId="6844275F"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Supports the inclusion of dealings with MON-ØØØ73-7 canola on the GMO Register.</w:t>
            </w:r>
          </w:p>
          <w:p w14:paraId="19A74F24"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Recommends continued monitoring of weed risk and that any decision to include MON-ØØØ73-7 on the Register be reviewed if new scientific evidence of weediness relating to MON-ØØØ73-7 in Australia is published in the peer-reviewed literature.</w:t>
            </w:r>
          </w:p>
          <w:p w14:paraId="4293D392" w14:textId="77777777" w:rsidR="0003149D" w:rsidRPr="008E058E" w:rsidRDefault="0003149D" w:rsidP="00D11F99">
            <w:pPr>
              <w:pStyle w:val="NormalWeb"/>
              <w:spacing w:before="60" w:after="60"/>
              <w:ind w:left="113" w:right="240"/>
              <w:rPr>
                <w:rFonts w:ascii="Calibri" w:eastAsiaTheme="minorHAnsi" w:hAnsi="Calibri" w:cs="Calibri"/>
                <w:sz w:val="20"/>
                <w:szCs w:val="20"/>
              </w:rPr>
            </w:pPr>
            <w:r w:rsidRPr="008E058E">
              <w:rPr>
                <w:rFonts w:ascii="Calibri" w:hAnsi="Calibri" w:cs="Calibri"/>
                <w:sz w:val="20"/>
                <w:szCs w:val="20"/>
              </w:rPr>
              <w:t>Suggested that while there have been no reports of adverse effects on human health and safety, or the environment resulting from the dealings licensed under DIR 020/2002, this lack of evidence of any adverse effects is not the same as evidence (via scientific studies) that demonstrates the absence of adverse effects.</w:t>
            </w:r>
          </w:p>
        </w:tc>
        <w:tc>
          <w:tcPr>
            <w:tcW w:w="1863" w:type="pct"/>
            <w:tcBorders>
              <w:top w:val="single" w:sz="6" w:space="0" w:color="auto"/>
              <w:bottom w:val="single" w:sz="6" w:space="0" w:color="auto"/>
            </w:tcBorders>
          </w:tcPr>
          <w:p w14:paraId="3C286A6C" w14:textId="77777777" w:rsidR="0003149D" w:rsidRPr="008E058E" w:rsidRDefault="0003149D" w:rsidP="00D11F99">
            <w:pPr>
              <w:ind w:left="107"/>
              <w:rPr>
                <w:rFonts w:ascii="Calibri" w:hAnsi="Calibri" w:cs="Calibri"/>
                <w:sz w:val="20"/>
                <w:szCs w:val="20"/>
              </w:rPr>
            </w:pPr>
            <w:r w:rsidRPr="008E058E">
              <w:rPr>
                <w:rFonts w:ascii="Calibri" w:hAnsi="Calibri" w:cs="Calibri"/>
                <w:sz w:val="20"/>
                <w:szCs w:val="20"/>
              </w:rPr>
              <w:t>Noted.</w:t>
            </w:r>
          </w:p>
          <w:p w14:paraId="758777AA" w14:textId="77777777" w:rsidR="0003149D" w:rsidRPr="008E058E" w:rsidRDefault="0003149D" w:rsidP="00D11F99">
            <w:pPr>
              <w:ind w:left="107"/>
              <w:rPr>
                <w:rFonts w:ascii="Calibri" w:hAnsi="Calibri" w:cs="Calibri"/>
                <w:sz w:val="20"/>
                <w:szCs w:val="20"/>
              </w:rPr>
            </w:pPr>
          </w:p>
          <w:p w14:paraId="6906AB11" w14:textId="77777777" w:rsidR="0003149D" w:rsidRPr="008E058E" w:rsidRDefault="0003149D" w:rsidP="00D11F99">
            <w:pPr>
              <w:ind w:left="107"/>
              <w:rPr>
                <w:rFonts w:ascii="Calibri" w:hAnsi="Calibri" w:cs="Calibri"/>
                <w:sz w:val="20"/>
                <w:szCs w:val="20"/>
              </w:rPr>
            </w:pPr>
            <w:r w:rsidRPr="008E058E">
              <w:rPr>
                <w:rFonts w:ascii="Calibri" w:hAnsi="Calibri" w:cs="Calibri"/>
                <w:sz w:val="20"/>
                <w:szCs w:val="20"/>
              </w:rPr>
              <w:t xml:space="preserve">The RARMP considered information on risks to human health and safety and the environment, and the history of safe use. It did not find any evidence of risks that warranted any conditions on the inclusion of dealings with MON-ØØØ73-7 canola on the GMO Register. </w:t>
            </w:r>
            <w:r>
              <w:rPr>
                <w:rFonts w:ascii="Calibri" w:hAnsi="Calibri" w:cs="Calibri"/>
                <w:sz w:val="20"/>
                <w:szCs w:val="20"/>
              </w:rPr>
              <w:t>The OGTR continuously monitors information and scientific literature related to GMOs. I</w:t>
            </w:r>
            <w:r w:rsidRPr="008E058E">
              <w:rPr>
                <w:rFonts w:ascii="Calibri" w:hAnsi="Calibri" w:cs="Calibri"/>
                <w:sz w:val="20"/>
                <w:szCs w:val="20"/>
              </w:rPr>
              <w:t xml:space="preserve">f any issues of adverse effects arise </w:t>
            </w:r>
            <w:r>
              <w:rPr>
                <w:rFonts w:ascii="Calibri" w:hAnsi="Calibri" w:cs="Calibri"/>
                <w:sz w:val="20"/>
                <w:szCs w:val="20"/>
              </w:rPr>
              <w:t xml:space="preserve">with </w:t>
            </w:r>
            <w:r w:rsidRPr="008E058E">
              <w:rPr>
                <w:rFonts w:ascii="Calibri" w:hAnsi="Calibri" w:cs="Calibri"/>
                <w:sz w:val="20"/>
                <w:szCs w:val="20"/>
              </w:rPr>
              <w:t xml:space="preserve">MON-ØØØ73-7 canola in the future, under Section 80 of the </w:t>
            </w:r>
            <w:r w:rsidRPr="008E058E">
              <w:rPr>
                <w:rFonts w:ascii="Calibri" w:hAnsi="Calibri" w:cs="Calibri"/>
                <w:i/>
                <w:iCs/>
                <w:sz w:val="20"/>
                <w:szCs w:val="20"/>
              </w:rPr>
              <w:t>Gene Technology Act 2000</w:t>
            </w:r>
            <w:r w:rsidRPr="008E058E">
              <w:rPr>
                <w:rFonts w:ascii="Calibri" w:hAnsi="Calibri" w:cs="Calibri"/>
                <w:sz w:val="20"/>
                <w:szCs w:val="20"/>
              </w:rPr>
              <w:t xml:space="preserve"> (the Act), the Regulator may, by legislative instrument, vary the GMO Register to (a) remove a dealing from the GMO Register; or (b) revoke or vary conditions to which a dealing on the GMO Register is subject; or (c) impose additional conditions to which a dealing on the GMO Register is subject. </w:t>
            </w:r>
          </w:p>
        </w:tc>
      </w:tr>
      <w:tr w:rsidR="00405AD4" w:rsidRPr="002B06FF" w14:paraId="5D924808" w14:textId="77777777" w:rsidTr="00120DD5">
        <w:tc>
          <w:tcPr>
            <w:tcW w:w="684" w:type="pct"/>
            <w:tcBorders>
              <w:top w:val="single" w:sz="6" w:space="0" w:color="auto"/>
              <w:bottom w:val="single" w:sz="6" w:space="0" w:color="auto"/>
            </w:tcBorders>
          </w:tcPr>
          <w:p w14:paraId="34F08654" w14:textId="77777777" w:rsidR="0003149D" w:rsidRPr="008E058E" w:rsidRDefault="0003149D" w:rsidP="00D11F99">
            <w:pPr>
              <w:numPr>
                <w:ilvl w:val="12"/>
                <w:numId w:val="0"/>
              </w:numPr>
              <w:spacing w:before="60" w:after="60"/>
              <w:jc w:val="center"/>
              <w:rPr>
                <w:rFonts w:ascii="Calibri" w:hAnsi="Calibri" w:cs="Calibri"/>
                <w:sz w:val="20"/>
                <w:szCs w:val="20"/>
              </w:rPr>
            </w:pPr>
            <w:r w:rsidRPr="008E058E">
              <w:rPr>
                <w:rFonts w:ascii="Calibri" w:hAnsi="Calibri" w:cs="Calibri"/>
                <w:sz w:val="20"/>
                <w:szCs w:val="20"/>
              </w:rPr>
              <w:t>4</w:t>
            </w:r>
          </w:p>
          <w:p w14:paraId="12A152BF" w14:textId="2C739DFA"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6" w:space="0" w:color="auto"/>
              <w:bottom w:val="single" w:sz="6" w:space="0" w:color="auto"/>
            </w:tcBorders>
          </w:tcPr>
          <w:p w14:paraId="51F037D6"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Accepts that dealings with the GM canola have negligible risks to the health and safety of people or the environment.</w:t>
            </w:r>
          </w:p>
        </w:tc>
        <w:tc>
          <w:tcPr>
            <w:tcW w:w="1863" w:type="pct"/>
            <w:tcBorders>
              <w:top w:val="single" w:sz="6" w:space="0" w:color="auto"/>
              <w:left w:val="nil"/>
              <w:bottom w:val="single" w:sz="6" w:space="0" w:color="auto"/>
            </w:tcBorders>
          </w:tcPr>
          <w:p w14:paraId="079AED67" w14:textId="77777777" w:rsidR="0003149D" w:rsidRPr="008E058E" w:rsidRDefault="0003149D" w:rsidP="00D11F99">
            <w:pPr>
              <w:ind w:left="107"/>
              <w:rPr>
                <w:rFonts w:ascii="Calibri" w:hAnsi="Calibri" w:cs="Calibri"/>
                <w:sz w:val="20"/>
                <w:szCs w:val="20"/>
              </w:rPr>
            </w:pPr>
            <w:r w:rsidRPr="008E058E">
              <w:rPr>
                <w:rFonts w:ascii="Calibri" w:hAnsi="Calibri" w:cs="Calibri"/>
                <w:sz w:val="20"/>
                <w:szCs w:val="20"/>
              </w:rPr>
              <w:t>Noted.</w:t>
            </w:r>
          </w:p>
        </w:tc>
      </w:tr>
      <w:tr w:rsidR="00405AD4" w:rsidRPr="002B06FF" w14:paraId="1DEE8DC2" w14:textId="77777777" w:rsidTr="00120DD5">
        <w:tc>
          <w:tcPr>
            <w:tcW w:w="684" w:type="pct"/>
            <w:tcBorders>
              <w:top w:val="single" w:sz="6" w:space="0" w:color="auto"/>
            </w:tcBorders>
          </w:tcPr>
          <w:p w14:paraId="1CDF8AA2" w14:textId="135784E7" w:rsidR="0003149D" w:rsidRPr="008E058E" w:rsidRDefault="0003149D" w:rsidP="0003149D">
            <w:pPr>
              <w:numPr>
                <w:ilvl w:val="12"/>
                <w:numId w:val="0"/>
              </w:numPr>
              <w:spacing w:before="60" w:after="60"/>
              <w:jc w:val="center"/>
              <w:rPr>
                <w:rFonts w:ascii="Calibri" w:hAnsi="Calibri" w:cs="Calibri"/>
                <w:sz w:val="20"/>
                <w:szCs w:val="20"/>
              </w:rPr>
            </w:pPr>
            <w:r w:rsidRPr="008E058E">
              <w:rPr>
                <w:rFonts w:ascii="Calibri" w:hAnsi="Calibri" w:cs="Calibri"/>
                <w:sz w:val="20"/>
                <w:szCs w:val="20"/>
              </w:rPr>
              <w:t>5</w:t>
            </w:r>
          </w:p>
        </w:tc>
        <w:tc>
          <w:tcPr>
            <w:tcW w:w="2453" w:type="pct"/>
            <w:tcBorders>
              <w:top w:val="single" w:sz="6" w:space="0" w:color="auto"/>
              <w:bottom w:val="single" w:sz="4" w:space="0" w:color="auto"/>
            </w:tcBorders>
          </w:tcPr>
          <w:p w14:paraId="46D62FBC"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 xml:space="preserve">Noted that MON-ØØØ73-7 canola has a history of safe use in Australia and overseas, and no adverse effects have been reported from cultivation or use as human food and animal feed. </w:t>
            </w:r>
            <w:proofErr w:type="gramStart"/>
            <w:r w:rsidRPr="008E058E">
              <w:rPr>
                <w:rFonts w:ascii="Calibri" w:hAnsi="Calibri" w:cs="Calibri"/>
                <w:sz w:val="20"/>
                <w:szCs w:val="20"/>
              </w:rPr>
              <w:t>Also</w:t>
            </w:r>
            <w:proofErr w:type="gramEnd"/>
            <w:r w:rsidRPr="008E058E">
              <w:rPr>
                <w:rFonts w:ascii="Calibri" w:hAnsi="Calibri" w:cs="Calibri"/>
                <w:sz w:val="20"/>
                <w:szCs w:val="20"/>
              </w:rPr>
              <w:t xml:space="preserve"> in a broader sense canola is not a persistent weed in natural undisturbed habitats in Australia.</w:t>
            </w:r>
          </w:p>
          <w:p w14:paraId="21F212B2"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Supports the Regulator’s conclusion that dealings with MON-ØØØ73-7 canola pose minimal risk to human health and the environment and that MON-ØØØ73-7 canola should be included on the GMO Register.</w:t>
            </w:r>
          </w:p>
        </w:tc>
        <w:tc>
          <w:tcPr>
            <w:tcW w:w="1863" w:type="pct"/>
            <w:tcBorders>
              <w:top w:val="single" w:sz="6" w:space="0" w:color="auto"/>
              <w:bottom w:val="single" w:sz="4" w:space="0" w:color="auto"/>
            </w:tcBorders>
          </w:tcPr>
          <w:p w14:paraId="5EC3F082" w14:textId="77777777" w:rsidR="0003149D" w:rsidRPr="008E058E" w:rsidRDefault="0003149D" w:rsidP="00D11F99">
            <w:pPr>
              <w:ind w:left="107"/>
              <w:rPr>
                <w:rFonts w:ascii="Calibri" w:hAnsi="Calibri" w:cs="Calibri"/>
                <w:sz w:val="20"/>
                <w:szCs w:val="20"/>
              </w:rPr>
            </w:pPr>
            <w:r w:rsidRPr="008E058E">
              <w:rPr>
                <w:rFonts w:ascii="Calibri" w:hAnsi="Calibri" w:cs="Calibri"/>
                <w:sz w:val="20"/>
                <w:szCs w:val="20"/>
              </w:rPr>
              <w:t>Noted.</w:t>
            </w:r>
          </w:p>
        </w:tc>
      </w:tr>
      <w:tr w:rsidR="00405AD4" w:rsidRPr="002B06FF" w14:paraId="5AEA611E" w14:textId="77777777" w:rsidTr="00120DD5">
        <w:tc>
          <w:tcPr>
            <w:tcW w:w="684" w:type="pct"/>
          </w:tcPr>
          <w:p w14:paraId="63C11FD8" w14:textId="77777777"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4" w:space="0" w:color="auto"/>
              <w:left w:val="nil"/>
            </w:tcBorders>
          </w:tcPr>
          <w:p w14:paraId="02EF8F8B" w14:textId="77777777" w:rsidR="0003149D" w:rsidRPr="0000532F" w:rsidRDefault="0003149D" w:rsidP="00D11F99">
            <w:pPr>
              <w:pStyle w:val="NormalWeb"/>
              <w:spacing w:before="60" w:after="60"/>
              <w:ind w:left="113" w:right="240"/>
              <w:rPr>
                <w:rFonts w:ascii="Calibri" w:hAnsi="Calibri" w:cs="Calibri"/>
                <w:sz w:val="20"/>
                <w:szCs w:val="20"/>
              </w:rPr>
            </w:pPr>
            <w:r w:rsidRPr="0000532F">
              <w:rPr>
                <w:rFonts w:ascii="Calibri" w:hAnsi="Calibri" w:cs="Calibri"/>
                <w:sz w:val="20"/>
                <w:szCs w:val="20"/>
              </w:rPr>
              <w:t>Seeks clarification on the following points:</w:t>
            </w:r>
          </w:p>
          <w:p w14:paraId="3B627474" w14:textId="77777777" w:rsidR="0003149D" w:rsidRPr="0000532F" w:rsidRDefault="0003149D" w:rsidP="0003149D">
            <w:pPr>
              <w:pStyle w:val="NormalWeb"/>
              <w:numPr>
                <w:ilvl w:val="0"/>
                <w:numId w:val="22"/>
              </w:numPr>
              <w:spacing w:before="60" w:after="60"/>
              <w:ind w:right="240"/>
              <w:rPr>
                <w:rFonts w:ascii="Calibri" w:hAnsi="Calibri" w:cs="Calibri"/>
                <w:sz w:val="20"/>
                <w:szCs w:val="20"/>
              </w:rPr>
            </w:pPr>
            <w:r w:rsidRPr="0000532F">
              <w:rPr>
                <w:rFonts w:ascii="Calibri" w:hAnsi="Calibri" w:cs="Calibri"/>
                <w:sz w:val="20"/>
                <w:szCs w:val="20"/>
              </w:rPr>
              <w:t>whether the GM canola to be included on the GMO registry is subject to stewardship and best practice management training provided by seed companies to protect the environment, resistance management and coexistence of GM canola and non-GM farming systems.</w:t>
            </w:r>
          </w:p>
        </w:tc>
        <w:tc>
          <w:tcPr>
            <w:tcW w:w="1863" w:type="pct"/>
            <w:tcBorders>
              <w:top w:val="single" w:sz="4" w:space="0" w:color="auto"/>
              <w:left w:val="nil"/>
            </w:tcBorders>
          </w:tcPr>
          <w:p w14:paraId="4B1A5F62" w14:textId="77777777" w:rsidR="0003149D" w:rsidRPr="008E058E" w:rsidRDefault="0003149D" w:rsidP="00D11F99">
            <w:pPr>
              <w:ind w:left="107"/>
              <w:rPr>
                <w:rFonts w:ascii="Calibri" w:hAnsi="Calibri" w:cs="Calibri"/>
                <w:sz w:val="20"/>
                <w:szCs w:val="20"/>
              </w:rPr>
            </w:pPr>
          </w:p>
          <w:p w14:paraId="4DCA09E4" w14:textId="77777777" w:rsidR="0003149D" w:rsidRPr="008E058E" w:rsidRDefault="0003149D" w:rsidP="00D11F99">
            <w:pPr>
              <w:ind w:left="107"/>
              <w:rPr>
                <w:rFonts w:ascii="Calibri" w:hAnsi="Calibri" w:cs="Calibri"/>
                <w:sz w:val="20"/>
                <w:szCs w:val="20"/>
              </w:rPr>
            </w:pPr>
            <w:r w:rsidRPr="008E058E">
              <w:rPr>
                <w:rFonts w:ascii="Calibri" w:hAnsi="Calibri" w:cs="Calibri"/>
                <w:sz w:val="20"/>
                <w:szCs w:val="20"/>
              </w:rPr>
              <w:t xml:space="preserve">Management of </w:t>
            </w:r>
            <w:r>
              <w:rPr>
                <w:rFonts w:ascii="Calibri" w:hAnsi="Calibri" w:cs="Calibri"/>
                <w:sz w:val="20"/>
                <w:szCs w:val="20"/>
              </w:rPr>
              <w:t>GM</w:t>
            </w:r>
            <w:r w:rsidRPr="008E058E">
              <w:rPr>
                <w:rFonts w:ascii="Calibri" w:hAnsi="Calibri" w:cs="Calibri"/>
                <w:sz w:val="20"/>
                <w:szCs w:val="20"/>
              </w:rPr>
              <w:t xml:space="preserve"> canola production and coexistence of GM canola and non-GM farming systems are outside the remit of the Regulator. These issues are the responsibility of the States and Territories, and industry.</w:t>
            </w:r>
            <w:r>
              <w:rPr>
                <w:rFonts w:ascii="Calibri" w:hAnsi="Calibri" w:cs="Calibri"/>
                <w:sz w:val="20"/>
                <w:szCs w:val="20"/>
              </w:rPr>
              <w:t xml:space="preserve"> Stewardship and training are expected to be undertaken for </w:t>
            </w:r>
            <w:r w:rsidRPr="008E058E">
              <w:rPr>
                <w:rFonts w:ascii="Calibri" w:hAnsi="Calibri" w:cs="Calibri"/>
                <w:sz w:val="20"/>
                <w:szCs w:val="20"/>
              </w:rPr>
              <w:t xml:space="preserve">MON-ØØØ73-7 </w:t>
            </w:r>
            <w:r>
              <w:rPr>
                <w:rFonts w:ascii="Calibri" w:hAnsi="Calibri" w:cs="Calibri"/>
                <w:sz w:val="20"/>
                <w:szCs w:val="20"/>
              </w:rPr>
              <w:t xml:space="preserve">as this is best practice for growing and managing any canola variety (GM or non-GM). </w:t>
            </w:r>
          </w:p>
        </w:tc>
      </w:tr>
      <w:tr w:rsidR="00120DD5" w:rsidRPr="002B06FF" w14:paraId="4ACB528A" w14:textId="77777777" w:rsidTr="00120DD5">
        <w:tc>
          <w:tcPr>
            <w:tcW w:w="684" w:type="pct"/>
            <w:tcBorders>
              <w:bottom w:val="single" w:sz="6" w:space="0" w:color="auto"/>
            </w:tcBorders>
          </w:tcPr>
          <w:p w14:paraId="6C9CAE50" w14:textId="77777777"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left w:val="nil"/>
              <w:bottom w:val="single" w:sz="6" w:space="0" w:color="auto"/>
            </w:tcBorders>
          </w:tcPr>
          <w:p w14:paraId="51D81AEA" w14:textId="77777777" w:rsidR="0003149D" w:rsidRPr="0000532F" w:rsidRDefault="0003149D" w:rsidP="0003149D">
            <w:pPr>
              <w:pStyle w:val="NormalWeb"/>
              <w:numPr>
                <w:ilvl w:val="0"/>
                <w:numId w:val="22"/>
              </w:numPr>
              <w:spacing w:before="60" w:after="60"/>
              <w:ind w:right="240"/>
              <w:rPr>
                <w:rFonts w:ascii="Calibri" w:hAnsi="Calibri" w:cs="Calibri"/>
                <w:sz w:val="20"/>
                <w:szCs w:val="20"/>
              </w:rPr>
            </w:pPr>
            <w:r w:rsidRPr="0000532F">
              <w:rPr>
                <w:rFonts w:ascii="Calibri" w:hAnsi="Calibri" w:cs="Calibri"/>
                <w:sz w:val="20"/>
                <w:szCs w:val="20"/>
              </w:rPr>
              <w:t>The resistance to herbicides (non-glyphosate) currently used for management of volunteer populations is possible/likely over time and may exacerbate the persistence and potential spread of the GMO in remnant natural habitats.</w:t>
            </w:r>
          </w:p>
        </w:tc>
        <w:tc>
          <w:tcPr>
            <w:tcW w:w="1863" w:type="pct"/>
            <w:tcBorders>
              <w:left w:val="nil"/>
              <w:bottom w:val="single" w:sz="6" w:space="0" w:color="auto"/>
            </w:tcBorders>
          </w:tcPr>
          <w:p w14:paraId="6A8D538E" w14:textId="77777777" w:rsidR="0003149D" w:rsidRPr="008E058E" w:rsidRDefault="0003149D" w:rsidP="00D11F99">
            <w:pPr>
              <w:ind w:left="107"/>
              <w:rPr>
                <w:rFonts w:ascii="Calibri" w:hAnsi="Calibri" w:cs="Calibri"/>
                <w:sz w:val="20"/>
                <w:szCs w:val="20"/>
              </w:rPr>
            </w:pPr>
            <w:r>
              <w:rPr>
                <w:rFonts w:ascii="Calibri" w:hAnsi="Calibri" w:cs="Calibri"/>
                <w:sz w:val="20"/>
                <w:szCs w:val="20"/>
              </w:rPr>
              <w:t>Other herbicides from</w:t>
            </w:r>
            <w:r w:rsidRPr="008E058E">
              <w:rPr>
                <w:rFonts w:ascii="Calibri" w:hAnsi="Calibri" w:cs="Calibri"/>
                <w:sz w:val="20"/>
                <w:szCs w:val="20"/>
              </w:rPr>
              <w:t xml:space="preserve"> </w:t>
            </w:r>
            <w:r>
              <w:rPr>
                <w:rFonts w:ascii="Calibri" w:hAnsi="Calibri" w:cs="Calibri"/>
                <w:sz w:val="20"/>
                <w:szCs w:val="20"/>
              </w:rPr>
              <w:t xml:space="preserve">a range of mode of action groups are approved by the </w:t>
            </w:r>
            <w:r w:rsidRPr="00604833">
              <w:rPr>
                <w:rFonts w:ascii="Calibri" w:hAnsi="Calibri" w:cs="Calibri"/>
                <w:sz w:val="20"/>
                <w:szCs w:val="20"/>
              </w:rPr>
              <w:t>Australian Pesticides and Veterinary Medicines Authority</w:t>
            </w:r>
            <w:r>
              <w:rPr>
                <w:rFonts w:ascii="Calibri" w:hAnsi="Calibri" w:cs="Calibri"/>
                <w:sz w:val="20"/>
                <w:szCs w:val="20"/>
              </w:rPr>
              <w:t xml:space="preserve"> (APVMA) for control of the GM canola and it is expected that industry best practice for growing and managing the development of herbicide resistance in any canola variety (GM or non-GM) is adhered to. </w:t>
            </w:r>
            <w:r w:rsidRPr="008E058E">
              <w:rPr>
                <w:rFonts w:ascii="Calibri" w:hAnsi="Calibri" w:cs="Calibri"/>
                <w:sz w:val="20"/>
                <w:szCs w:val="20"/>
              </w:rPr>
              <w:t>Text was added to the RARMP to note that herbicide tolerance traits may be acquired over time via crossing</w:t>
            </w:r>
            <w:r>
              <w:rPr>
                <w:rFonts w:ascii="Calibri" w:hAnsi="Calibri" w:cs="Calibri"/>
                <w:sz w:val="20"/>
                <w:szCs w:val="20"/>
              </w:rPr>
              <w:t xml:space="preserve"> or natural mutations</w:t>
            </w:r>
            <w:r w:rsidRPr="008E058E">
              <w:rPr>
                <w:rFonts w:ascii="Calibri" w:hAnsi="Calibri" w:cs="Calibri"/>
                <w:sz w:val="20"/>
                <w:szCs w:val="20"/>
              </w:rPr>
              <w:t xml:space="preserve">, but it is not more likely for the glyphosate-tolerant canola to acquire other herbicide tolerance traits than for any non-GM or other GM canola </w:t>
            </w:r>
            <w:r>
              <w:rPr>
                <w:rFonts w:ascii="Calibri" w:hAnsi="Calibri" w:cs="Calibri"/>
                <w:sz w:val="20"/>
                <w:szCs w:val="20"/>
              </w:rPr>
              <w:t>if appropriate crop stewardship activities are undertaken</w:t>
            </w:r>
            <w:r w:rsidRPr="008E058E">
              <w:rPr>
                <w:rFonts w:ascii="Calibri" w:hAnsi="Calibri" w:cs="Calibri"/>
                <w:sz w:val="20"/>
                <w:szCs w:val="20"/>
              </w:rPr>
              <w:t xml:space="preserve"> </w:t>
            </w:r>
            <w:r>
              <w:rPr>
                <w:rFonts w:ascii="Calibri" w:hAnsi="Calibri" w:cs="Calibri"/>
                <w:sz w:val="20"/>
                <w:szCs w:val="20"/>
              </w:rPr>
              <w:t>(par 31)</w:t>
            </w:r>
            <w:r w:rsidRPr="008E058E">
              <w:rPr>
                <w:rFonts w:ascii="Calibri" w:hAnsi="Calibri" w:cs="Calibri"/>
                <w:sz w:val="20"/>
                <w:szCs w:val="20"/>
              </w:rPr>
              <w:t>.</w:t>
            </w:r>
            <w:r>
              <w:rPr>
                <w:rFonts w:ascii="Calibri" w:hAnsi="Calibri" w:cs="Calibri"/>
                <w:sz w:val="20"/>
                <w:szCs w:val="20"/>
              </w:rPr>
              <w:t xml:space="preserve"> Also note that </w:t>
            </w:r>
            <w:r w:rsidRPr="0052115C">
              <w:rPr>
                <w:rFonts w:ascii="Calibri" w:hAnsi="Calibri" w:cs="Calibri"/>
                <w:sz w:val="20"/>
                <w:szCs w:val="20"/>
              </w:rPr>
              <w:t xml:space="preserve">it is </w:t>
            </w:r>
            <w:r>
              <w:rPr>
                <w:rFonts w:ascii="Calibri" w:hAnsi="Calibri" w:cs="Calibri"/>
                <w:sz w:val="20"/>
                <w:szCs w:val="20"/>
              </w:rPr>
              <w:t xml:space="preserve">the </w:t>
            </w:r>
            <w:r w:rsidRPr="0052115C">
              <w:rPr>
                <w:rFonts w:ascii="Calibri" w:hAnsi="Calibri" w:cs="Calibri"/>
                <w:sz w:val="20"/>
                <w:szCs w:val="20"/>
              </w:rPr>
              <w:t>other factors that determine whether canola will survive in natural habitats (such as rainfall and herbivory) and not whether it is resistant to one or more herbicides.</w:t>
            </w:r>
          </w:p>
        </w:tc>
      </w:tr>
      <w:tr w:rsidR="00120DD5" w:rsidRPr="002B06FF" w14:paraId="40016B3A" w14:textId="77777777" w:rsidTr="00120DD5">
        <w:tc>
          <w:tcPr>
            <w:tcW w:w="684" w:type="pct"/>
            <w:vMerge w:val="restart"/>
            <w:tcBorders>
              <w:top w:val="single" w:sz="6" w:space="0" w:color="auto"/>
            </w:tcBorders>
          </w:tcPr>
          <w:p w14:paraId="775E69C7" w14:textId="11513F66" w:rsidR="0003149D" w:rsidRPr="008E058E" w:rsidRDefault="0003149D" w:rsidP="0003149D">
            <w:pPr>
              <w:numPr>
                <w:ilvl w:val="12"/>
                <w:numId w:val="0"/>
              </w:numPr>
              <w:spacing w:before="60" w:after="60"/>
              <w:jc w:val="center"/>
              <w:rPr>
                <w:rFonts w:ascii="Calibri" w:hAnsi="Calibri" w:cs="Calibri"/>
                <w:sz w:val="20"/>
                <w:szCs w:val="20"/>
              </w:rPr>
            </w:pPr>
            <w:r w:rsidRPr="008E058E">
              <w:rPr>
                <w:rFonts w:ascii="Calibri" w:hAnsi="Calibri" w:cs="Calibri"/>
                <w:sz w:val="20"/>
                <w:szCs w:val="20"/>
              </w:rPr>
              <w:t>6</w:t>
            </w:r>
          </w:p>
        </w:tc>
        <w:tc>
          <w:tcPr>
            <w:tcW w:w="2453" w:type="pct"/>
            <w:tcBorders>
              <w:top w:val="single" w:sz="6" w:space="0" w:color="auto"/>
              <w:left w:val="nil"/>
            </w:tcBorders>
          </w:tcPr>
          <w:p w14:paraId="7C0D01FB"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Concerned that the available evidence does not appear sufficient to conclude with certainty that GM canola under widespread cultivation poses minimal risks to the environment. States that GM canola is considered a significant invasive weed of agriculture in some countries and can not only spread and persist outside cultivation but may also transfer herbicide tolerance genes to weedy relatives, reducing the options to control those relatives.</w:t>
            </w:r>
          </w:p>
        </w:tc>
        <w:tc>
          <w:tcPr>
            <w:tcW w:w="1863" w:type="pct"/>
            <w:tcBorders>
              <w:top w:val="single" w:sz="6" w:space="0" w:color="auto"/>
              <w:left w:val="nil"/>
            </w:tcBorders>
          </w:tcPr>
          <w:p w14:paraId="1A1202C8"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Noted.</w:t>
            </w:r>
          </w:p>
        </w:tc>
      </w:tr>
      <w:tr w:rsidR="00405AD4" w:rsidRPr="002B06FF" w14:paraId="3989938C" w14:textId="77777777" w:rsidTr="00120DD5">
        <w:tc>
          <w:tcPr>
            <w:tcW w:w="684" w:type="pct"/>
            <w:vMerge/>
          </w:tcPr>
          <w:p w14:paraId="117B6F3B" w14:textId="77777777"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left w:val="nil"/>
              <w:bottom w:val="single" w:sz="4" w:space="0" w:color="auto"/>
            </w:tcBorders>
          </w:tcPr>
          <w:p w14:paraId="4766F822"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rPr>
              <w:t>Recommends all information relevant to the environmental risk assessment, sufficient to support conclusions and regulatory decisions on risk to the environment be included in the RARMP.</w:t>
            </w:r>
          </w:p>
        </w:tc>
        <w:tc>
          <w:tcPr>
            <w:tcW w:w="1863" w:type="pct"/>
            <w:tcBorders>
              <w:left w:val="nil"/>
              <w:bottom w:val="single" w:sz="4" w:space="0" w:color="auto"/>
            </w:tcBorders>
          </w:tcPr>
          <w:p w14:paraId="544A180D" w14:textId="77777777" w:rsidR="0003149D" w:rsidRPr="008E058E" w:rsidRDefault="0003149D" w:rsidP="00D11F99">
            <w:pPr>
              <w:spacing w:before="60" w:after="60"/>
              <w:ind w:left="113"/>
              <w:rPr>
                <w:rFonts w:ascii="Calibri" w:hAnsi="Calibri"/>
                <w:sz w:val="20"/>
                <w:szCs w:val="20"/>
              </w:rPr>
            </w:pPr>
          </w:p>
        </w:tc>
      </w:tr>
      <w:tr w:rsidR="00405AD4" w:rsidRPr="002B06FF" w14:paraId="47101D7F" w14:textId="77777777" w:rsidTr="00120DD5">
        <w:tc>
          <w:tcPr>
            <w:tcW w:w="684" w:type="pct"/>
            <w:vMerge/>
          </w:tcPr>
          <w:p w14:paraId="6DEE401E" w14:textId="77777777"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4" w:space="0" w:color="auto"/>
              <w:left w:val="nil"/>
            </w:tcBorders>
          </w:tcPr>
          <w:p w14:paraId="681EAC11" w14:textId="77777777" w:rsidR="0003149D" w:rsidRPr="008E058E" w:rsidRDefault="0003149D" w:rsidP="00D11F99">
            <w:pPr>
              <w:pStyle w:val="NormalWeb"/>
              <w:spacing w:before="60" w:after="60"/>
              <w:ind w:left="113" w:right="240"/>
              <w:rPr>
                <w:rFonts w:ascii="Calibri" w:hAnsi="Calibri" w:cs="Calibri"/>
                <w:b/>
                <w:bCs/>
                <w:sz w:val="20"/>
              </w:rPr>
            </w:pPr>
            <w:r w:rsidRPr="008E058E">
              <w:rPr>
                <w:rFonts w:ascii="Calibri" w:hAnsi="Calibri" w:cs="Calibri"/>
                <w:b/>
                <w:bCs/>
                <w:sz w:val="20"/>
              </w:rPr>
              <w:t xml:space="preserve">Weediness and survival outside cultivation </w:t>
            </w:r>
          </w:p>
          <w:p w14:paraId="7BBBFB0A" w14:textId="77777777" w:rsidR="0003149D" w:rsidRPr="008E058E" w:rsidRDefault="0003149D" w:rsidP="00D11F99">
            <w:pPr>
              <w:pStyle w:val="NormalWeb"/>
              <w:spacing w:before="60" w:after="60"/>
              <w:ind w:left="113" w:right="240"/>
              <w:rPr>
                <w:rFonts w:ascii="Calibri" w:hAnsi="Calibri" w:cs="Calibri"/>
                <w:sz w:val="20"/>
              </w:rPr>
            </w:pPr>
            <w:r w:rsidRPr="008E058E">
              <w:rPr>
                <w:rFonts w:ascii="Calibri" w:hAnsi="Calibri" w:cs="Calibri"/>
                <w:sz w:val="20"/>
              </w:rPr>
              <w:t>Claims a lack of studies of GM canola in natural habitats, and that GM canola is an invasive problematic weed in natural environments in GM canola growing countries. Suggests information relevant to assessing the risk of weediness of GM canola from Australia, Canada and the US be included in the RARMP as follows:</w:t>
            </w:r>
          </w:p>
        </w:tc>
        <w:tc>
          <w:tcPr>
            <w:tcW w:w="1863" w:type="pct"/>
            <w:tcBorders>
              <w:top w:val="single" w:sz="4" w:space="0" w:color="auto"/>
              <w:left w:val="nil"/>
            </w:tcBorders>
          </w:tcPr>
          <w:p w14:paraId="759A99ED" w14:textId="77777777" w:rsidR="0003149D" w:rsidRPr="008E058E" w:rsidRDefault="0003149D" w:rsidP="00D11F99">
            <w:pPr>
              <w:spacing w:before="60" w:after="60"/>
              <w:ind w:left="113"/>
              <w:rPr>
                <w:rFonts w:ascii="Calibri" w:hAnsi="Calibri"/>
                <w:sz w:val="20"/>
                <w:szCs w:val="20"/>
              </w:rPr>
            </w:pPr>
          </w:p>
        </w:tc>
      </w:tr>
      <w:tr w:rsidR="0003149D" w:rsidRPr="002B06FF" w14:paraId="08139793" w14:textId="77777777" w:rsidTr="00405AD4">
        <w:tc>
          <w:tcPr>
            <w:tcW w:w="684" w:type="pct"/>
            <w:vMerge/>
          </w:tcPr>
          <w:p w14:paraId="5048697A" w14:textId="77777777" w:rsidR="0003149D" w:rsidRPr="008E058E" w:rsidRDefault="0003149D" w:rsidP="00D11F99">
            <w:pPr>
              <w:numPr>
                <w:ilvl w:val="12"/>
                <w:numId w:val="0"/>
              </w:numPr>
              <w:spacing w:before="60" w:after="60"/>
              <w:jc w:val="center"/>
              <w:rPr>
                <w:rFonts w:ascii="Calibri" w:hAnsi="Calibri" w:cs="Calibri"/>
                <w:sz w:val="20"/>
                <w:szCs w:val="20"/>
              </w:rPr>
            </w:pPr>
          </w:p>
        </w:tc>
        <w:tc>
          <w:tcPr>
            <w:tcW w:w="2453" w:type="pct"/>
            <w:tcBorders>
              <w:left w:val="nil"/>
            </w:tcBorders>
          </w:tcPr>
          <w:p w14:paraId="05034D15" w14:textId="77777777" w:rsidR="0003149D" w:rsidRPr="008E058E" w:rsidRDefault="0003149D" w:rsidP="00D11F99">
            <w:pPr>
              <w:pStyle w:val="NormalWeb"/>
              <w:spacing w:before="60" w:after="60"/>
              <w:ind w:left="113" w:right="240"/>
              <w:rPr>
                <w:rFonts w:ascii="Calibri" w:hAnsi="Calibri" w:cs="Calibri"/>
                <w:sz w:val="20"/>
              </w:rPr>
            </w:pPr>
            <w:r w:rsidRPr="008E058E">
              <w:rPr>
                <w:rFonts w:ascii="Calibri" w:hAnsi="Calibri" w:cs="Calibri"/>
                <w:sz w:val="20"/>
              </w:rPr>
              <w:t xml:space="preserve">Australia (par 31) </w:t>
            </w:r>
          </w:p>
          <w:p w14:paraId="6AB0D759" w14:textId="77777777" w:rsidR="0003149D" w:rsidRPr="008E058E" w:rsidRDefault="0003149D" w:rsidP="00D11F99">
            <w:pPr>
              <w:pStyle w:val="NormalWeb"/>
              <w:spacing w:before="60" w:after="60"/>
              <w:ind w:left="113" w:right="240"/>
              <w:rPr>
                <w:rFonts w:ascii="Calibri" w:hAnsi="Calibri" w:cs="Calibri"/>
                <w:sz w:val="20"/>
              </w:rPr>
            </w:pPr>
            <w:r w:rsidRPr="008E058E">
              <w:rPr>
                <w:rFonts w:ascii="Calibri" w:hAnsi="Calibri" w:cs="Calibri"/>
                <w:sz w:val="20"/>
              </w:rPr>
              <w:t xml:space="preserve">Requests inclusion of information from a cited study that </w:t>
            </w:r>
            <w:bookmarkStart w:id="18" w:name="_Hlk106636362"/>
            <w:r w:rsidRPr="008E058E">
              <w:rPr>
                <w:rFonts w:ascii="Calibri" w:hAnsi="Calibri" w:cs="Calibri"/>
                <w:sz w:val="20"/>
              </w:rPr>
              <w:t xml:space="preserve">abiotic (drought) and biotic (disease) stress were the main reason why the population died out when spread to a natural ecosystem. Notes </w:t>
            </w:r>
            <w:bookmarkEnd w:id="18"/>
            <w:r w:rsidRPr="008E058E">
              <w:rPr>
                <w:rFonts w:ascii="Calibri" w:hAnsi="Calibri" w:cs="Calibri"/>
                <w:sz w:val="20"/>
              </w:rPr>
              <w:t xml:space="preserve">there is data to indicate that the HT trait may confer an unintended increase in tolerance to abiotic (drought) stress. </w:t>
            </w:r>
          </w:p>
          <w:p w14:paraId="1D425E6E" w14:textId="77777777" w:rsidR="0003149D" w:rsidRPr="008E058E" w:rsidRDefault="0003149D" w:rsidP="00D11F99">
            <w:pPr>
              <w:pStyle w:val="NormalWeb"/>
              <w:spacing w:before="60" w:after="60"/>
              <w:ind w:left="113" w:right="240"/>
              <w:rPr>
                <w:rFonts w:ascii="Calibri" w:hAnsi="Calibri" w:cs="Calibri"/>
                <w:sz w:val="20"/>
              </w:rPr>
            </w:pPr>
            <w:r w:rsidRPr="008E058E">
              <w:rPr>
                <w:rFonts w:ascii="Calibri" w:hAnsi="Calibri" w:cs="Calibri"/>
                <w:sz w:val="20"/>
              </w:rPr>
              <w:t>Has concerns that there is no Australian data on abiotic and biotic stress tolerance in GM and non-GM canola and such data from other countries may not be suitable for environmental risk assessment under Australian conditions.</w:t>
            </w:r>
          </w:p>
        </w:tc>
        <w:tc>
          <w:tcPr>
            <w:tcW w:w="1863" w:type="pct"/>
            <w:tcBorders>
              <w:left w:val="nil"/>
            </w:tcBorders>
          </w:tcPr>
          <w:p w14:paraId="162D676C"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 xml:space="preserve">Some text regarding survival of GM canola in natural habitats has been included in par 31. Discussion of potential for unintended enhanced fitness of GM plants expressing introduced </w:t>
            </w:r>
            <w:proofErr w:type="spellStart"/>
            <w:r w:rsidRPr="008E058E">
              <w:rPr>
                <w:rFonts w:ascii="Calibri" w:hAnsi="Calibri"/>
                <w:i/>
                <w:iCs/>
                <w:sz w:val="20"/>
                <w:szCs w:val="20"/>
              </w:rPr>
              <w:t>epsps</w:t>
            </w:r>
            <w:proofErr w:type="spellEnd"/>
            <w:r w:rsidRPr="008E058E">
              <w:rPr>
                <w:rFonts w:ascii="Calibri" w:hAnsi="Calibri"/>
                <w:sz w:val="20"/>
                <w:szCs w:val="20"/>
              </w:rPr>
              <w:t xml:space="preserve"> genes is also included.</w:t>
            </w:r>
          </w:p>
          <w:p w14:paraId="66E55C52"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In Australia, there is extensive experience in the management of canola in agricultural settings</w:t>
            </w:r>
            <w:r>
              <w:rPr>
                <w:rFonts w:ascii="Calibri" w:hAnsi="Calibri"/>
                <w:sz w:val="20"/>
                <w:szCs w:val="20"/>
              </w:rPr>
              <w:t xml:space="preserve"> and the </w:t>
            </w:r>
            <w:r w:rsidRPr="008E058E">
              <w:rPr>
                <w:rFonts w:ascii="Calibri" w:hAnsi="Calibri"/>
                <w:sz w:val="20"/>
                <w:szCs w:val="20"/>
              </w:rPr>
              <w:t xml:space="preserve">management of </w:t>
            </w:r>
            <w:r>
              <w:rPr>
                <w:rFonts w:ascii="Calibri" w:hAnsi="Calibri"/>
                <w:sz w:val="20"/>
                <w:szCs w:val="20"/>
              </w:rPr>
              <w:t xml:space="preserve">canola </w:t>
            </w:r>
            <w:r w:rsidRPr="008E058E">
              <w:rPr>
                <w:rFonts w:ascii="Calibri" w:hAnsi="Calibri"/>
                <w:sz w:val="20"/>
                <w:szCs w:val="20"/>
              </w:rPr>
              <w:t>volunteers in natural ecosystems, including GM canola that has been modified for herbicide tolerance. MON-ØØØ73-7 canola has been commercially cultivated for 1</w:t>
            </w:r>
            <w:r>
              <w:rPr>
                <w:rFonts w:ascii="Calibri" w:hAnsi="Calibri"/>
                <w:sz w:val="20"/>
                <w:szCs w:val="20"/>
              </w:rPr>
              <w:t>6</w:t>
            </w:r>
            <w:r w:rsidRPr="008E058E">
              <w:rPr>
                <w:rFonts w:ascii="Calibri" w:hAnsi="Calibri"/>
                <w:sz w:val="20"/>
                <w:szCs w:val="20"/>
              </w:rPr>
              <w:t xml:space="preserve"> years and no increased weediness status of canola or impact on the natural environment have been recorded in Australia. This extensive practical experience of negligible risk supports the conclusions of previous RARMPs.</w:t>
            </w:r>
            <w:r>
              <w:rPr>
                <w:rFonts w:ascii="Calibri" w:hAnsi="Calibri"/>
                <w:sz w:val="20"/>
                <w:szCs w:val="20"/>
              </w:rPr>
              <w:t xml:space="preserve"> Furthermore, many areas in Canada and the US have </w:t>
            </w:r>
            <w:proofErr w:type="spellStart"/>
            <w:r>
              <w:rPr>
                <w:rFonts w:ascii="Calibri" w:hAnsi="Calibri"/>
                <w:sz w:val="20"/>
                <w:szCs w:val="20"/>
              </w:rPr>
              <w:t>agro</w:t>
            </w:r>
            <w:proofErr w:type="spellEnd"/>
            <w:r>
              <w:rPr>
                <w:rFonts w:ascii="Calibri" w:hAnsi="Calibri"/>
                <w:sz w:val="20"/>
                <w:szCs w:val="20"/>
              </w:rPr>
              <w:t xml:space="preserve">-ecological zones that are </w:t>
            </w:r>
            <w:proofErr w:type="gramStart"/>
            <w:r>
              <w:rPr>
                <w:rFonts w:ascii="Calibri" w:hAnsi="Calibri"/>
                <w:sz w:val="20"/>
                <w:szCs w:val="20"/>
              </w:rPr>
              <w:t>similar to</w:t>
            </w:r>
            <w:proofErr w:type="gramEnd"/>
            <w:r>
              <w:rPr>
                <w:rFonts w:ascii="Calibri" w:hAnsi="Calibri"/>
                <w:sz w:val="20"/>
                <w:szCs w:val="20"/>
              </w:rPr>
              <w:t xml:space="preserve"> Australian canola growing regions, and therefore information/data from these countries are relevant to Australian situations (for example, see discussion in the RARMP for DIR 178). </w:t>
            </w:r>
          </w:p>
        </w:tc>
      </w:tr>
      <w:tr w:rsidR="00405AD4" w:rsidRPr="002B06FF" w14:paraId="417C15D5" w14:textId="77777777" w:rsidTr="00120DD5">
        <w:tc>
          <w:tcPr>
            <w:tcW w:w="684" w:type="pct"/>
            <w:vMerge/>
          </w:tcPr>
          <w:p w14:paraId="72AA9773" w14:textId="77777777" w:rsidR="0003149D" w:rsidRDefault="0003149D" w:rsidP="00D11F99">
            <w:pPr>
              <w:numPr>
                <w:ilvl w:val="12"/>
                <w:numId w:val="0"/>
              </w:numPr>
              <w:spacing w:before="60" w:after="60"/>
              <w:jc w:val="center"/>
              <w:rPr>
                <w:rFonts w:ascii="Calibri" w:hAnsi="Calibri" w:cs="Calibri"/>
                <w:sz w:val="20"/>
                <w:szCs w:val="20"/>
              </w:rPr>
            </w:pPr>
          </w:p>
        </w:tc>
        <w:tc>
          <w:tcPr>
            <w:tcW w:w="2453" w:type="pct"/>
            <w:tcBorders>
              <w:left w:val="nil"/>
            </w:tcBorders>
          </w:tcPr>
          <w:p w14:paraId="158107B2" w14:textId="77777777" w:rsidR="0003149D" w:rsidRPr="008E058E" w:rsidRDefault="0003149D" w:rsidP="00D11F99">
            <w:pPr>
              <w:pStyle w:val="NormalWeb"/>
              <w:spacing w:before="60" w:after="60"/>
              <w:ind w:left="110" w:right="240"/>
              <w:rPr>
                <w:rFonts w:ascii="Calibri" w:hAnsi="Calibri" w:cs="Calibri"/>
                <w:sz w:val="20"/>
              </w:rPr>
            </w:pPr>
            <w:r w:rsidRPr="008E058E">
              <w:rPr>
                <w:rFonts w:ascii="Calibri" w:hAnsi="Calibri" w:cs="Calibri"/>
                <w:sz w:val="20"/>
              </w:rPr>
              <w:t>Canada (par 3</w:t>
            </w:r>
            <w:r>
              <w:rPr>
                <w:rFonts w:ascii="Calibri" w:hAnsi="Calibri" w:cs="Calibri"/>
                <w:sz w:val="20"/>
              </w:rPr>
              <w:t>2</w:t>
            </w:r>
            <w:r w:rsidRPr="008E058E">
              <w:rPr>
                <w:rFonts w:ascii="Calibri" w:hAnsi="Calibri" w:cs="Calibri"/>
                <w:sz w:val="20"/>
              </w:rPr>
              <w:t xml:space="preserve">) </w:t>
            </w:r>
          </w:p>
          <w:p w14:paraId="12110751" w14:textId="77777777" w:rsidR="0003149D" w:rsidRPr="008E058E" w:rsidRDefault="0003149D" w:rsidP="00D11F99">
            <w:pPr>
              <w:pStyle w:val="NormalWeb"/>
              <w:spacing w:before="60" w:after="60"/>
              <w:ind w:left="113" w:right="240"/>
              <w:rPr>
                <w:rFonts w:ascii="Calibri" w:hAnsi="Calibri" w:cs="Calibri"/>
                <w:b/>
                <w:bCs/>
                <w:sz w:val="20"/>
              </w:rPr>
            </w:pPr>
            <w:r w:rsidRPr="008E058E">
              <w:rPr>
                <w:rFonts w:ascii="Calibri" w:hAnsi="Calibri" w:cs="Calibri"/>
                <w:sz w:val="20"/>
              </w:rPr>
              <w:t>Claims that GM canola has become a significant invasive weed of agricultural areas and multiple stacked herbicide tolerant canola may make their control more challenging in Canada. Requests to clarify that a Canadian study cited only looked at GM canola in agricultural areas rather than natural areas</w:t>
            </w:r>
            <w:r>
              <w:rPr>
                <w:rFonts w:ascii="Calibri" w:hAnsi="Calibri" w:cs="Calibri"/>
                <w:sz w:val="20"/>
              </w:rPr>
              <w:t>. Considers that the statement in the RARMP that ‘no invasions of natural areas were reported’ is inaccurate</w:t>
            </w:r>
            <w:r w:rsidRPr="008E058E">
              <w:rPr>
                <w:rFonts w:ascii="Calibri" w:hAnsi="Calibri" w:cs="Calibri"/>
                <w:sz w:val="20"/>
              </w:rPr>
              <w:t>.</w:t>
            </w:r>
          </w:p>
        </w:tc>
        <w:tc>
          <w:tcPr>
            <w:tcW w:w="1863" w:type="pct"/>
            <w:tcBorders>
              <w:left w:val="nil"/>
            </w:tcBorders>
          </w:tcPr>
          <w:p w14:paraId="32526520" w14:textId="77777777" w:rsidR="0003149D" w:rsidRPr="008E058E" w:rsidRDefault="0003149D" w:rsidP="00D11F99">
            <w:pPr>
              <w:spacing w:before="60" w:after="60"/>
              <w:rPr>
                <w:rFonts w:ascii="Calibri" w:hAnsi="Calibri"/>
                <w:sz w:val="20"/>
                <w:szCs w:val="20"/>
              </w:rPr>
            </w:pPr>
          </w:p>
          <w:p w14:paraId="1DFE4708"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 xml:space="preserve">MON-ØØØ73-7 canola is only tolerant to glyphosate herbicide and there is no evidence to indicate that multiple stacked herbicide tolerant canola has caused management issues for volunteer canola control in Canada as alternative herbicides can be sought.  </w:t>
            </w:r>
          </w:p>
          <w:p w14:paraId="3EF7BF8B"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 xml:space="preserve">The text </w:t>
            </w:r>
            <w:r>
              <w:rPr>
                <w:rFonts w:ascii="Calibri" w:hAnsi="Calibri"/>
                <w:sz w:val="20"/>
                <w:szCs w:val="20"/>
              </w:rPr>
              <w:t>regarding no invasions of HT canola in natural areas was</w:t>
            </w:r>
            <w:r w:rsidRPr="008E058E">
              <w:rPr>
                <w:rFonts w:ascii="Calibri" w:hAnsi="Calibri"/>
                <w:sz w:val="20"/>
                <w:szCs w:val="20"/>
              </w:rPr>
              <w:t xml:space="preserve"> one of the conclusions in the Canadian study cited</w:t>
            </w:r>
            <w:r>
              <w:rPr>
                <w:rFonts w:ascii="Calibri" w:hAnsi="Calibri"/>
                <w:sz w:val="20"/>
                <w:szCs w:val="20"/>
              </w:rPr>
              <w:t>. It has been deleted as it is agreed that there is a lack of</w:t>
            </w:r>
            <w:r w:rsidRPr="008355F5">
              <w:rPr>
                <w:rFonts w:ascii="Calibri" w:hAnsi="Calibri"/>
                <w:sz w:val="20"/>
                <w:szCs w:val="20"/>
              </w:rPr>
              <w:t xml:space="preserve"> clear connection between this statement </w:t>
            </w:r>
            <w:r>
              <w:rPr>
                <w:rFonts w:ascii="Calibri" w:hAnsi="Calibri"/>
                <w:sz w:val="20"/>
                <w:szCs w:val="20"/>
              </w:rPr>
              <w:t>and</w:t>
            </w:r>
            <w:r w:rsidRPr="008355F5">
              <w:rPr>
                <w:rFonts w:ascii="Calibri" w:hAnsi="Calibri"/>
                <w:sz w:val="20"/>
                <w:szCs w:val="20"/>
              </w:rPr>
              <w:t xml:space="preserve"> the information presented in the paper</w:t>
            </w:r>
            <w:r w:rsidRPr="008E058E">
              <w:rPr>
                <w:rFonts w:ascii="Calibri" w:hAnsi="Calibri"/>
                <w:sz w:val="20"/>
                <w:szCs w:val="20"/>
              </w:rPr>
              <w:t xml:space="preserve">. </w:t>
            </w:r>
          </w:p>
        </w:tc>
      </w:tr>
      <w:tr w:rsidR="00405AD4" w:rsidRPr="002B06FF" w14:paraId="4191A310" w14:textId="77777777" w:rsidTr="00120DD5">
        <w:tc>
          <w:tcPr>
            <w:tcW w:w="684" w:type="pct"/>
            <w:vMerge/>
          </w:tcPr>
          <w:p w14:paraId="505E5A27" w14:textId="77777777" w:rsidR="0003149D" w:rsidRDefault="0003149D" w:rsidP="00D11F99">
            <w:pPr>
              <w:numPr>
                <w:ilvl w:val="12"/>
                <w:numId w:val="0"/>
              </w:numPr>
              <w:spacing w:before="60" w:after="60"/>
              <w:jc w:val="center"/>
              <w:rPr>
                <w:rFonts w:ascii="Calibri" w:hAnsi="Calibri" w:cs="Calibri"/>
                <w:sz w:val="20"/>
                <w:szCs w:val="20"/>
              </w:rPr>
            </w:pPr>
          </w:p>
        </w:tc>
        <w:tc>
          <w:tcPr>
            <w:tcW w:w="2453" w:type="pct"/>
            <w:tcBorders>
              <w:left w:val="nil"/>
              <w:bottom w:val="single" w:sz="4" w:space="0" w:color="auto"/>
            </w:tcBorders>
          </w:tcPr>
          <w:p w14:paraId="4EB578D6" w14:textId="77777777" w:rsidR="0003149D" w:rsidRPr="008E058E" w:rsidRDefault="0003149D" w:rsidP="00D11F99">
            <w:pPr>
              <w:pStyle w:val="NormalWeb"/>
              <w:spacing w:before="60" w:after="60"/>
              <w:ind w:left="113" w:right="240"/>
              <w:rPr>
                <w:rFonts w:ascii="Calibri" w:hAnsi="Calibri" w:cs="Calibri"/>
                <w:sz w:val="20"/>
              </w:rPr>
            </w:pPr>
            <w:r w:rsidRPr="008E058E">
              <w:rPr>
                <w:rFonts w:ascii="Calibri" w:hAnsi="Calibri" w:cs="Calibri"/>
                <w:sz w:val="20"/>
              </w:rPr>
              <w:t>USA (par 33)</w:t>
            </w:r>
          </w:p>
          <w:p w14:paraId="22E98E73" w14:textId="77777777" w:rsidR="0003149D" w:rsidRPr="008E058E" w:rsidRDefault="0003149D" w:rsidP="00D11F99">
            <w:pPr>
              <w:pStyle w:val="NormalWeb"/>
              <w:spacing w:before="60" w:after="60"/>
              <w:ind w:left="113" w:right="238"/>
              <w:rPr>
                <w:rFonts w:ascii="Calibri" w:hAnsi="Calibri" w:cs="Calibri"/>
                <w:sz w:val="20"/>
              </w:rPr>
            </w:pPr>
            <w:r w:rsidRPr="008E058E">
              <w:rPr>
                <w:rFonts w:ascii="Calibri" w:hAnsi="Calibri" w:cs="Calibri"/>
                <w:sz w:val="20"/>
              </w:rPr>
              <w:t xml:space="preserve">Requests inclusion of information from a US study that GM canola had widespread distribution and was established and persistence outside cultivated </w:t>
            </w:r>
            <w:proofErr w:type="gramStart"/>
            <w:r w:rsidRPr="008E058E">
              <w:rPr>
                <w:rFonts w:ascii="Calibri" w:hAnsi="Calibri" w:cs="Calibri"/>
                <w:sz w:val="20"/>
              </w:rPr>
              <w:t>areas, and</w:t>
            </w:r>
            <w:proofErr w:type="gramEnd"/>
            <w:r w:rsidRPr="008E058E">
              <w:rPr>
                <w:rFonts w:ascii="Calibri" w:hAnsi="Calibri" w:cs="Calibri"/>
                <w:sz w:val="20"/>
              </w:rPr>
              <w:t xml:space="preserve"> occurred in habitats with or without glyphosate selection pressure. Believes that other literature cited shows that dormant seed and herbicide resistance have made GM canola a new and difficult weed in California.</w:t>
            </w:r>
          </w:p>
        </w:tc>
        <w:tc>
          <w:tcPr>
            <w:tcW w:w="1863" w:type="pct"/>
            <w:tcBorders>
              <w:left w:val="nil"/>
              <w:bottom w:val="single" w:sz="4" w:space="0" w:color="auto"/>
            </w:tcBorders>
          </w:tcPr>
          <w:p w14:paraId="750A8A0C" w14:textId="77777777" w:rsidR="0003149D" w:rsidRPr="008E058E" w:rsidRDefault="0003149D" w:rsidP="00D11F99">
            <w:pPr>
              <w:spacing w:before="60" w:after="60"/>
              <w:ind w:left="113"/>
              <w:rPr>
                <w:rFonts w:ascii="Calibri" w:hAnsi="Calibri"/>
                <w:sz w:val="20"/>
                <w:szCs w:val="20"/>
              </w:rPr>
            </w:pPr>
          </w:p>
          <w:p w14:paraId="305ED802"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Some text was added to</w:t>
            </w:r>
            <w:r>
              <w:rPr>
                <w:rFonts w:ascii="Calibri" w:hAnsi="Calibri"/>
                <w:sz w:val="20"/>
                <w:szCs w:val="20"/>
              </w:rPr>
              <w:t xml:space="preserve"> par 34 (previously</w:t>
            </w:r>
            <w:r w:rsidRPr="008E058E">
              <w:rPr>
                <w:rFonts w:ascii="Calibri" w:hAnsi="Calibri"/>
                <w:sz w:val="20"/>
                <w:szCs w:val="20"/>
              </w:rPr>
              <w:t xml:space="preserve"> par 33</w:t>
            </w:r>
            <w:r>
              <w:rPr>
                <w:rFonts w:ascii="Calibri" w:hAnsi="Calibri"/>
                <w:sz w:val="20"/>
                <w:szCs w:val="20"/>
              </w:rPr>
              <w:t>)</w:t>
            </w:r>
            <w:r w:rsidRPr="008E058E">
              <w:rPr>
                <w:rFonts w:ascii="Calibri" w:hAnsi="Calibri"/>
                <w:sz w:val="20"/>
                <w:szCs w:val="20"/>
              </w:rPr>
              <w:t>. GM canola becoming a difficult weed in California was mainly due to restrictions on phenoxy herbicide use there, which is made clear in this paragraph.</w:t>
            </w:r>
          </w:p>
        </w:tc>
      </w:tr>
      <w:tr w:rsidR="00120DD5" w:rsidRPr="002B06FF" w14:paraId="31CC0AB8" w14:textId="77777777" w:rsidTr="00120DD5">
        <w:tc>
          <w:tcPr>
            <w:tcW w:w="684" w:type="pct"/>
            <w:vMerge/>
          </w:tcPr>
          <w:p w14:paraId="0B296A97" w14:textId="77777777" w:rsidR="0003149D"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4" w:space="0" w:color="auto"/>
              <w:left w:val="nil"/>
              <w:bottom w:val="single" w:sz="4" w:space="0" w:color="auto"/>
            </w:tcBorders>
          </w:tcPr>
          <w:p w14:paraId="4EEAEB29" w14:textId="77777777" w:rsidR="0003149D" w:rsidRPr="008E058E" w:rsidRDefault="0003149D" w:rsidP="00D11F99">
            <w:pPr>
              <w:pStyle w:val="NormalWeb"/>
              <w:spacing w:before="60" w:after="60"/>
              <w:ind w:left="113" w:right="240"/>
              <w:rPr>
                <w:rFonts w:ascii="Calibri" w:hAnsi="Calibri" w:cs="Calibri"/>
                <w:b/>
                <w:bCs/>
                <w:sz w:val="20"/>
              </w:rPr>
            </w:pPr>
            <w:r w:rsidRPr="008E058E">
              <w:rPr>
                <w:rFonts w:ascii="Calibri" w:hAnsi="Calibri" w:cs="Calibri"/>
                <w:b/>
                <w:bCs/>
                <w:sz w:val="20"/>
              </w:rPr>
              <w:t xml:space="preserve">Gene flow to weedy relatives </w:t>
            </w:r>
          </w:p>
          <w:p w14:paraId="254C689A" w14:textId="77777777" w:rsidR="0003149D" w:rsidRPr="008E058E" w:rsidRDefault="0003149D" w:rsidP="00D11F99">
            <w:pPr>
              <w:pStyle w:val="NormalWeb"/>
              <w:spacing w:before="60" w:after="60"/>
              <w:ind w:left="113" w:right="238"/>
              <w:rPr>
                <w:rFonts w:ascii="Calibri" w:hAnsi="Calibri" w:cs="Calibri"/>
                <w:sz w:val="20"/>
              </w:rPr>
            </w:pPr>
            <w:r w:rsidRPr="008E058E">
              <w:rPr>
                <w:rFonts w:ascii="Calibri" w:hAnsi="Calibri" w:cs="Calibri"/>
                <w:sz w:val="20"/>
              </w:rPr>
              <w:t xml:space="preserve">States that canola is identified as the riskiest crop for gene flow to weedy relatives and non-GM canola due to crop characteristics that may increase gene flow. States that substantial gene flow from GM canola to the weedy relative </w:t>
            </w:r>
            <w:r w:rsidRPr="008E058E">
              <w:rPr>
                <w:rFonts w:ascii="Calibri" w:hAnsi="Calibri" w:cs="Calibri"/>
                <w:i/>
                <w:iCs/>
                <w:sz w:val="20"/>
              </w:rPr>
              <w:t>B.</w:t>
            </w:r>
            <w:r>
              <w:rPr>
                <w:rFonts w:ascii="Calibri" w:hAnsi="Calibri" w:cs="Calibri"/>
                <w:i/>
                <w:iCs/>
                <w:sz w:val="20"/>
              </w:rPr>
              <w:t> </w:t>
            </w:r>
            <w:proofErr w:type="spellStart"/>
            <w:r w:rsidRPr="008E058E">
              <w:rPr>
                <w:rFonts w:ascii="Calibri" w:hAnsi="Calibri" w:cs="Calibri"/>
                <w:i/>
                <w:iCs/>
                <w:sz w:val="20"/>
              </w:rPr>
              <w:t>rapa</w:t>
            </w:r>
            <w:proofErr w:type="spellEnd"/>
            <w:r w:rsidRPr="008E058E">
              <w:rPr>
                <w:rFonts w:ascii="Calibri" w:hAnsi="Calibri" w:cs="Calibri"/>
                <w:i/>
                <w:iCs/>
                <w:sz w:val="20"/>
              </w:rPr>
              <w:t xml:space="preserve"> </w:t>
            </w:r>
            <w:r w:rsidRPr="008E058E">
              <w:rPr>
                <w:rFonts w:ascii="Calibri" w:hAnsi="Calibri" w:cs="Calibri"/>
                <w:sz w:val="20"/>
              </w:rPr>
              <w:t>has been reported, but hybridisation rates vary in different countries</w:t>
            </w:r>
            <w:r w:rsidRPr="008E058E" w:rsidDel="007A1DCD">
              <w:rPr>
                <w:rFonts w:ascii="Calibri" w:hAnsi="Calibri" w:cs="Calibri"/>
                <w:sz w:val="20"/>
              </w:rPr>
              <w:t xml:space="preserve"> </w:t>
            </w:r>
            <w:r w:rsidRPr="008E058E">
              <w:rPr>
                <w:rFonts w:ascii="Calibri" w:hAnsi="Calibri" w:cs="Calibri"/>
                <w:sz w:val="20"/>
              </w:rPr>
              <w:t xml:space="preserve">and that there is a lack of such Australian data. Concerned that </w:t>
            </w:r>
            <w:r w:rsidRPr="008E058E">
              <w:rPr>
                <w:rFonts w:ascii="Calibri" w:hAnsi="Calibri" w:cs="Calibri"/>
                <w:i/>
                <w:iCs/>
                <w:sz w:val="20"/>
              </w:rPr>
              <w:t xml:space="preserve">B. </w:t>
            </w:r>
            <w:proofErr w:type="spellStart"/>
            <w:r w:rsidRPr="008E058E">
              <w:rPr>
                <w:rFonts w:ascii="Calibri" w:hAnsi="Calibri" w:cs="Calibri"/>
                <w:i/>
                <w:iCs/>
                <w:sz w:val="20"/>
              </w:rPr>
              <w:t>rapa</w:t>
            </w:r>
            <w:proofErr w:type="spellEnd"/>
            <w:r w:rsidRPr="008E058E">
              <w:rPr>
                <w:rFonts w:ascii="Calibri" w:hAnsi="Calibri" w:cs="Calibri"/>
                <w:i/>
                <w:iCs/>
                <w:sz w:val="20"/>
              </w:rPr>
              <w:t xml:space="preserve"> </w:t>
            </w:r>
            <w:r w:rsidRPr="008E058E">
              <w:rPr>
                <w:rFonts w:ascii="Calibri" w:hAnsi="Calibri" w:cs="Calibri"/>
                <w:sz w:val="20"/>
              </w:rPr>
              <w:t xml:space="preserve">is considered an invasive agricultural weed in Australia, Canada, and the US and is listed as an environmental weed in Victoria. </w:t>
            </w:r>
          </w:p>
          <w:p w14:paraId="7F559437" w14:textId="77777777" w:rsidR="0003149D" w:rsidRPr="008E058E" w:rsidRDefault="0003149D" w:rsidP="00D11F99">
            <w:pPr>
              <w:pStyle w:val="NormalWeb"/>
              <w:spacing w:before="60" w:after="60"/>
              <w:ind w:left="113" w:right="238"/>
              <w:rPr>
                <w:rFonts w:ascii="Calibri" w:hAnsi="Calibri" w:cs="Calibri"/>
                <w:sz w:val="20"/>
              </w:rPr>
            </w:pPr>
            <w:r w:rsidRPr="008E058E">
              <w:rPr>
                <w:rFonts w:ascii="Calibri" w:hAnsi="Calibri" w:cs="Calibri"/>
                <w:sz w:val="20"/>
              </w:rPr>
              <w:t xml:space="preserve">Concerned that gene flow may result in harm or increased weediness of weeds in natural habitats if the gene or trait confers an advantage. States that there is data to suggest that the HT trait may confer an unintended increase in tolerance to abiotic stress in </w:t>
            </w:r>
            <w:r w:rsidRPr="008E058E">
              <w:rPr>
                <w:rFonts w:ascii="Calibri" w:hAnsi="Calibri" w:cs="Calibri"/>
                <w:i/>
                <w:iCs/>
                <w:sz w:val="20"/>
              </w:rPr>
              <w:t>Arabidopsis,</w:t>
            </w:r>
            <w:r w:rsidRPr="008E058E">
              <w:rPr>
                <w:rFonts w:ascii="Calibri" w:hAnsi="Calibri" w:cs="Calibri"/>
                <w:sz w:val="20"/>
              </w:rPr>
              <w:t xml:space="preserve"> thus conferring a fitness benefit. </w:t>
            </w:r>
          </w:p>
          <w:p w14:paraId="1123EBA2" w14:textId="77777777" w:rsidR="0003149D" w:rsidRPr="008E058E" w:rsidRDefault="0003149D" w:rsidP="00D11F99">
            <w:pPr>
              <w:pStyle w:val="NormalWeb"/>
              <w:spacing w:before="60" w:after="60"/>
              <w:ind w:left="113" w:right="238"/>
              <w:rPr>
                <w:rFonts w:ascii="Calibri" w:hAnsi="Calibri" w:cs="Calibri"/>
                <w:sz w:val="20"/>
              </w:rPr>
            </w:pPr>
            <w:r w:rsidRPr="008E058E">
              <w:rPr>
                <w:rFonts w:ascii="Calibri" w:hAnsi="Calibri" w:cs="Calibri"/>
                <w:sz w:val="20"/>
              </w:rPr>
              <w:t xml:space="preserve">Requests discussion of potential risks from gene flow to </w:t>
            </w:r>
            <w:r w:rsidRPr="008E058E">
              <w:rPr>
                <w:rFonts w:ascii="Calibri" w:hAnsi="Calibri" w:cs="Calibri"/>
                <w:i/>
                <w:iCs/>
                <w:sz w:val="20"/>
              </w:rPr>
              <w:t xml:space="preserve">B. </w:t>
            </w:r>
            <w:proofErr w:type="spellStart"/>
            <w:r w:rsidRPr="008E058E">
              <w:rPr>
                <w:rFonts w:ascii="Calibri" w:hAnsi="Calibri" w:cs="Calibri"/>
                <w:i/>
                <w:iCs/>
                <w:sz w:val="20"/>
              </w:rPr>
              <w:t>rapa</w:t>
            </w:r>
            <w:proofErr w:type="spellEnd"/>
            <w:r w:rsidRPr="008E058E">
              <w:rPr>
                <w:rFonts w:ascii="Calibri" w:hAnsi="Calibri" w:cs="Calibri"/>
                <w:i/>
                <w:iCs/>
                <w:sz w:val="20"/>
              </w:rPr>
              <w:t xml:space="preserve"> </w:t>
            </w:r>
            <w:r w:rsidRPr="008E058E">
              <w:rPr>
                <w:rFonts w:ascii="Calibri" w:hAnsi="Calibri" w:cs="Calibri"/>
                <w:sz w:val="20"/>
              </w:rPr>
              <w:t>and including information to support a conclusion of no risk.</w:t>
            </w:r>
          </w:p>
          <w:p w14:paraId="2A135DD3" w14:textId="77777777" w:rsidR="0003149D" w:rsidRPr="008E058E" w:rsidRDefault="0003149D" w:rsidP="00D11F99">
            <w:pPr>
              <w:pStyle w:val="NormalWeb"/>
              <w:spacing w:before="60" w:after="60"/>
              <w:ind w:left="113" w:right="238"/>
              <w:rPr>
                <w:rFonts w:ascii="Calibri" w:hAnsi="Calibri" w:cs="Calibri"/>
                <w:sz w:val="20"/>
              </w:rPr>
            </w:pPr>
          </w:p>
        </w:tc>
        <w:tc>
          <w:tcPr>
            <w:tcW w:w="1863" w:type="pct"/>
            <w:tcBorders>
              <w:top w:val="single" w:sz="4" w:space="0" w:color="auto"/>
              <w:left w:val="nil"/>
              <w:bottom w:val="single" w:sz="4" w:space="0" w:color="auto"/>
            </w:tcBorders>
          </w:tcPr>
          <w:p w14:paraId="4403356E" w14:textId="77777777" w:rsidR="0003149D" w:rsidRPr="008E058E" w:rsidRDefault="0003149D" w:rsidP="00D11F99">
            <w:pPr>
              <w:spacing w:before="60" w:after="60"/>
              <w:ind w:left="113"/>
              <w:rPr>
                <w:rFonts w:ascii="Calibri" w:hAnsi="Calibri"/>
                <w:sz w:val="20"/>
                <w:szCs w:val="20"/>
              </w:rPr>
            </w:pPr>
          </w:p>
          <w:p w14:paraId="4A258544"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 xml:space="preserve">Although gene flow from canola to </w:t>
            </w:r>
            <w:r w:rsidRPr="008E058E">
              <w:rPr>
                <w:rFonts w:ascii="Calibri" w:hAnsi="Calibri"/>
                <w:i/>
                <w:iCs/>
                <w:sz w:val="20"/>
                <w:szCs w:val="20"/>
              </w:rPr>
              <w:t xml:space="preserve">B. </w:t>
            </w:r>
            <w:proofErr w:type="spellStart"/>
            <w:r w:rsidRPr="008E058E">
              <w:rPr>
                <w:rFonts w:ascii="Calibri" w:hAnsi="Calibri"/>
                <w:i/>
                <w:iCs/>
                <w:sz w:val="20"/>
                <w:szCs w:val="20"/>
              </w:rPr>
              <w:t>rapa</w:t>
            </w:r>
            <w:proofErr w:type="spellEnd"/>
            <w:r w:rsidRPr="008E058E">
              <w:rPr>
                <w:rFonts w:ascii="Calibri" w:hAnsi="Calibri"/>
                <w:sz w:val="20"/>
                <w:szCs w:val="20"/>
              </w:rPr>
              <w:t xml:space="preserve"> can occur under natural conditions, gene flow </w:t>
            </w:r>
            <w:r w:rsidRPr="008E058E">
              <w:rPr>
                <w:rFonts w:ascii="Calibri" w:hAnsi="Calibri"/>
                <w:i/>
                <w:iCs/>
                <w:sz w:val="20"/>
                <w:szCs w:val="20"/>
              </w:rPr>
              <w:t>per se</w:t>
            </w:r>
            <w:r w:rsidRPr="008E058E">
              <w:rPr>
                <w:rFonts w:ascii="Calibri" w:hAnsi="Calibri"/>
                <w:sz w:val="20"/>
                <w:szCs w:val="20"/>
              </w:rPr>
              <w:t xml:space="preserve"> does not necessarily lead to harm. With the commercial production of GM canola following stewardship practices for weed management in Australia, the level of such gene flow was </w:t>
            </w:r>
            <w:r>
              <w:rPr>
                <w:rFonts w:ascii="Calibri" w:hAnsi="Calibri"/>
                <w:sz w:val="20"/>
                <w:szCs w:val="20"/>
              </w:rPr>
              <w:t>found</w:t>
            </w:r>
            <w:r w:rsidRPr="008E058E">
              <w:rPr>
                <w:rFonts w:ascii="Calibri" w:hAnsi="Calibri"/>
                <w:sz w:val="20"/>
                <w:szCs w:val="20"/>
              </w:rPr>
              <w:t xml:space="preserve"> to be very low in cultivation under licence DIR-020/2002</w:t>
            </w:r>
            <w:r>
              <w:rPr>
                <w:rFonts w:ascii="Calibri" w:hAnsi="Calibri"/>
                <w:sz w:val="20"/>
                <w:szCs w:val="20"/>
              </w:rPr>
              <w:t>. A</w:t>
            </w:r>
            <w:r w:rsidRPr="008E058E">
              <w:rPr>
                <w:rFonts w:ascii="Calibri" w:hAnsi="Calibri"/>
                <w:sz w:val="20"/>
                <w:szCs w:val="20"/>
              </w:rPr>
              <w:t xml:space="preserve">lthough </w:t>
            </w:r>
            <w:r w:rsidRPr="008E058E">
              <w:rPr>
                <w:rFonts w:ascii="Calibri" w:hAnsi="Calibri"/>
                <w:i/>
                <w:iCs/>
                <w:sz w:val="20"/>
                <w:szCs w:val="20"/>
              </w:rPr>
              <w:t xml:space="preserve">B. </w:t>
            </w:r>
            <w:proofErr w:type="spellStart"/>
            <w:r w:rsidRPr="008E058E">
              <w:rPr>
                <w:rFonts w:ascii="Calibri" w:hAnsi="Calibri"/>
                <w:i/>
                <w:iCs/>
                <w:sz w:val="20"/>
                <w:szCs w:val="20"/>
              </w:rPr>
              <w:t>rapa</w:t>
            </w:r>
            <w:proofErr w:type="spellEnd"/>
            <w:r w:rsidRPr="008E058E">
              <w:rPr>
                <w:rFonts w:ascii="Calibri" w:hAnsi="Calibri"/>
                <w:sz w:val="20"/>
                <w:szCs w:val="20"/>
              </w:rPr>
              <w:t xml:space="preserve"> (wild turnip) is considered an agricultural weed in Australia, glyphosate resistant </w:t>
            </w:r>
            <w:r w:rsidRPr="008E058E">
              <w:rPr>
                <w:rFonts w:ascii="Calibri" w:hAnsi="Calibri"/>
                <w:i/>
                <w:iCs/>
                <w:sz w:val="20"/>
                <w:szCs w:val="20"/>
              </w:rPr>
              <w:t xml:space="preserve">B. </w:t>
            </w:r>
            <w:proofErr w:type="spellStart"/>
            <w:r w:rsidRPr="008E058E">
              <w:rPr>
                <w:rFonts w:ascii="Calibri" w:hAnsi="Calibri"/>
                <w:i/>
                <w:iCs/>
                <w:sz w:val="20"/>
                <w:szCs w:val="20"/>
              </w:rPr>
              <w:t>rapa</w:t>
            </w:r>
            <w:proofErr w:type="spellEnd"/>
            <w:r w:rsidRPr="008E058E">
              <w:rPr>
                <w:rFonts w:ascii="Calibri" w:hAnsi="Calibri"/>
                <w:sz w:val="20"/>
                <w:szCs w:val="20"/>
              </w:rPr>
              <w:t xml:space="preserve"> still has not been reported following 1</w:t>
            </w:r>
            <w:r>
              <w:rPr>
                <w:rFonts w:ascii="Calibri" w:hAnsi="Calibri"/>
                <w:sz w:val="20"/>
                <w:szCs w:val="20"/>
              </w:rPr>
              <w:t>6</w:t>
            </w:r>
            <w:r w:rsidRPr="008E058E">
              <w:rPr>
                <w:rFonts w:ascii="Calibri" w:hAnsi="Calibri"/>
                <w:sz w:val="20"/>
                <w:szCs w:val="20"/>
              </w:rPr>
              <w:t xml:space="preserve"> years of large-scale commercial cultivation of glyphosate tolerant canola. </w:t>
            </w:r>
          </w:p>
          <w:p w14:paraId="1C766669"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 xml:space="preserve">Discussion of potential for unintended effects on fitness of GM plants expressing introduced </w:t>
            </w:r>
            <w:proofErr w:type="spellStart"/>
            <w:r w:rsidRPr="008E058E">
              <w:rPr>
                <w:rFonts w:ascii="Calibri" w:hAnsi="Calibri"/>
                <w:i/>
                <w:iCs/>
                <w:sz w:val="20"/>
                <w:szCs w:val="20"/>
              </w:rPr>
              <w:t>epsps</w:t>
            </w:r>
            <w:proofErr w:type="spellEnd"/>
            <w:r w:rsidRPr="008E058E">
              <w:rPr>
                <w:rFonts w:ascii="Calibri" w:hAnsi="Calibri"/>
                <w:sz w:val="20"/>
                <w:szCs w:val="20"/>
              </w:rPr>
              <w:t xml:space="preserve"> genes is included in par 31. </w:t>
            </w:r>
          </w:p>
          <w:p w14:paraId="0543826B"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 xml:space="preserve">Discussion of gene flow from glyphosate tolerant canola to </w:t>
            </w:r>
            <w:r>
              <w:rPr>
                <w:rFonts w:ascii="Calibri" w:hAnsi="Calibri"/>
                <w:sz w:val="20"/>
                <w:szCs w:val="20"/>
              </w:rPr>
              <w:t xml:space="preserve">wild </w:t>
            </w:r>
            <w:r w:rsidRPr="008E058E">
              <w:rPr>
                <w:rFonts w:ascii="Calibri" w:hAnsi="Calibri"/>
                <w:i/>
                <w:iCs/>
                <w:sz w:val="20"/>
                <w:szCs w:val="20"/>
              </w:rPr>
              <w:t>B. </w:t>
            </w:r>
            <w:proofErr w:type="spellStart"/>
            <w:r w:rsidRPr="008E058E">
              <w:rPr>
                <w:rFonts w:ascii="Calibri" w:hAnsi="Calibri"/>
                <w:i/>
                <w:iCs/>
                <w:sz w:val="20"/>
                <w:szCs w:val="20"/>
              </w:rPr>
              <w:t>rapa</w:t>
            </w:r>
            <w:proofErr w:type="spellEnd"/>
            <w:r w:rsidRPr="008E058E">
              <w:rPr>
                <w:rFonts w:ascii="Calibri" w:hAnsi="Calibri"/>
                <w:sz w:val="20"/>
                <w:szCs w:val="20"/>
              </w:rPr>
              <w:t xml:space="preserve"> has been added to </w:t>
            </w:r>
            <w:r>
              <w:rPr>
                <w:rFonts w:ascii="Calibri" w:hAnsi="Calibri"/>
                <w:sz w:val="20"/>
                <w:szCs w:val="20"/>
              </w:rPr>
              <w:t xml:space="preserve">par 40 (previously </w:t>
            </w:r>
            <w:r w:rsidRPr="008E058E">
              <w:rPr>
                <w:rFonts w:ascii="Calibri" w:hAnsi="Calibri"/>
                <w:sz w:val="20"/>
                <w:szCs w:val="20"/>
              </w:rPr>
              <w:t>par 39</w:t>
            </w:r>
            <w:r>
              <w:rPr>
                <w:rFonts w:ascii="Calibri" w:hAnsi="Calibri"/>
                <w:sz w:val="20"/>
                <w:szCs w:val="20"/>
              </w:rPr>
              <w:t>)</w:t>
            </w:r>
            <w:r w:rsidRPr="008E058E">
              <w:rPr>
                <w:rFonts w:ascii="Calibri" w:hAnsi="Calibri"/>
                <w:sz w:val="20"/>
                <w:szCs w:val="20"/>
              </w:rPr>
              <w:t xml:space="preserve">. </w:t>
            </w:r>
          </w:p>
          <w:p w14:paraId="09EF0629" w14:textId="77777777" w:rsidR="0003149D" w:rsidRPr="008E058E" w:rsidRDefault="0003149D" w:rsidP="00D11F99">
            <w:pPr>
              <w:spacing w:before="60" w:after="60"/>
              <w:ind w:left="113"/>
              <w:rPr>
                <w:rFonts w:ascii="Calibri" w:hAnsi="Calibri"/>
                <w:sz w:val="20"/>
                <w:szCs w:val="20"/>
              </w:rPr>
            </w:pPr>
            <w:r>
              <w:rPr>
                <w:rFonts w:ascii="Calibri" w:hAnsi="Calibri"/>
                <w:sz w:val="20"/>
                <w:szCs w:val="20"/>
              </w:rPr>
              <w:t>The conclusion of the RARMP is minimal risk rather than zero risk. No activity, with GMOs or otherwise can be assessed to have zero risk.</w:t>
            </w:r>
          </w:p>
        </w:tc>
      </w:tr>
      <w:tr w:rsidR="00405AD4" w:rsidRPr="002B06FF" w14:paraId="3747B0AF" w14:textId="77777777" w:rsidTr="00120DD5">
        <w:tc>
          <w:tcPr>
            <w:tcW w:w="684" w:type="pct"/>
            <w:vMerge/>
          </w:tcPr>
          <w:p w14:paraId="7BC3F4AE" w14:textId="77777777" w:rsidR="0003149D"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4" w:space="0" w:color="auto"/>
              <w:left w:val="nil"/>
            </w:tcBorders>
          </w:tcPr>
          <w:p w14:paraId="278EAE20" w14:textId="77777777" w:rsidR="0003149D" w:rsidRPr="008E058E" w:rsidRDefault="0003149D" w:rsidP="00D11F99">
            <w:pPr>
              <w:pStyle w:val="NormalWeb"/>
              <w:spacing w:before="60" w:after="60"/>
              <w:ind w:left="113" w:right="240"/>
              <w:rPr>
                <w:rFonts w:ascii="Calibri" w:hAnsi="Calibri" w:cs="Calibri"/>
                <w:b/>
                <w:bCs/>
                <w:sz w:val="20"/>
              </w:rPr>
            </w:pPr>
            <w:r w:rsidRPr="008E058E">
              <w:rPr>
                <w:rFonts w:ascii="Calibri" w:hAnsi="Calibri" w:cs="Calibri"/>
                <w:b/>
                <w:bCs/>
                <w:sz w:val="20"/>
              </w:rPr>
              <w:t xml:space="preserve">Lack of environmental risk assessment data </w:t>
            </w:r>
          </w:p>
          <w:p w14:paraId="27BABF4B" w14:textId="77777777" w:rsidR="0003149D" w:rsidRPr="008E058E" w:rsidRDefault="0003149D" w:rsidP="00D11F99">
            <w:pPr>
              <w:pStyle w:val="NormalWeb"/>
              <w:spacing w:before="60" w:after="60"/>
              <w:ind w:left="113" w:right="240"/>
              <w:rPr>
                <w:rFonts w:ascii="Calibri" w:hAnsi="Calibri" w:cs="Calibri"/>
                <w:b/>
                <w:bCs/>
                <w:sz w:val="20"/>
              </w:rPr>
            </w:pPr>
            <w:r w:rsidRPr="008E058E">
              <w:rPr>
                <w:rFonts w:ascii="Calibri" w:hAnsi="Calibri" w:cs="Calibri"/>
                <w:sz w:val="20"/>
              </w:rPr>
              <w:t xml:space="preserve">Notes that the reports cited (par 40 and 42) assessed safety to humans and animals from use of GM canola as food or feed only and requests that the RARMP clarify that the reports </w:t>
            </w:r>
            <w:bookmarkStart w:id="19" w:name="_Hlk108795534"/>
            <w:r w:rsidRPr="008E058E">
              <w:rPr>
                <w:rFonts w:ascii="Calibri" w:hAnsi="Calibri" w:cs="Calibri"/>
                <w:sz w:val="20"/>
              </w:rPr>
              <w:t>did not assess risks to the environment and therefore cannot be used to conclude on or demonstrate safety to the environment.</w:t>
            </w:r>
            <w:bookmarkEnd w:id="19"/>
          </w:p>
        </w:tc>
        <w:tc>
          <w:tcPr>
            <w:tcW w:w="1863" w:type="pct"/>
            <w:tcBorders>
              <w:top w:val="single" w:sz="4" w:space="0" w:color="auto"/>
              <w:left w:val="nil"/>
            </w:tcBorders>
          </w:tcPr>
          <w:p w14:paraId="42496687" w14:textId="77777777" w:rsidR="0003149D" w:rsidRPr="008E058E" w:rsidRDefault="0003149D" w:rsidP="00D11F99">
            <w:pPr>
              <w:spacing w:before="60" w:after="60"/>
              <w:ind w:left="113"/>
              <w:rPr>
                <w:rFonts w:ascii="Calibri" w:hAnsi="Calibri"/>
                <w:sz w:val="20"/>
                <w:szCs w:val="20"/>
              </w:rPr>
            </w:pPr>
          </w:p>
          <w:p w14:paraId="14EF316C"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 xml:space="preserve">Text to reflect this </w:t>
            </w:r>
            <w:r>
              <w:rPr>
                <w:rFonts w:ascii="Calibri" w:hAnsi="Calibri"/>
                <w:sz w:val="20"/>
                <w:szCs w:val="20"/>
              </w:rPr>
              <w:t xml:space="preserve">has been </w:t>
            </w:r>
            <w:r w:rsidRPr="008E058E">
              <w:rPr>
                <w:rFonts w:ascii="Calibri" w:hAnsi="Calibri"/>
                <w:sz w:val="20"/>
                <w:szCs w:val="20"/>
              </w:rPr>
              <w:t xml:space="preserve">included in </w:t>
            </w:r>
            <w:r>
              <w:rPr>
                <w:rFonts w:ascii="Calibri" w:hAnsi="Calibri"/>
                <w:sz w:val="20"/>
                <w:szCs w:val="20"/>
              </w:rPr>
              <w:t xml:space="preserve">par 41 (previously </w:t>
            </w:r>
            <w:r w:rsidRPr="008E058E">
              <w:rPr>
                <w:rFonts w:ascii="Calibri" w:hAnsi="Calibri"/>
                <w:sz w:val="20"/>
                <w:szCs w:val="20"/>
              </w:rPr>
              <w:t>par 40</w:t>
            </w:r>
            <w:r>
              <w:rPr>
                <w:rFonts w:ascii="Calibri" w:hAnsi="Calibri"/>
                <w:sz w:val="20"/>
                <w:szCs w:val="20"/>
              </w:rPr>
              <w:t>)</w:t>
            </w:r>
            <w:r w:rsidRPr="008E058E">
              <w:rPr>
                <w:rFonts w:ascii="Calibri" w:hAnsi="Calibri"/>
                <w:sz w:val="20"/>
                <w:szCs w:val="20"/>
              </w:rPr>
              <w:t>.</w:t>
            </w:r>
          </w:p>
        </w:tc>
      </w:tr>
      <w:tr w:rsidR="00405AD4" w:rsidRPr="002B06FF" w14:paraId="5177EC14" w14:textId="77777777" w:rsidTr="00120DD5">
        <w:tc>
          <w:tcPr>
            <w:tcW w:w="684" w:type="pct"/>
            <w:vMerge/>
          </w:tcPr>
          <w:p w14:paraId="5452091B" w14:textId="77777777" w:rsidR="0003149D" w:rsidRDefault="0003149D" w:rsidP="00D11F99">
            <w:pPr>
              <w:numPr>
                <w:ilvl w:val="12"/>
                <w:numId w:val="0"/>
              </w:numPr>
              <w:spacing w:before="60" w:after="60"/>
              <w:jc w:val="center"/>
              <w:rPr>
                <w:rFonts w:ascii="Calibri" w:hAnsi="Calibri" w:cs="Calibri"/>
                <w:sz w:val="20"/>
                <w:szCs w:val="20"/>
              </w:rPr>
            </w:pPr>
          </w:p>
        </w:tc>
        <w:tc>
          <w:tcPr>
            <w:tcW w:w="2453" w:type="pct"/>
            <w:tcBorders>
              <w:left w:val="nil"/>
              <w:bottom w:val="single" w:sz="4" w:space="0" w:color="auto"/>
            </w:tcBorders>
          </w:tcPr>
          <w:p w14:paraId="6A344159" w14:textId="77777777" w:rsidR="0003149D" w:rsidRPr="00CE73D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szCs w:val="20"/>
              </w:rPr>
              <w:t xml:space="preserve">Also recommends that the Regulator establishes a mechanism to ensure that any adverse effects, unintended </w:t>
            </w:r>
            <w:proofErr w:type="gramStart"/>
            <w:r w:rsidRPr="008E058E">
              <w:rPr>
                <w:rFonts w:ascii="Calibri" w:hAnsi="Calibri" w:cs="Calibri"/>
                <w:sz w:val="20"/>
                <w:szCs w:val="20"/>
              </w:rPr>
              <w:t>events</w:t>
            </w:r>
            <w:proofErr w:type="gramEnd"/>
            <w:r w:rsidRPr="008E058E">
              <w:rPr>
                <w:rFonts w:ascii="Calibri" w:hAnsi="Calibri" w:cs="Calibri"/>
                <w:sz w:val="20"/>
                <w:szCs w:val="20"/>
              </w:rPr>
              <w:t xml:space="preserve"> or new information related to risks are reported to the OGTR, such as through conditions on the Register or other means, so that the Regulator remains informed regarding any ongoing potential risks and can respond through potentially amending the listing on the register if needed.</w:t>
            </w:r>
          </w:p>
        </w:tc>
        <w:tc>
          <w:tcPr>
            <w:tcW w:w="1863" w:type="pct"/>
            <w:tcBorders>
              <w:left w:val="nil"/>
              <w:bottom w:val="single" w:sz="4" w:space="0" w:color="auto"/>
            </w:tcBorders>
          </w:tcPr>
          <w:p w14:paraId="71BBECCA" w14:textId="77777777" w:rsidR="0003149D" w:rsidRDefault="0003149D" w:rsidP="00D11F99">
            <w:pPr>
              <w:spacing w:before="60" w:after="60"/>
              <w:ind w:left="113"/>
              <w:rPr>
                <w:rFonts w:ascii="Calibri" w:hAnsi="Calibri"/>
                <w:sz w:val="20"/>
                <w:szCs w:val="20"/>
              </w:rPr>
            </w:pPr>
            <w:r>
              <w:rPr>
                <w:rFonts w:ascii="Calibri" w:hAnsi="Calibri" w:cs="Calibri"/>
                <w:sz w:val="20"/>
                <w:szCs w:val="20"/>
              </w:rPr>
              <w:t xml:space="preserve">The OGTR continuously monitors information and scientific literature related to GMOs. </w:t>
            </w:r>
            <w:r w:rsidRPr="008E058E">
              <w:rPr>
                <w:rFonts w:ascii="Calibri" w:hAnsi="Calibri"/>
                <w:sz w:val="20"/>
                <w:szCs w:val="20"/>
              </w:rPr>
              <w:t xml:space="preserve"> If required, the Regulator may vary the GMO Register under Section 80 of the Act – see the response to Submission 3 for more detail.</w:t>
            </w:r>
          </w:p>
        </w:tc>
      </w:tr>
      <w:tr w:rsidR="00405AD4" w:rsidRPr="002B06FF" w14:paraId="6BA65EEF" w14:textId="77777777" w:rsidTr="00120DD5">
        <w:tc>
          <w:tcPr>
            <w:tcW w:w="684" w:type="pct"/>
            <w:tcBorders>
              <w:bottom w:val="single" w:sz="4" w:space="0" w:color="auto"/>
            </w:tcBorders>
          </w:tcPr>
          <w:p w14:paraId="00A8AE49" w14:textId="77777777" w:rsidR="0003149D" w:rsidRDefault="0003149D" w:rsidP="00D11F99">
            <w:pPr>
              <w:numPr>
                <w:ilvl w:val="12"/>
                <w:numId w:val="0"/>
              </w:numPr>
              <w:spacing w:before="60" w:after="60"/>
              <w:jc w:val="center"/>
              <w:rPr>
                <w:rFonts w:ascii="Calibri" w:hAnsi="Calibri" w:cs="Calibri"/>
                <w:sz w:val="20"/>
                <w:szCs w:val="20"/>
              </w:rPr>
            </w:pPr>
          </w:p>
        </w:tc>
        <w:tc>
          <w:tcPr>
            <w:tcW w:w="2453" w:type="pct"/>
            <w:tcBorders>
              <w:top w:val="single" w:sz="4" w:space="0" w:color="auto"/>
              <w:left w:val="nil"/>
              <w:bottom w:val="single" w:sz="4" w:space="0" w:color="auto"/>
            </w:tcBorders>
          </w:tcPr>
          <w:p w14:paraId="6232D306" w14:textId="77777777" w:rsidR="0003149D" w:rsidRPr="008E058E" w:rsidRDefault="0003149D" w:rsidP="00D11F99">
            <w:pPr>
              <w:pStyle w:val="NormalWeb"/>
              <w:spacing w:before="60" w:after="60"/>
              <w:ind w:left="113" w:right="240"/>
              <w:rPr>
                <w:rFonts w:ascii="Calibri" w:hAnsi="Calibri" w:cs="Calibri"/>
                <w:b/>
                <w:bCs/>
                <w:sz w:val="20"/>
              </w:rPr>
            </w:pPr>
            <w:r w:rsidRPr="008E058E">
              <w:rPr>
                <w:rFonts w:ascii="Calibri" w:hAnsi="Calibri" w:cs="Calibri"/>
                <w:b/>
                <w:bCs/>
                <w:sz w:val="20"/>
              </w:rPr>
              <w:t xml:space="preserve">Proposed condition </w:t>
            </w:r>
          </w:p>
          <w:p w14:paraId="52D68956" w14:textId="77777777" w:rsidR="0003149D" w:rsidRPr="008E058E" w:rsidRDefault="0003149D" w:rsidP="00D11F99">
            <w:pPr>
              <w:pStyle w:val="NormalWeb"/>
              <w:spacing w:before="60" w:after="60"/>
              <w:ind w:left="113" w:right="240"/>
              <w:rPr>
                <w:rFonts w:ascii="Calibri" w:hAnsi="Calibri" w:cs="Calibri"/>
                <w:sz w:val="20"/>
                <w:szCs w:val="20"/>
              </w:rPr>
            </w:pPr>
            <w:r w:rsidRPr="008E058E">
              <w:rPr>
                <w:rFonts w:ascii="Calibri" w:hAnsi="Calibri" w:cs="Calibri"/>
                <w:sz w:val="20"/>
              </w:rPr>
              <w:t>Agrees that there are no reports on GM canola causing harm in the environment but there is also a lack of studies monitoring or investigating potential spread or impacts into the environment, particularly in Australia. Proposes the condition to ‘</w:t>
            </w:r>
            <w:r w:rsidRPr="008E058E">
              <w:rPr>
                <w:rFonts w:ascii="Calibri" w:hAnsi="Calibri" w:cs="Calibri"/>
                <w:i/>
                <w:iCs/>
                <w:sz w:val="20"/>
              </w:rPr>
              <w:t xml:space="preserve">continue to inform OGTR of any adverse effects, unintended events and any new information relevant to risk’ </w:t>
            </w:r>
            <w:r w:rsidRPr="008E058E">
              <w:rPr>
                <w:rFonts w:ascii="Calibri" w:hAnsi="Calibri" w:cs="Calibri"/>
                <w:sz w:val="20"/>
              </w:rPr>
              <w:t xml:space="preserve">be kept/added when GM canola is placed on the GMO Register to maintain oversight </w:t>
            </w:r>
            <w:proofErr w:type="gramStart"/>
            <w:r w:rsidRPr="008E058E">
              <w:rPr>
                <w:rFonts w:ascii="Calibri" w:hAnsi="Calibri" w:cs="Calibri"/>
                <w:sz w:val="20"/>
              </w:rPr>
              <w:t>in light of</w:t>
            </w:r>
            <w:proofErr w:type="gramEnd"/>
            <w:r w:rsidRPr="008E058E">
              <w:rPr>
                <w:rFonts w:ascii="Calibri" w:hAnsi="Calibri" w:cs="Calibri"/>
                <w:sz w:val="20"/>
              </w:rPr>
              <w:t xml:space="preserve"> some uncertainty regarding potential environmental risks.</w:t>
            </w:r>
          </w:p>
        </w:tc>
        <w:tc>
          <w:tcPr>
            <w:tcW w:w="1863" w:type="pct"/>
            <w:tcBorders>
              <w:top w:val="single" w:sz="4" w:space="0" w:color="auto"/>
              <w:left w:val="nil"/>
              <w:bottom w:val="single" w:sz="4" w:space="0" w:color="auto"/>
            </w:tcBorders>
          </w:tcPr>
          <w:p w14:paraId="0B5F8CB9" w14:textId="77777777" w:rsidR="0003149D" w:rsidRPr="008E058E" w:rsidRDefault="0003149D" w:rsidP="00D11F99">
            <w:pPr>
              <w:spacing w:before="60" w:after="60"/>
              <w:ind w:left="113"/>
              <w:rPr>
                <w:rFonts w:ascii="Calibri" w:hAnsi="Calibri"/>
                <w:sz w:val="20"/>
                <w:szCs w:val="20"/>
              </w:rPr>
            </w:pPr>
            <w:r w:rsidRPr="008E058E">
              <w:rPr>
                <w:rFonts w:ascii="Calibri" w:hAnsi="Calibri"/>
                <w:sz w:val="20"/>
                <w:szCs w:val="20"/>
              </w:rPr>
              <w:t xml:space="preserve">The RARMP concludes that </w:t>
            </w:r>
            <w:r w:rsidRPr="008E058E">
              <w:rPr>
                <w:rFonts w:ascii="Calibri" w:hAnsi="Calibri"/>
                <w:sz w:val="20"/>
                <w:szCs w:val="20"/>
                <w:lang w:val="en"/>
              </w:rPr>
              <w:t xml:space="preserve">the dealings with </w:t>
            </w:r>
            <w:r w:rsidRPr="008E058E">
              <w:rPr>
                <w:rFonts w:ascii="Calibri" w:hAnsi="Calibri"/>
                <w:sz w:val="20"/>
                <w:szCs w:val="20"/>
              </w:rPr>
              <w:t xml:space="preserve">MON-ØØØ73-7 canola </w:t>
            </w:r>
            <w:r w:rsidRPr="008E058E">
              <w:rPr>
                <w:rFonts w:ascii="Calibri" w:hAnsi="Calibri"/>
                <w:sz w:val="20"/>
                <w:szCs w:val="20"/>
                <w:lang w:val="en"/>
              </w:rPr>
              <w:t>represent minimal risk to human health and the environment. As neither the literature nor the practical experience indicates greater than negligible risk, no conditions are imposed at this stage for inclusion of the dealings on the Register.</w:t>
            </w:r>
          </w:p>
        </w:tc>
      </w:tr>
    </w:tbl>
    <w:p w14:paraId="6894ECD6" w14:textId="77777777" w:rsidR="0003149D" w:rsidRDefault="0003149D" w:rsidP="0003149D"/>
    <w:p w14:paraId="7317762A" w14:textId="77777777" w:rsidR="003F21FA" w:rsidRDefault="003F21FA" w:rsidP="003F21FA"/>
    <w:p w14:paraId="0700FF03" w14:textId="77777777" w:rsidR="003F21FA" w:rsidRDefault="003F21FA" w:rsidP="002C7026">
      <w:pPr>
        <w:rPr>
          <w:color w:val="FF0000"/>
        </w:rPr>
        <w:sectPr w:rsidR="003F21FA" w:rsidSect="009F544D">
          <w:pgSz w:w="11906" w:h="16838"/>
          <w:pgMar w:top="1134" w:right="1134" w:bottom="1134" w:left="1134" w:header="709" w:footer="709" w:gutter="0"/>
          <w:cols w:space="708"/>
          <w:docGrid w:linePitch="360"/>
        </w:sectPr>
      </w:pPr>
    </w:p>
    <w:p w14:paraId="4BEF79B1" w14:textId="77777777" w:rsidR="003F21FA" w:rsidRPr="00FC27AB" w:rsidRDefault="003F21FA" w:rsidP="003F21FA">
      <w:pPr>
        <w:pStyle w:val="Heading2"/>
        <w:numPr>
          <w:ilvl w:val="0"/>
          <w:numId w:val="0"/>
        </w:numPr>
        <w:spacing w:after="240"/>
      </w:pPr>
      <w:r w:rsidRPr="00FC27AB">
        <w:t>Appendix B: Summary of submissions from the public on the consultation RARMP</w:t>
      </w:r>
    </w:p>
    <w:p w14:paraId="3D1C6673" w14:textId="26FDAC77" w:rsidR="003F21FA" w:rsidRPr="00FC27AB" w:rsidRDefault="003F21FA" w:rsidP="003F21FA">
      <w:pPr>
        <w:rPr>
          <w:rFonts w:ascii="Calibri" w:hAnsi="Calibri" w:cs="Calibri"/>
        </w:rPr>
      </w:pPr>
      <w:r w:rsidRPr="00FC27AB">
        <w:rPr>
          <w:rFonts w:ascii="Calibri" w:hAnsi="Calibri" w:cs="Calibri"/>
        </w:rPr>
        <w:t>The Regulator received 1</w:t>
      </w:r>
      <w:r w:rsidR="002E6A4E">
        <w:rPr>
          <w:rFonts w:ascii="Calibri" w:hAnsi="Calibri" w:cs="Calibri"/>
        </w:rPr>
        <w:t>0</w:t>
      </w:r>
      <w:r w:rsidRPr="00FC27AB">
        <w:rPr>
          <w:rFonts w:ascii="Calibri" w:hAnsi="Calibri" w:cs="Calibri"/>
        </w:rPr>
        <w:t xml:space="preserve"> submissions from the public on the consultation RARMP. The issues raised in the submissions are summarised in the table below. All issues that related to risks to the health and safety of people and the environment were considered in the context of currently available scientific evidence in finalising the RARMP that formed the basis of the Regulator’s decision to include dealings with the GM canola on the GMO Register.</w:t>
      </w:r>
    </w:p>
    <w:tbl>
      <w:tblPr>
        <w:tblW w:w="9604" w:type="dxa"/>
        <w:tblInd w:w="30" w:type="dxa"/>
        <w:tblLayout w:type="fixed"/>
        <w:tblCellMar>
          <w:left w:w="30" w:type="dxa"/>
          <w:right w:w="30" w:type="dxa"/>
        </w:tblCellMar>
        <w:tblLook w:val="0000" w:firstRow="0" w:lastRow="0" w:firstColumn="0" w:lastColumn="0" w:noHBand="0" w:noVBand="0"/>
      </w:tblPr>
      <w:tblGrid>
        <w:gridCol w:w="1246"/>
        <w:gridCol w:w="4961"/>
        <w:gridCol w:w="3397"/>
      </w:tblGrid>
      <w:tr w:rsidR="006A51E9" w:rsidRPr="002B06FF" w14:paraId="783DB8BA" w14:textId="77777777" w:rsidTr="00EF21D7">
        <w:trPr>
          <w:cantSplit/>
          <w:trHeight w:val="20"/>
          <w:tblHeader/>
        </w:trPr>
        <w:tc>
          <w:tcPr>
            <w:tcW w:w="1246" w:type="dxa"/>
            <w:tcBorders>
              <w:top w:val="single" w:sz="6" w:space="0" w:color="auto"/>
              <w:bottom w:val="single" w:sz="6" w:space="0" w:color="auto"/>
            </w:tcBorders>
            <w:shd w:val="clear" w:color="auto" w:fill="D9D9D9" w:themeFill="background1" w:themeFillShade="D9"/>
          </w:tcPr>
          <w:p w14:paraId="79EB3DA5" w14:textId="77777777" w:rsidR="00897C23" w:rsidRPr="002B06FF" w:rsidRDefault="00897C23" w:rsidP="00D11F99">
            <w:pPr>
              <w:jc w:val="center"/>
              <w:rPr>
                <w:rFonts w:ascii="Calibri" w:hAnsi="Calibri" w:cs="Calibri"/>
                <w:b/>
                <w:sz w:val="20"/>
                <w:szCs w:val="20"/>
              </w:rPr>
            </w:pPr>
            <w:r w:rsidRPr="002B06FF">
              <w:rPr>
                <w:rFonts w:ascii="Calibri" w:hAnsi="Calibri" w:cs="Calibri"/>
                <w:b/>
                <w:sz w:val="20"/>
                <w:szCs w:val="20"/>
              </w:rPr>
              <w:t>Sub</w:t>
            </w:r>
            <w:r>
              <w:rPr>
                <w:rFonts w:ascii="Calibri" w:hAnsi="Calibri" w:cs="Calibri"/>
                <w:b/>
                <w:sz w:val="20"/>
                <w:szCs w:val="20"/>
              </w:rPr>
              <w:t>mission</w:t>
            </w:r>
          </w:p>
        </w:tc>
        <w:tc>
          <w:tcPr>
            <w:tcW w:w="4961" w:type="dxa"/>
            <w:tcBorders>
              <w:top w:val="single" w:sz="6" w:space="0" w:color="auto"/>
              <w:bottom w:val="single" w:sz="6" w:space="0" w:color="auto"/>
            </w:tcBorders>
            <w:shd w:val="clear" w:color="auto" w:fill="D9D9D9" w:themeFill="background1" w:themeFillShade="D9"/>
            <w:vAlign w:val="center"/>
          </w:tcPr>
          <w:p w14:paraId="50A8DBA6" w14:textId="77777777" w:rsidR="00897C23" w:rsidRPr="002B06FF" w:rsidRDefault="00897C23" w:rsidP="00D11F99">
            <w:pPr>
              <w:jc w:val="center"/>
              <w:rPr>
                <w:rFonts w:ascii="Calibri" w:hAnsi="Calibri" w:cs="Calibri"/>
                <w:b/>
                <w:sz w:val="20"/>
                <w:szCs w:val="20"/>
              </w:rPr>
            </w:pPr>
            <w:r w:rsidRPr="002B06FF">
              <w:rPr>
                <w:rFonts w:ascii="Calibri" w:hAnsi="Calibri" w:cs="Calibri"/>
                <w:b/>
                <w:sz w:val="20"/>
                <w:szCs w:val="20"/>
              </w:rPr>
              <w:t>Summary of issues raised</w:t>
            </w:r>
          </w:p>
        </w:tc>
        <w:tc>
          <w:tcPr>
            <w:tcW w:w="3397" w:type="dxa"/>
            <w:tcBorders>
              <w:top w:val="single" w:sz="6" w:space="0" w:color="auto"/>
              <w:bottom w:val="single" w:sz="6" w:space="0" w:color="auto"/>
            </w:tcBorders>
            <w:shd w:val="clear" w:color="auto" w:fill="D9D9D9" w:themeFill="background1" w:themeFillShade="D9"/>
            <w:vAlign w:val="center"/>
          </w:tcPr>
          <w:p w14:paraId="78FF611E" w14:textId="77777777" w:rsidR="00897C23" w:rsidRPr="002B06FF" w:rsidRDefault="00897C23" w:rsidP="00D11F99">
            <w:pPr>
              <w:jc w:val="center"/>
              <w:rPr>
                <w:rFonts w:ascii="Calibri" w:hAnsi="Calibri" w:cs="Calibri"/>
                <w:b/>
                <w:sz w:val="20"/>
                <w:szCs w:val="20"/>
              </w:rPr>
            </w:pPr>
            <w:r w:rsidRPr="002B06FF">
              <w:rPr>
                <w:rFonts w:ascii="Calibri" w:hAnsi="Calibri" w:cs="Calibri"/>
                <w:b/>
                <w:sz w:val="20"/>
                <w:szCs w:val="20"/>
              </w:rPr>
              <w:t>Comment</w:t>
            </w:r>
          </w:p>
        </w:tc>
      </w:tr>
      <w:tr w:rsidR="006A51E9" w:rsidRPr="002B06FF" w14:paraId="3D2CD744" w14:textId="77777777" w:rsidTr="00EF21D7">
        <w:tc>
          <w:tcPr>
            <w:tcW w:w="1246" w:type="dxa"/>
            <w:tcBorders>
              <w:top w:val="single" w:sz="6" w:space="0" w:color="auto"/>
            </w:tcBorders>
          </w:tcPr>
          <w:p w14:paraId="72E4A915"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1</w:t>
            </w:r>
          </w:p>
          <w:p w14:paraId="49379206" w14:textId="77777777" w:rsidR="00897C23" w:rsidRPr="002B06FF"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6" w:space="0" w:color="auto"/>
              <w:bottom w:val="single" w:sz="4" w:space="0" w:color="auto"/>
            </w:tcBorders>
          </w:tcPr>
          <w:p w14:paraId="73E9D2B5"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Asks whether the safety studies on the mRNA and DNA spike producing vaccines have been done.</w:t>
            </w:r>
          </w:p>
        </w:tc>
        <w:tc>
          <w:tcPr>
            <w:tcW w:w="3397" w:type="dxa"/>
            <w:tcBorders>
              <w:top w:val="single" w:sz="6" w:space="0" w:color="auto"/>
              <w:bottom w:val="single" w:sz="4" w:space="0" w:color="auto"/>
            </w:tcBorders>
          </w:tcPr>
          <w:p w14:paraId="6C45647C"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The initiative to include dealings on the GMO Register is for a GM canola and not for GM vaccines.</w:t>
            </w:r>
          </w:p>
        </w:tc>
      </w:tr>
      <w:tr w:rsidR="006A51E9" w:rsidRPr="002B06FF" w14:paraId="385FA369" w14:textId="77777777" w:rsidTr="00EF21D7">
        <w:tc>
          <w:tcPr>
            <w:tcW w:w="1246" w:type="dxa"/>
            <w:tcBorders>
              <w:bottom w:val="single" w:sz="6" w:space="0" w:color="auto"/>
            </w:tcBorders>
          </w:tcPr>
          <w:p w14:paraId="7C4B2D08"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bottom w:val="single" w:sz="6" w:space="0" w:color="auto"/>
            </w:tcBorders>
          </w:tcPr>
          <w:p w14:paraId="6B0B8A3C"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Asserts that double standards of stifling agricultural development are repulsive to champions in agriculture who would have liked to have seen many more safe biotech traits assist agriculture by now.</w:t>
            </w:r>
          </w:p>
        </w:tc>
        <w:tc>
          <w:tcPr>
            <w:tcW w:w="3397" w:type="dxa"/>
            <w:tcBorders>
              <w:top w:val="single" w:sz="4" w:space="0" w:color="auto"/>
              <w:bottom w:val="single" w:sz="6" w:space="0" w:color="auto"/>
            </w:tcBorders>
          </w:tcPr>
          <w:p w14:paraId="34C3033A"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tc>
      </w:tr>
      <w:tr w:rsidR="006A51E9" w:rsidRPr="002B06FF" w14:paraId="2EBD104D" w14:textId="77777777" w:rsidTr="00EF21D7">
        <w:tc>
          <w:tcPr>
            <w:tcW w:w="1246" w:type="dxa"/>
            <w:tcBorders>
              <w:top w:val="single" w:sz="6" w:space="0" w:color="auto"/>
              <w:bottom w:val="single" w:sz="6" w:space="0" w:color="auto"/>
            </w:tcBorders>
          </w:tcPr>
          <w:p w14:paraId="480CB6BB"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2</w:t>
            </w:r>
          </w:p>
        </w:tc>
        <w:tc>
          <w:tcPr>
            <w:tcW w:w="4961" w:type="dxa"/>
            <w:tcBorders>
              <w:top w:val="single" w:sz="6" w:space="0" w:color="auto"/>
              <w:bottom w:val="single" w:sz="4" w:space="0" w:color="auto"/>
            </w:tcBorders>
          </w:tcPr>
          <w:p w14:paraId="2ACAF7A1"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Asks to stop interfering with humans and nature.</w:t>
            </w:r>
          </w:p>
        </w:tc>
        <w:tc>
          <w:tcPr>
            <w:tcW w:w="3397" w:type="dxa"/>
            <w:tcBorders>
              <w:top w:val="single" w:sz="6" w:space="0" w:color="auto"/>
              <w:bottom w:val="single" w:sz="6" w:space="0" w:color="auto"/>
            </w:tcBorders>
          </w:tcPr>
          <w:p w14:paraId="478AB135"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tc>
      </w:tr>
      <w:tr w:rsidR="006A51E9" w:rsidRPr="002B06FF" w14:paraId="1CB95AA7" w14:textId="77777777" w:rsidTr="00EF21D7">
        <w:tc>
          <w:tcPr>
            <w:tcW w:w="1246" w:type="dxa"/>
            <w:tcBorders>
              <w:top w:val="single" w:sz="6" w:space="0" w:color="auto"/>
            </w:tcBorders>
          </w:tcPr>
          <w:p w14:paraId="26272FD8"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3</w:t>
            </w:r>
          </w:p>
        </w:tc>
        <w:tc>
          <w:tcPr>
            <w:tcW w:w="4961" w:type="dxa"/>
            <w:tcBorders>
              <w:top w:val="single" w:sz="4" w:space="0" w:color="auto"/>
              <w:bottom w:val="single" w:sz="6" w:space="0" w:color="auto"/>
            </w:tcBorders>
          </w:tcPr>
          <w:p w14:paraId="1F78DEFC" w14:textId="6AA3B61B" w:rsidR="00897C23" w:rsidRPr="00F56B33" w:rsidRDefault="00897C23" w:rsidP="006A51E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Notes that there is no evidence to suggest any risk to the environment associated with a potential overreliance on MON-ØØØ73-7 canola, or </w:t>
            </w:r>
            <w:r>
              <w:rPr>
                <w:rFonts w:ascii="Calibri" w:eastAsia="Times New Roman" w:hAnsi="Calibri" w:cs="Calibri"/>
                <w:sz w:val="20"/>
              </w:rPr>
              <w:t xml:space="preserve">that </w:t>
            </w:r>
            <w:r w:rsidRPr="00F56B33">
              <w:rPr>
                <w:rFonts w:ascii="Calibri" w:eastAsia="Times New Roman" w:hAnsi="Calibri" w:cs="Calibri"/>
                <w:sz w:val="20"/>
              </w:rPr>
              <w:t>the use of MON-ØØØ73-7 canola has contributed to any increased occurrence of glyphosate resistant weed populations. Supports the inclusion of MON-ØØØ73-7 canola on the GM register.</w:t>
            </w:r>
          </w:p>
        </w:tc>
        <w:tc>
          <w:tcPr>
            <w:tcW w:w="3397" w:type="dxa"/>
            <w:tcBorders>
              <w:top w:val="single" w:sz="6" w:space="0" w:color="auto"/>
              <w:bottom w:val="single" w:sz="6" w:space="0" w:color="auto"/>
            </w:tcBorders>
          </w:tcPr>
          <w:p w14:paraId="7B0F23EA"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p w14:paraId="0EE1B4F5" w14:textId="77777777" w:rsidR="00897C23" w:rsidRPr="00F56B33" w:rsidRDefault="00897C23" w:rsidP="00D11F99">
            <w:pPr>
              <w:spacing w:before="60" w:after="60"/>
              <w:ind w:left="113"/>
              <w:rPr>
                <w:rFonts w:ascii="Calibri" w:hAnsi="Calibri" w:cs="Calibri"/>
                <w:sz w:val="20"/>
                <w:szCs w:val="20"/>
              </w:rPr>
            </w:pPr>
          </w:p>
          <w:p w14:paraId="03E7D2AE" w14:textId="77777777" w:rsidR="00897C23" w:rsidRPr="00F56B33" w:rsidRDefault="00897C23" w:rsidP="00D11F99">
            <w:pPr>
              <w:spacing w:before="60" w:after="60"/>
              <w:ind w:left="113"/>
              <w:rPr>
                <w:rFonts w:ascii="Calibri" w:hAnsi="Calibri" w:cs="Calibri"/>
                <w:sz w:val="20"/>
                <w:szCs w:val="20"/>
              </w:rPr>
            </w:pPr>
          </w:p>
          <w:p w14:paraId="6F8A0F1C" w14:textId="77777777" w:rsidR="00897C23" w:rsidRPr="00F56B33" w:rsidRDefault="00897C23" w:rsidP="00D11F99">
            <w:pPr>
              <w:spacing w:before="60" w:after="60"/>
              <w:ind w:left="113"/>
              <w:rPr>
                <w:rFonts w:ascii="Calibri" w:hAnsi="Calibri" w:cs="Calibri"/>
                <w:sz w:val="20"/>
                <w:szCs w:val="20"/>
              </w:rPr>
            </w:pPr>
          </w:p>
          <w:p w14:paraId="2F16E76F" w14:textId="2F4D413F" w:rsidR="00897C23" w:rsidRPr="00F72662" w:rsidRDefault="00897C23" w:rsidP="006A51E9">
            <w:pPr>
              <w:spacing w:before="60" w:after="60"/>
              <w:rPr>
                <w:rFonts w:ascii="Calibri" w:hAnsi="Calibri" w:cs="Calibri"/>
                <w:sz w:val="20"/>
                <w:szCs w:val="20"/>
              </w:rPr>
            </w:pPr>
          </w:p>
        </w:tc>
      </w:tr>
      <w:tr w:rsidR="006A51E9" w:rsidRPr="002B06FF" w14:paraId="2AA72FB9" w14:textId="77777777" w:rsidTr="00EF21D7">
        <w:tc>
          <w:tcPr>
            <w:tcW w:w="1246" w:type="dxa"/>
            <w:tcBorders>
              <w:bottom w:val="single" w:sz="6" w:space="0" w:color="auto"/>
            </w:tcBorders>
          </w:tcPr>
          <w:p w14:paraId="2D5EC7A0" w14:textId="77777777" w:rsidR="006A51E9" w:rsidRDefault="006A51E9"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bottom w:val="single" w:sz="6" w:space="0" w:color="auto"/>
            </w:tcBorders>
          </w:tcPr>
          <w:p w14:paraId="281D0D35" w14:textId="0BD465C8" w:rsidR="006A51E9" w:rsidRPr="00F56B33" w:rsidRDefault="006A51E9"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Points out that well-developed industry stewardship programs, widely supported by growers for effective management of glyphosate resistance and the continued marketing of Australian canola requiring the segregation of GM and non-GM canola, are currently in place. Believes that there is no evidence that any further stewardship regulations are required or that growers and the wider industry are not capable of managing MON-ØØØ73-7 canola as part of a broader approach to integrated weed management.</w:t>
            </w:r>
          </w:p>
        </w:tc>
        <w:tc>
          <w:tcPr>
            <w:tcW w:w="3397" w:type="dxa"/>
            <w:tcBorders>
              <w:top w:val="single" w:sz="6" w:space="0" w:color="auto"/>
              <w:bottom w:val="single" w:sz="6" w:space="0" w:color="auto"/>
            </w:tcBorders>
          </w:tcPr>
          <w:p w14:paraId="7D907A0D" w14:textId="41CCD8BE" w:rsidR="006A51E9" w:rsidRPr="00F56B33" w:rsidRDefault="006A51E9" w:rsidP="00D11F99">
            <w:pPr>
              <w:spacing w:before="60" w:after="60"/>
              <w:ind w:left="113"/>
              <w:rPr>
                <w:rFonts w:ascii="Calibri" w:hAnsi="Calibri" w:cs="Calibri"/>
                <w:sz w:val="20"/>
                <w:szCs w:val="20"/>
              </w:rPr>
            </w:pPr>
            <w:r w:rsidRPr="00F56B33">
              <w:rPr>
                <w:rFonts w:ascii="Calibri" w:hAnsi="Calibri" w:cs="Calibri"/>
                <w:sz w:val="20"/>
                <w:szCs w:val="20"/>
              </w:rPr>
              <w:t>Noted.</w:t>
            </w:r>
          </w:p>
        </w:tc>
      </w:tr>
      <w:tr w:rsidR="006A51E9" w:rsidRPr="002B06FF" w14:paraId="43C1CBB1" w14:textId="77777777" w:rsidTr="00EF21D7">
        <w:tc>
          <w:tcPr>
            <w:tcW w:w="1246" w:type="dxa"/>
            <w:tcBorders>
              <w:top w:val="single" w:sz="6" w:space="0" w:color="auto"/>
            </w:tcBorders>
          </w:tcPr>
          <w:p w14:paraId="0DD77D88"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4</w:t>
            </w:r>
          </w:p>
        </w:tc>
        <w:tc>
          <w:tcPr>
            <w:tcW w:w="4961" w:type="dxa"/>
            <w:tcBorders>
              <w:top w:val="single" w:sz="6" w:space="0" w:color="auto"/>
              <w:left w:val="nil"/>
              <w:bottom w:val="single" w:sz="4" w:space="0" w:color="auto"/>
            </w:tcBorders>
          </w:tcPr>
          <w:p w14:paraId="1EF77B1D"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Understands that this is the first agricultural commodity to be included on the GMO Register. </w:t>
            </w:r>
          </w:p>
          <w:p w14:paraId="173ABD90"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Notes that considering a history of safe use, dealings with MON-ØØØ73-7 pose no additional risks to human health and safety or the environment compared to its conventional counterpart.</w:t>
            </w:r>
          </w:p>
        </w:tc>
        <w:tc>
          <w:tcPr>
            <w:tcW w:w="3397" w:type="dxa"/>
            <w:tcBorders>
              <w:top w:val="single" w:sz="6" w:space="0" w:color="auto"/>
              <w:left w:val="nil"/>
              <w:bottom w:val="single" w:sz="4" w:space="0" w:color="auto"/>
            </w:tcBorders>
          </w:tcPr>
          <w:p w14:paraId="4386EF5D"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p w14:paraId="2A99A983" w14:textId="77777777" w:rsidR="00897C23" w:rsidRPr="00F56B33" w:rsidRDefault="00897C23" w:rsidP="00D11F99">
            <w:pPr>
              <w:spacing w:before="60" w:after="60"/>
              <w:ind w:left="113"/>
              <w:rPr>
                <w:rFonts w:ascii="Calibri" w:hAnsi="Calibri" w:cs="Calibri"/>
                <w:sz w:val="20"/>
                <w:szCs w:val="20"/>
              </w:rPr>
            </w:pPr>
          </w:p>
          <w:p w14:paraId="6408E18D" w14:textId="77777777" w:rsidR="00897C23" w:rsidRPr="00F72662" w:rsidRDefault="00897C23" w:rsidP="00D11F99">
            <w:pPr>
              <w:spacing w:before="60" w:after="60"/>
              <w:ind w:left="113"/>
              <w:rPr>
                <w:rFonts w:ascii="Calibri" w:hAnsi="Calibri" w:cs="Calibri"/>
                <w:sz w:val="20"/>
                <w:szCs w:val="20"/>
              </w:rPr>
            </w:pPr>
          </w:p>
        </w:tc>
      </w:tr>
      <w:tr w:rsidR="006A51E9" w:rsidRPr="002B06FF" w14:paraId="0CADFF33" w14:textId="77777777" w:rsidTr="00EF21D7">
        <w:tc>
          <w:tcPr>
            <w:tcW w:w="1246" w:type="dxa"/>
            <w:tcBorders>
              <w:bottom w:val="single" w:sz="6" w:space="0" w:color="auto"/>
            </w:tcBorders>
          </w:tcPr>
          <w:p w14:paraId="7CB02D99"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6" w:space="0" w:color="auto"/>
            </w:tcBorders>
          </w:tcPr>
          <w:p w14:paraId="0DD240CB"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Also notes that placing certain products on the GMO Register may create complexities regarding ongoing stewardship needs but recognises the Regulator can only undertake a science-based risk assessment for the commercial release of a GMO.</w:t>
            </w:r>
          </w:p>
          <w:p w14:paraId="560C691D"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Encourages work with the relevant peak industry bodies and grower groups to ensure understanding of product sustainability and trade-related implications of placing agricultural commodities on the GMO Register. Indicates a need to consider notifying key trading partners of the proposed regulatory changes before making them public.</w:t>
            </w:r>
          </w:p>
        </w:tc>
        <w:tc>
          <w:tcPr>
            <w:tcW w:w="3397" w:type="dxa"/>
            <w:tcBorders>
              <w:top w:val="single" w:sz="4" w:space="0" w:color="auto"/>
              <w:left w:val="nil"/>
              <w:bottom w:val="single" w:sz="6" w:space="0" w:color="auto"/>
            </w:tcBorders>
          </w:tcPr>
          <w:p w14:paraId="35294E4F" w14:textId="77777777" w:rsidR="00897C23" w:rsidRPr="00F56B33" w:rsidRDefault="00897C23" w:rsidP="00D11F99">
            <w:pPr>
              <w:spacing w:before="60" w:after="60"/>
              <w:ind w:left="113"/>
              <w:rPr>
                <w:rFonts w:ascii="Calibri" w:hAnsi="Calibri" w:cs="Calibri"/>
                <w:sz w:val="20"/>
                <w:szCs w:val="20"/>
                <w:lang w:val="en-US"/>
              </w:rPr>
            </w:pPr>
            <w:r w:rsidRPr="00F56B33">
              <w:rPr>
                <w:rFonts w:ascii="Calibri" w:hAnsi="Calibri" w:cs="Calibri"/>
                <w:sz w:val="20"/>
                <w:szCs w:val="20"/>
                <w:lang w:val="en-US"/>
              </w:rPr>
              <w:t xml:space="preserve">The Act requires the Regulator to identify and manage risks to human health and safety and the environment posed by or </w:t>
            </w:r>
            <w:proofErr w:type="gramStart"/>
            <w:r w:rsidRPr="00F56B33">
              <w:rPr>
                <w:rFonts w:ascii="Calibri" w:hAnsi="Calibri" w:cs="Calibri"/>
                <w:sz w:val="20"/>
                <w:szCs w:val="20"/>
                <w:lang w:val="en-US"/>
              </w:rPr>
              <w:t>as a result of</w:t>
            </w:r>
            <w:proofErr w:type="gramEnd"/>
            <w:r w:rsidRPr="00F56B33">
              <w:rPr>
                <w:rFonts w:ascii="Calibri" w:hAnsi="Calibri" w:cs="Calibri"/>
                <w:sz w:val="20"/>
                <w:szCs w:val="20"/>
                <w:lang w:val="en-US"/>
              </w:rPr>
              <w:t xml:space="preserve"> gene technology. </w:t>
            </w:r>
            <w:r>
              <w:rPr>
                <w:rFonts w:ascii="Calibri" w:hAnsi="Calibri" w:cs="Calibri"/>
                <w:sz w:val="20"/>
                <w:szCs w:val="20"/>
                <w:lang w:val="en-US"/>
              </w:rPr>
              <w:t xml:space="preserve">The Regulator notifies key stakeholders on all GMO decisions. </w:t>
            </w:r>
            <w:r w:rsidRPr="00F56B33">
              <w:rPr>
                <w:rFonts w:ascii="Calibri" w:hAnsi="Calibri" w:cs="Calibri"/>
                <w:sz w:val="20"/>
                <w:szCs w:val="20"/>
              </w:rPr>
              <w:t xml:space="preserve">Marketing and trade issues are outside the matters to which the Regulator may have regard when determining whether to include dealings with a GMO on the GMO Register. </w:t>
            </w:r>
            <w:r w:rsidRPr="00F56B33">
              <w:rPr>
                <w:rFonts w:ascii="Calibri" w:hAnsi="Calibri" w:cs="Calibri"/>
                <w:sz w:val="20"/>
                <w:szCs w:val="20"/>
                <w:lang w:val="en-US"/>
              </w:rPr>
              <w:t>These issues are the responsibility of the States and Territories, and industry.</w:t>
            </w:r>
          </w:p>
        </w:tc>
      </w:tr>
      <w:tr w:rsidR="006A51E9" w:rsidRPr="002B06FF" w14:paraId="7BB6B932" w14:textId="77777777" w:rsidTr="00EF21D7">
        <w:tc>
          <w:tcPr>
            <w:tcW w:w="1246" w:type="dxa"/>
            <w:tcBorders>
              <w:top w:val="single" w:sz="6" w:space="0" w:color="auto"/>
            </w:tcBorders>
          </w:tcPr>
          <w:p w14:paraId="0A23FA7B"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5</w:t>
            </w:r>
          </w:p>
        </w:tc>
        <w:tc>
          <w:tcPr>
            <w:tcW w:w="4961" w:type="dxa"/>
            <w:tcBorders>
              <w:top w:val="single" w:sz="6" w:space="0" w:color="auto"/>
              <w:left w:val="nil"/>
              <w:bottom w:val="single" w:sz="4" w:space="0" w:color="auto"/>
            </w:tcBorders>
          </w:tcPr>
          <w:p w14:paraId="214D07F1"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Welcomes the consideration for adding dealings with MON-ØØØ73-7 canola to the GMO Register and agrees that this recognises the history of safe use of this GM canola in Australia. States that a voluntary commitment to the management of risks goes beyond the legal and regulatory requirements in a variety of areas. </w:t>
            </w:r>
          </w:p>
        </w:tc>
        <w:tc>
          <w:tcPr>
            <w:tcW w:w="3397" w:type="dxa"/>
            <w:tcBorders>
              <w:top w:val="single" w:sz="6" w:space="0" w:color="auto"/>
              <w:left w:val="nil"/>
              <w:bottom w:val="single" w:sz="4" w:space="0" w:color="auto"/>
            </w:tcBorders>
          </w:tcPr>
          <w:p w14:paraId="2336786D"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tc>
      </w:tr>
      <w:tr w:rsidR="006A51E9" w:rsidRPr="002B06FF" w14:paraId="4680E4D6" w14:textId="77777777" w:rsidTr="00EF21D7">
        <w:tc>
          <w:tcPr>
            <w:tcW w:w="1246" w:type="dxa"/>
          </w:tcPr>
          <w:p w14:paraId="2BEBBDEF"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4" w:space="0" w:color="auto"/>
            </w:tcBorders>
          </w:tcPr>
          <w:p w14:paraId="0DE23C97" w14:textId="77777777" w:rsidR="00897C23" w:rsidRPr="00F56B33" w:rsidRDefault="00897C23" w:rsidP="00D11F99">
            <w:pPr>
              <w:spacing w:before="60" w:after="60"/>
              <w:ind w:left="57" w:right="57"/>
              <w:rPr>
                <w:rFonts w:ascii="Calibri" w:eastAsia="Times New Roman" w:hAnsi="Calibri" w:cs="Calibri"/>
                <w:b/>
                <w:bCs/>
                <w:sz w:val="20"/>
              </w:rPr>
            </w:pPr>
            <w:r w:rsidRPr="00F56B33">
              <w:rPr>
                <w:rFonts w:ascii="Calibri" w:eastAsia="Times New Roman" w:hAnsi="Calibri" w:cs="Calibri"/>
                <w:b/>
                <w:bCs/>
                <w:sz w:val="20"/>
              </w:rPr>
              <w:t>Critical stewardship activities</w:t>
            </w:r>
          </w:p>
          <w:p w14:paraId="3B3B1A43"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Notes continued requirements for implementation of critical stewardship activities (compulsory accreditation requirement, crop management plan, resistance management plan and weed management guide) by growers contribute to the safe and sustainable use of MON-ØØØ73-7 canola. Notes the important role of these activities play in protecting the environment, promoting resistance management, and maintaining coexistence between GM and non-GM commodity markets for international trading. </w:t>
            </w:r>
          </w:p>
        </w:tc>
        <w:tc>
          <w:tcPr>
            <w:tcW w:w="3397" w:type="dxa"/>
            <w:tcBorders>
              <w:top w:val="single" w:sz="4" w:space="0" w:color="auto"/>
              <w:left w:val="nil"/>
              <w:bottom w:val="single" w:sz="4" w:space="0" w:color="auto"/>
            </w:tcBorders>
          </w:tcPr>
          <w:p w14:paraId="656B5906" w14:textId="77777777" w:rsidR="00897C23" w:rsidRPr="00F56B33" w:rsidRDefault="00897C23" w:rsidP="00D11F99">
            <w:pPr>
              <w:spacing w:before="60" w:after="60"/>
              <w:ind w:left="57" w:right="57"/>
              <w:rPr>
                <w:rFonts w:ascii="Calibri" w:eastAsia="Times New Roman" w:hAnsi="Calibri" w:cs="Calibri"/>
                <w:sz w:val="20"/>
              </w:rPr>
            </w:pPr>
          </w:p>
          <w:p w14:paraId="62432F77"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Noted. </w:t>
            </w:r>
            <w:r w:rsidRPr="00F56B33">
              <w:rPr>
                <w:rFonts w:ascii="Calibri" w:hAnsi="Calibri" w:cs="Calibri"/>
                <w:sz w:val="20"/>
                <w:szCs w:val="20"/>
              </w:rPr>
              <w:t xml:space="preserve">See comments to Submission 4 regarding </w:t>
            </w:r>
            <w:r w:rsidRPr="00F56B33">
              <w:rPr>
                <w:rFonts w:ascii="Calibri" w:eastAsia="Times New Roman" w:hAnsi="Calibri" w:cs="Calibri"/>
                <w:sz w:val="20"/>
              </w:rPr>
              <w:t>marketing and trade issues. Product sustainability and segregation and coexistence regimes are outside the scope of the Act. These issues are the responsibility of the States and Territories, and industry.</w:t>
            </w:r>
            <w:r>
              <w:rPr>
                <w:rFonts w:ascii="Calibri" w:eastAsia="Times New Roman" w:hAnsi="Calibri" w:cs="Calibri"/>
                <w:sz w:val="20"/>
              </w:rPr>
              <w:t xml:space="preserve"> </w:t>
            </w:r>
            <w:r>
              <w:rPr>
                <w:rFonts w:ascii="Calibri" w:hAnsi="Calibri" w:cs="Calibri"/>
                <w:sz w:val="20"/>
                <w:szCs w:val="20"/>
              </w:rPr>
              <w:t xml:space="preserve">Stewardship activities are expected to be undertaken for </w:t>
            </w:r>
            <w:r w:rsidRPr="008E058E">
              <w:rPr>
                <w:rFonts w:ascii="Calibri" w:hAnsi="Calibri" w:cs="Calibri"/>
                <w:sz w:val="20"/>
                <w:szCs w:val="20"/>
              </w:rPr>
              <w:t xml:space="preserve">MON-ØØØ73-7 </w:t>
            </w:r>
            <w:r>
              <w:rPr>
                <w:rFonts w:ascii="Calibri" w:hAnsi="Calibri" w:cs="Calibri"/>
                <w:sz w:val="20"/>
                <w:szCs w:val="20"/>
              </w:rPr>
              <w:t xml:space="preserve">as this is best practice for growing and managing any canola variety (GM or </w:t>
            </w:r>
            <w:proofErr w:type="gramStart"/>
            <w:r>
              <w:rPr>
                <w:rFonts w:ascii="Calibri" w:hAnsi="Calibri" w:cs="Calibri"/>
                <w:sz w:val="20"/>
                <w:szCs w:val="20"/>
              </w:rPr>
              <w:t>non GM</w:t>
            </w:r>
            <w:proofErr w:type="gramEnd"/>
            <w:r>
              <w:rPr>
                <w:rFonts w:ascii="Calibri" w:hAnsi="Calibri" w:cs="Calibri"/>
                <w:sz w:val="20"/>
                <w:szCs w:val="20"/>
              </w:rPr>
              <w:t>).</w:t>
            </w:r>
          </w:p>
        </w:tc>
      </w:tr>
      <w:tr w:rsidR="006A51E9" w:rsidRPr="002B06FF" w14:paraId="6D0AE3D2" w14:textId="77777777" w:rsidTr="00EF21D7">
        <w:tc>
          <w:tcPr>
            <w:tcW w:w="1246" w:type="dxa"/>
          </w:tcPr>
          <w:p w14:paraId="59D7C234"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4" w:space="0" w:color="auto"/>
            </w:tcBorders>
          </w:tcPr>
          <w:p w14:paraId="45422446" w14:textId="77777777" w:rsidR="00897C23" w:rsidRPr="00F56B33" w:rsidRDefault="00897C23" w:rsidP="00D11F99">
            <w:pPr>
              <w:spacing w:before="60" w:after="60"/>
              <w:ind w:left="57" w:right="57"/>
              <w:rPr>
                <w:rFonts w:ascii="Calibri" w:eastAsia="Times New Roman" w:hAnsi="Calibri" w:cs="Calibri"/>
                <w:b/>
                <w:bCs/>
                <w:sz w:val="20"/>
              </w:rPr>
            </w:pPr>
            <w:r w:rsidRPr="00F56B33">
              <w:rPr>
                <w:rFonts w:ascii="Calibri" w:eastAsia="Times New Roman" w:hAnsi="Calibri" w:cs="Calibri"/>
                <w:b/>
                <w:bCs/>
                <w:sz w:val="20"/>
              </w:rPr>
              <w:t>Ongoing education and support of new growers</w:t>
            </w:r>
          </w:p>
          <w:p w14:paraId="1576740A"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Notes that role of stewardship programs in maintaining safe and sustainable use of the GM canola and that ongoing education and support to ensure all growers, particularly the many new growers each season, are familiar with the stewardship requirements, is critical for continuing safe and sustainable use. Concerned about the maintenance of practices mandated by current stewardship requirements.</w:t>
            </w:r>
          </w:p>
        </w:tc>
        <w:tc>
          <w:tcPr>
            <w:tcW w:w="3397" w:type="dxa"/>
            <w:tcBorders>
              <w:top w:val="single" w:sz="4" w:space="0" w:color="auto"/>
              <w:left w:val="nil"/>
              <w:bottom w:val="single" w:sz="4" w:space="0" w:color="auto"/>
            </w:tcBorders>
          </w:tcPr>
          <w:p w14:paraId="7C4E589B" w14:textId="77777777" w:rsidR="00897C23" w:rsidRPr="00F72662" w:rsidRDefault="00897C23" w:rsidP="00D11F99">
            <w:pPr>
              <w:spacing w:before="60" w:after="60"/>
              <w:ind w:left="113"/>
              <w:rPr>
                <w:rFonts w:ascii="Calibri" w:hAnsi="Calibri" w:cs="Calibri"/>
                <w:sz w:val="20"/>
                <w:szCs w:val="20"/>
              </w:rPr>
            </w:pPr>
          </w:p>
          <w:p w14:paraId="64AA1C41"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 xml:space="preserve">Noted. </w:t>
            </w:r>
          </w:p>
        </w:tc>
      </w:tr>
      <w:tr w:rsidR="006A51E9" w:rsidRPr="002B06FF" w14:paraId="15A9C069" w14:textId="77777777" w:rsidTr="00EB6CBE">
        <w:tc>
          <w:tcPr>
            <w:tcW w:w="1246" w:type="dxa"/>
          </w:tcPr>
          <w:p w14:paraId="55D2D2F1"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4" w:space="0" w:color="auto"/>
            </w:tcBorders>
          </w:tcPr>
          <w:p w14:paraId="13F357DF" w14:textId="77777777" w:rsidR="00897C23" w:rsidRPr="00F56B33" w:rsidRDefault="00897C23" w:rsidP="00D11F99">
            <w:pPr>
              <w:spacing w:before="60" w:after="60"/>
              <w:ind w:left="57" w:right="57"/>
              <w:rPr>
                <w:rFonts w:ascii="Calibri" w:eastAsia="Times New Roman" w:hAnsi="Calibri" w:cs="Calibri"/>
                <w:b/>
                <w:bCs/>
                <w:sz w:val="20"/>
              </w:rPr>
            </w:pPr>
            <w:r w:rsidRPr="00F56B33">
              <w:rPr>
                <w:rFonts w:ascii="Calibri" w:eastAsia="Times New Roman" w:hAnsi="Calibri" w:cs="Calibri"/>
                <w:b/>
                <w:bCs/>
                <w:sz w:val="20"/>
              </w:rPr>
              <w:t>Proposed transition of critical stewardship activities</w:t>
            </w:r>
          </w:p>
          <w:p w14:paraId="797EC433"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Notes that three of the four critical stewardship activities for MON-ØØØ73-7 canola, are currently compulsory requirements for growers under a License and Stewardship Agreement (LSA), and that this agreement also references conditions of licence DIR 020/2002. Believes that these critical stewardship activities should continue regardless of </w:t>
            </w:r>
            <w:proofErr w:type="gramStart"/>
            <w:r w:rsidRPr="00F56B33">
              <w:rPr>
                <w:rFonts w:ascii="Calibri" w:eastAsia="Times New Roman" w:hAnsi="Calibri" w:cs="Calibri"/>
                <w:sz w:val="20"/>
              </w:rPr>
              <w:t>whether or not</w:t>
            </w:r>
            <w:proofErr w:type="gramEnd"/>
            <w:r w:rsidRPr="00F56B33">
              <w:rPr>
                <w:rFonts w:ascii="Calibri" w:eastAsia="Times New Roman" w:hAnsi="Calibri" w:cs="Calibri"/>
                <w:sz w:val="20"/>
              </w:rPr>
              <w:t xml:space="preserve"> MON-ØØØ73-7 is added to the Register. Proposes a two</w:t>
            </w:r>
            <w:r>
              <w:rPr>
                <w:rFonts w:ascii="Calibri" w:eastAsia="Times New Roman" w:hAnsi="Calibri" w:cs="Calibri"/>
                <w:sz w:val="20"/>
              </w:rPr>
              <w:t>-</w:t>
            </w:r>
            <w:r w:rsidRPr="00F56B33">
              <w:rPr>
                <w:rFonts w:ascii="Calibri" w:eastAsia="Times New Roman" w:hAnsi="Calibri" w:cs="Calibri"/>
                <w:sz w:val="20"/>
              </w:rPr>
              <w:t xml:space="preserve">year transition period from the date of any decision to add MON-ØØØ73-7 to the Register for the industry to appoint an appropriate body to manage ongoing stewardship activities and establish systems to audit accreditation and stewardship issues, after which the DIR 020/2002 licence could be surrendered. Believes such a transition period would allow time to transfer critical activities. </w:t>
            </w:r>
          </w:p>
          <w:p w14:paraId="0F39CF97"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Advocates inclusion of conditions requiring compulsory completion of critical stewardship activities by all new growers prior to planting MON-ØØØ73-7 if it is included in the GMO Register.</w:t>
            </w:r>
          </w:p>
        </w:tc>
        <w:tc>
          <w:tcPr>
            <w:tcW w:w="3397" w:type="dxa"/>
            <w:tcBorders>
              <w:top w:val="single" w:sz="4" w:space="0" w:color="auto"/>
              <w:left w:val="nil"/>
              <w:bottom w:val="single" w:sz="4" w:space="0" w:color="auto"/>
            </w:tcBorders>
          </w:tcPr>
          <w:p w14:paraId="37DD9F75" w14:textId="77777777" w:rsidR="00897C23" w:rsidRPr="00F72662" w:rsidRDefault="00897C23" w:rsidP="00D11F99">
            <w:pPr>
              <w:spacing w:before="60" w:after="60"/>
              <w:ind w:left="113"/>
              <w:rPr>
                <w:rFonts w:ascii="Calibri" w:hAnsi="Calibri" w:cs="Calibri"/>
                <w:sz w:val="20"/>
                <w:szCs w:val="20"/>
              </w:rPr>
            </w:pPr>
          </w:p>
          <w:p w14:paraId="4C3B2FE8"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Noted. Matters related to stewardship activities are outside the scope of the Act. Note that licence DIR 020/2002 does not impose conditions on any stewardship activities to manage risks from commercial dealings with the GMO.</w:t>
            </w:r>
          </w:p>
        </w:tc>
      </w:tr>
      <w:tr w:rsidR="006A51E9" w:rsidRPr="002B06FF" w14:paraId="3AEC43F0" w14:textId="77777777" w:rsidTr="00EB6CBE">
        <w:tc>
          <w:tcPr>
            <w:tcW w:w="1246" w:type="dxa"/>
            <w:tcBorders>
              <w:bottom w:val="single" w:sz="6" w:space="0" w:color="auto"/>
            </w:tcBorders>
          </w:tcPr>
          <w:p w14:paraId="2C47298D"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6" w:space="0" w:color="auto"/>
            </w:tcBorders>
          </w:tcPr>
          <w:p w14:paraId="4111E2E9" w14:textId="77777777" w:rsidR="00897C23" w:rsidRPr="00F56B33" w:rsidRDefault="00897C23" w:rsidP="00D11F99">
            <w:pPr>
              <w:spacing w:before="60" w:after="60"/>
              <w:ind w:left="57" w:right="57"/>
              <w:rPr>
                <w:rFonts w:ascii="Calibri" w:eastAsia="Times New Roman" w:hAnsi="Calibri" w:cs="Calibri"/>
                <w:b/>
                <w:bCs/>
                <w:sz w:val="20"/>
              </w:rPr>
            </w:pPr>
            <w:r w:rsidRPr="00F56B33">
              <w:rPr>
                <w:rFonts w:ascii="Calibri" w:eastAsia="Times New Roman" w:hAnsi="Calibri" w:cs="Calibri"/>
                <w:b/>
                <w:bCs/>
                <w:sz w:val="20"/>
              </w:rPr>
              <w:t>Impacts to trade</w:t>
            </w:r>
          </w:p>
          <w:p w14:paraId="663AD291"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Recognises that the OGTR, in considering moving MON-ØØØ73-7 to the GMO Register, must only consider human health and the environment but believes that this leaves a concerning gap in the policy settings around the regulation of GMOs, particularly regarding trade. Cites current requirements for export to some trading partners to reference GMO licence numbers and believe that placement on the GMO Register may cause trade uncertainty for commodity traders if not addressed prior to any decision being announced.  </w:t>
            </w:r>
          </w:p>
          <w:p w14:paraId="79AD0147"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Also encourages the OGTR to work with relevant government departments, peak industry bodies, and grower groups to ensure that trade matters are fully considered and </w:t>
            </w:r>
            <w:r w:rsidRPr="00A70771">
              <w:rPr>
                <w:rFonts w:ascii="Calibri" w:eastAsia="Times New Roman" w:hAnsi="Calibri" w:cs="Calibri"/>
                <w:sz w:val="20"/>
              </w:rPr>
              <w:t>briefing of key trading partners before any changes to regulation are made public</w:t>
            </w:r>
            <w:r w:rsidRPr="00F56B33">
              <w:rPr>
                <w:rFonts w:ascii="Calibri" w:eastAsia="Times New Roman" w:hAnsi="Calibri" w:cs="Calibri"/>
                <w:sz w:val="20"/>
              </w:rPr>
              <w:t>.</w:t>
            </w:r>
          </w:p>
          <w:p w14:paraId="7D17039D"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Welcomes the opportunity to engage further to ensure best-practice stewardship is maintained in all potential regulatory scenarios.</w:t>
            </w:r>
          </w:p>
        </w:tc>
        <w:tc>
          <w:tcPr>
            <w:tcW w:w="3397" w:type="dxa"/>
            <w:tcBorders>
              <w:top w:val="single" w:sz="4" w:space="0" w:color="auto"/>
              <w:left w:val="nil"/>
              <w:bottom w:val="single" w:sz="6" w:space="0" w:color="auto"/>
            </w:tcBorders>
          </w:tcPr>
          <w:p w14:paraId="76F2A3EE" w14:textId="77777777" w:rsidR="00897C23" w:rsidRPr="00F72662" w:rsidRDefault="00897C23" w:rsidP="00D11F99">
            <w:pPr>
              <w:spacing w:before="60" w:after="60"/>
              <w:ind w:left="113"/>
              <w:rPr>
                <w:rFonts w:ascii="Calibri" w:hAnsi="Calibri" w:cs="Calibri"/>
                <w:sz w:val="20"/>
                <w:szCs w:val="20"/>
              </w:rPr>
            </w:pPr>
          </w:p>
          <w:p w14:paraId="5587D214" w14:textId="77777777" w:rsidR="00897C23" w:rsidRDefault="00897C23" w:rsidP="00D11F99">
            <w:pPr>
              <w:spacing w:before="60" w:after="60"/>
              <w:ind w:left="113"/>
              <w:rPr>
                <w:rFonts w:ascii="Calibri" w:hAnsi="Calibri" w:cs="Calibri"/>
                <w:sz w:val="20"/>
                <w:szCs w:val="20"/>
              </w:rPr>
            </w:pPr>
            <w:r w:rsidRPr="00F56B33">
              <w:rPr>
                <w:rFonts w:ascii="Calibri" w:hAnsi="Calibri" w:cs="Calibri"/>
                <w:sz w:val="20"/>
                <w:szCs w:val="20"/>
              </w:rPr>
              <w:t xml:space="preserve">Noted. Trade issues are outside the scope of the Act.  </w:t>
            </w:r>
          </w:p>
          <w:p w14:paraId="56932367" w14:textId="77777777" w:rsidR="00897C23" w:rsidRDefault="00897C23" w:rsidP="00D11F99">
            <w:pPr>
              <w:spacing w:before="60" w:after="60"/>
              <w:ind w:left="113"/>
              <w:rPr>
                <w:rFonts w:ascii="Calibri" w:hAnsi="Calibri" w:cs="Calibri"/>
                <w:sz w:val="20"/>
                <w:szCs w:val="20"/>
              </w:rPr>
            </w:pPr>
            <w:r>
              <w:rPr>
                <w:rFonts w:ascii="Calibri" w:hAnsi="Calibri" w:cs="Calibri"/>
                <w:sz w:val="20"/>
                <w:szCs w:val="20"/>
              </w:rPr>
              <w:t>The</w:t>
            </w:r>
            <w:r w:rsidRPr="00F56B33">
              <w:rPr>
                <w:rFonts w:ascii="Calibri" w:hAnsi="Calibri" w:cs="Calibri"/>
                <w:sz w:val="20"/>
                <w:szCs w:val="20"/>
              </w:rPr>
              <w:t xml:space="preserve"> OGTR identifier</w:t>
            </w:r>
            <w:r>
              <w:rPr>
                <w:rFonts w:ascii="Calibri" w:hAnsi="Calibri" w:cs="Calibri"/>
                <w:sz w:val="20"/>
                <w:szCs w:val="20"/>
              </w:rPr>
              <w:t xml:space="preserve"> for this determination, </w:t>
            </w:r>
            <w:r w:rsidRPr="00F56B33">
              <w:rPr>
                <w:rFonts w:ascii="Calibri" w:hAnsi="Calibri" w:cs="Calibri"/>
                <w:sz w:val="20"/>
                <w:szCs w:val="20"/>
              </w:rPr>
              <w:t>Reg</w:t>
            </w:r>
            <w:r>
              <w:rPr>
                <w:rFonts w:ascii="Calibri" w:hAnsi="Calibri" w:cs="Calibri"/>
                <w:sz w:val="20"/>
                <w:szCs w:val="20"/>
              </w:rPr>
              <w:t xml:space="preserve">-003, can be referenced </w:t>
            </w:r>
            <w:r w:rsidRPr="00F56B33">
              <w:rPr>
                <w:rFonts w:ascii="Calibri" w:hAnsi="Calibri" w:cs="Calibri"/>
                <w:sz w:val="20"/>
                <w:szCs w:val="20"/>
              </w:rPr>
              <w:t>like other OGTR identifiers (e.g. DIR, DNIR and NLRD)</w:t>
            </w:r>
            <w:r>
              <w:rPr>
                <w:rFonts w:ascii="Calibri" w:hAnsi="Calibri" w:cs="Calibri"/>
                <w:sz w:val="20"/>
                <w:szCs w:val="20"/>
              </w:rPr>
              <w:t xml:space="preserve"> </w:t>
            </w:r>
            <w:r w:rsidRPr="000B2844">
              <w:rPr>
                <w:rFonts w:ascii="Calibri" w:hAnsi="Calibri" w:cs="Calibri"/>
                <w:sz w:val="20"/>
                <w:szCs w:val="20"/>
              </w:rPr>
              <w:t xml:space="preserve">on importation </w:t>
            </w:r>
            <w:r>
              <w:rPr>
                <w:rFonts w:ascii="Calibri" w:hAnsi="Calibri" w:cs="Calibri"/>
                <w:sz w:val="20"/>
                <w:szCs w:val="20"/>
              </w:rPr>
              <w:t xml:space="preserve">and exportation </w:t>
            </w:r>
            <w:r w:rsidRPr="000B2844">
              <w:rPr>
                <w:rFonts w:ascii="Calibri" w:hAnsi="Calibri" w:cs="Calibri"/>
                <w:sz w:val="20"/>
                <w:szCs w:val="20"/>
              </w:rPr>
              <w:t xml:space="preserve">documentation for Australia and </w:t>
            </w:r>
            <w:r>
              <w:rPr>
                <w:rFonts w:ascii="Calibri" w:hAnsi="Calibri" w:cs="Calibri"/>
                <w:sz w:val="20"/>
                <w:szCs w:val="20"/>
              </w:rPr>
              <w:t>for other</w:t>
            </w:r>
            <w:r w:rsidRPr="000B2844">
              <w:rPr>
                <w:rFonts w:ascii="Calibri" w:hAnsi="Calibri" w:cs="Calibri"/>
                <w:sz w:val="20"/>
                <w:szCs w:val="20"/>
              </w:rPr>
              <w:t xml:space="preserve"> countries.</w:t>
            </w:r>
            <w:r>
              <w:rPr>
                <w:rFonts w:ascii="Calibri" w:hAnsi="Calibri" w:cs="Calibri"/>
                <w:sz w:val="20"/>
                <w:szCs w:val="20"/>
              </w:rPr>
              <w:t xml:space="preserve"> </w:t>
            </w:r>
          </w:p>
          <w:p w14:paraId="65C213F6" w14:textId="77777777" w:rsidR="00897C23" w:rsidRDefault="00897C23" w:rsidP="00D11F99">
            <w:pPr>
              <w:spacing w:before="60" w:after="60"/>
              <w:rPr>
                <w:rFonts w:ascii="Calibri" w:hAnsi="Calibri" w:cs="Calibri"/>
                <w:sz w:val="20"/>
                <w:szCs w:val="20"/>
              </w:rPr>
            </w:pPr>
          </w:p>
          <w:p w14:paraId="6184B3A2" w14:textId="77777777" w:rsidR="00897C23" w:rsidRPr="00F72662" w:rsidRDefault="00897C23" w:rsidP="00D11F99">
            <w:pPr>
              <w:spacing w:before="60" w:after="60"/>
              <w:rPr>
                <w:rFonts w:ascii="Calibri" w:hAnsi="Calibri" w:cs="Calibri"/>
                <w:sz w:val="20"/>
                <w:szCs w:val="20"/>
              </w:rPr>
            </w:pPr>
          </w:p>
        </w:tc>
      </w:tr>
      <w:tr w:rsidR="006A51E9" w:rsidRPr="002B06FF" w14:paraId="61093798" w14:textId="77777777" w:rsidTr="00EB6CBE">
        <w:tc>
          <w:tcPr>
            <w:tcW w:w="1246" w:type="dxa"/>
            <w:tcBorders>
              <w:top w:val="single" w:sz="6" w:space="0" w:color="auto"/>
            </w:tcBorders>
          </w:tcPr>
          <w:p w14:paraId="14F73238"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6</w:t>
            </w:r>
          </w:p>
        </w:tc>
        <w:tc>
          <w:tcPr>
            <w:tcW w:w="4961" w:type="dxa"/>
            <w:tcBorders>
              <w:top w:val="single" w:sz="6" w:space="0" w:color="auto"/>
              <w:left w:val="nil"/>
              <w:bottom w:val="single" w:sz="4" w:space="0" w:color="auto"/>
            </w:tcBorders>
          </w:tcPr>
          <w:p w14:paraId="5A116680" w14:textId="507D55B8" w:rsidR="00897C23" w:rsidRPr="00F56B33" w:rsidRDefault="00897C23" w:rsidP="00EB6CBE">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Supports use of the GMO Register for dealings with a history of safe use. </w:t>
            </w:r>
          </w:p>
        </w:tc>
        <w:tc>
          <w:tcPr>
            <w:tcW w:w="3397" w:type="dxa"/>
            <w:tcBorders>
              <w:top w:val="single" w:sz="6" w:space="0" w:color="auto"/>
              <w:left w:val="nil"/>
              <w:bottom w:val="single" w:sz="4" w:space="0" w:color="auto"/>
            </w:tcBorders>
          </w:tcPr>
          <w:p w14:paraId="68961750"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tc>
      </w:tr>
      <w:tr w:rsidR="006A51E9" w:rsidRPr="002B06FF" w14:paraId="2F108DA7" w14:textId="77777777" w:rsidTr="00EB6CBE">
        <w:trPr>
          <w:trHeight w:val="2262"/>
        </w:trPr>
        <w:tc>
          <w:tcPr>
            <w:tcW w:w="1246" w:type="dxa"/>
          </w:tcPr>
          <w:p w14:paraId="39A6B2C3"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4" w:space="0" w:color="auto"/>
            </w:tcBorders>
          </w:tcPr>
          <w:p w14:paraId="5A647C85" w14:textId="0EBBAA34" w:rsidR="00897C23" w:rsidRPr="00F56B33" w:rsidRDefault="00897C23" w:rsidP="00EB6CBE">
            <w:pPr>
              <w:spacing w:before="60" w:after="60"/>
              <w:ind w:left="57" w:right="57"/>
              <w:rPr>
                <w:rFonts w:ascii="Calibri" w:eastAsia="Times New Roman" w:hAnsi="Calibri" w:cs="Calibri"/>
                <w:sz w:val="20"/>
              </w:rPr>
            </w:pPr>
            <w:r w:rsidRPr="00F56B33">
              <w:rPr>
                <w:rFonts w:ascii="Calibri" w:eastAsia="Times New Roman" w:hAnsi="Calibri" w:cs="Calibri"/>
                <w:sz w:val="20"/>
              </w:rPr>
              <w:t>States that moving dealings with MON-ØØØ73-7 onto the Register represents an important step for the plant science industry, as this is the first time that a GM food crop has undergone such a process. Advocates careful consideration of all potential issues and development for each step of the implementation process. States that this is essential not only for this application, but also for potential future use of the GMO Register.</w:t>
            </w:r>
          </w:p>
        </w:tc>
        <w:tc>
          <w:tcPr>
            <w:tcW w:w="3397" w:type="dxa"/>
            <w:tcBorders>
              <w:top w:val="single" w:sz="4" w:space="0" w:color="auto"/>
              <w:left w:val="nil"/>
              <w:bottom w:val="single" w:sz="4" w:space="0" w:color="auto"/>
            </w:tcBorders>
          </w:tcPr>
          <w:p w14:paraId="5C09ED54"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p w14:paraId="03E2A8C1" w14:textId="77777777" w:rsidR="00897C23" w:rsidRPr="00F72662" w:rsidRDefault="00897C23" w:rsidP="00D11F99">
            <w:pPr>
              <w:spacing w:before="60" w:after="60"/>
              <w:ind w:left="113"/>
              <w:rPr>
                <w:rFonts w:ascii="Calibri" w:hAnsi="Calibri" w:cs="Calibri"/>
                <w:sz w:val="20"/>
                <w:szCs w:val="20"/>
              </w:rPr>
            </w:pPr>
          </w:p>
          <w:p w14:paraId="2970A38B" w14:textId="77777777" w:rsidR="00897C23" w:rsidRPr="00F72662" w:rsidRDefault="00897C23" w:rsidP="00D11F99">
            <w:pPr>
              <w:spacing w:before="60" w:after="60"/>
              <w:ind w:left="113"/>
              <w:rPr>
                <w:rFonts w:ascii="Calibri" w:hAnsi="Calibri" w:cs="Calibri"/>
                <w:sz w:val="20"/>
                <w:szCs w:val="20"/>
              </w:rPr>
            </w:pPr>
          </w:p>
          <w:p w14:paraId="613EE482" w14:textId="77777777" w:rsidR="00897C23" w:rsidRPr="00F72662" w:rsidRDefault="00897C23" w:rsidP="00D11F99">
            <w:pPr>
              <w:spacing w:before="60" w:after="60"/>
              <w:ind w:left="113"/>
              <w:rPr>
                <w:rFonts w:ascii="Calibri" w:hAnsi="Calibri" w:cs="Calibri"/>
                <w:sz w:val="20"/>
                <w:szCs w:val="20"/>
              </w:rPr>
            </w:pPr>
          </w:p>
          <w:p w14:paraId="44D14756" w14:textId="77777777" w:rsidR="00897C23" w:rsidRPr="00F72662" w:rsidRDefault="00897C23" w:rsidP="00D11F99">
            <w:pPr>
              <w:spacing w:before="60" w:after="60"/>
              <w:ind w:left="113"/>
              <w:rPr>
                <w:rFonts w:ascii="Calibri" w:hAnsi="Calibri" w:cs="Calibri"/>
                <w:sz w:val="20"/>
                <w:szCs w:val="20"/>
              </w:rPr>
            </w:pPr>
          </w:p>
          <w:p w14:paraId="2BAA8E9A" w14:textId="77777777" w:rsidR="00897C23" w:rsidRPr="00F72662" w:rsidRDefault="00897C23" w:rsidP="00D11F99">
            <w:pPr>
              <w:spacing w:before="60" w:after="60"/>
              <w:ind w:left="113"/>
              <w:rPr>
                <w:rFonts w:ascii="Calibri" w:hAnsi="Calibri" w:cs="Calibri"/>
                <w:sz w:val="20"/>
                <w:szCs w:val="20"/>
              </w:rPr>
            </w:pPr>
          </w:p>
          <w:p w14:paraId="6FC9E2D9" w14:textId="77777777" w:rsidR="00897C23" w:rsidRPr="00F72662" w:rsidRDefault="00897C23" w:rsidP="00D11F99">
            <w:pPr>
              <w:spacing w:before="60" w:after="60"/>
              <w:ind w:left="113"/>
              <w:rPr>
                <w:rFonts w:ascii="Calibri" w:hAnsi="Calibri" w:cs="Calibri"/>
                <w:sz w:val="20"/>
                <w:szCs w:val="20"/>
              </w:rPr>
            </w:pPr>
          </w:p>
        </w:tc>
      </w:tr>
      <w:tr w:rsidR="006A51E9" w:rsidRPr="002B06FF" w14:paraId="6F9EE148" w14:textId="77777777" w:rsidTr="00EB6CBE">
        <w:tc>
          <w:tcPr>
            <w:tcW w:w="1246" w:type="dxa"/>
          </w:tcPr>
          <w:p w14:paraId="29170C06"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4" w:space="0" w:color="auto"/>
            </w:tcBorders>
          </w:tcPr>
          <w:p w14:paraId="7434F92D"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Asserts that beyond licence conditions, companies develop and deliver training, accreditation, and stewardship practices for growers to manage issues related to supply chain and trade issues, and to sustainability. Believes these would be lost if dealings with GM food crops are placed on the Register unless specific conditions are included to mandate accreditation and stewardship, but that conditions defeat the purpose of the Register.</w:t>
            </w:r>
          </w:p>
        </w:tc>
        <w:tc>
          <w:tcPr>
            <w:tcW w:w="3397" w:type="dxa"/>
            <w:tcBorders>
              <w:top w:val="single" w:sz="4" w:space="0" w:color="auto"/>
              <w:left w:val="nil"/>
              <w:bottom w:val="single" w:sz="4" w:space="0" w:color="auto"/>
            </w:tcBorders>
          </w:tcPr>
          <w:p w14:paraId="2F4819A0" w14:textId="77777777" w:rsidR="00897C23" w:rsidRDefault="00897C23" w:rsidP="00D11F99">
            <w:pPr>
              <w:spacing w:before="60" w:after="60"/>
              <w:ind w:left="113"/>
              <w:rPr>
                <w:rFonts w:ascii="Calibri" w:hAnsi="Calibri" w:cs="Calibri"/>
                <w:sz w:val="20"/>
                <w:szCs w:val="20"/>
              </w:rPr>
            </w:pPr>
            <w:r>
              <w:rPr>
                <w:rFonts w:ascii="Calibri" w:hAnsi="Calibri" w:cs="Calibri"/>
                <w:sz w:val="20"/>
                <w:szCs w:val="20"/>
              </w:rPr>
              <w:t xml:space="preserve">Noted. </w:t>
            </w:r>
          </w:p>
          <w:p w14:paraId="7C0BE6B6" w14:textId="77777777" w:rsidR="00897C23" w:rsidRPr="00F56B33" w:rsidRDefault="00897C23" w:rsidP="00D11F99">
            <w:pPr>
              <w:spacing w:before="60" w:after="60"/>
              <w:ind w:left="113"/>
              <w:rPr>
                <w:rFonts w:ascii="Calibri" w:hAnsi="Calibri" w:cs="Calibri"/>
                <w:sz w:val="20"/>
                <w:szCs w:val="20"/>
              </w:rPr>
            </w:pPr>
            <w:r w:rsidRPr="004071DD">
              <w:rPr>
                <w:rFonts w:ascii="Calibri" w:hAnsi="Calibri" w:cs="Calibri"/>
                <w:sz w:val="20"/>
                <w:szCs w:val="20"/>
              </w:rPr>
              <w:t>The RARMP concludes that the dealings with MON-ØØØ73-7 canola represent minimal risk to human health and the environment. As neither the literature nor the practical experience indicates greater than negligible risk, no conditions are imposed at this stage for inclusion of the dealings on the Register.</w:t>
            </w:r>
            <w:r>
              <w:rPr>
                <w:rFonts w:ascii="Calibri" w:hAnsi="Calibri" w:cs="Calibri"/>
                <w:sz w:val="20"/>
                <w:szCs w:val="20"/>
              </w:rPr>
              <w:t xml:space="preserve"> I</w:t>
            </w:r>
            <w:r w:rsidRPr="004071DD">
              <w:rPr>
                <w:rFonts w:ascii="Calibri" w:hAnsi="Calibri" w:cs="Calibri"/>
                <w:sz w:val="20"/>
                <w:szCs w:val="20"/>
              </w:rPr>
              <w:t xml:space="preserve">t is expected that stewardship activities will be undertaken </w:t>
            </w:r>
            <w:r>
              <w:rPr>
                <w:rFonts w:ascii="Calibri" w:hAnsi="Calibri" w:cs="Calibri"/>
                <w:sz w:val="20"/>
                <w:szCs w:val="20"/>
              </w:rPr>
              <w:t xml:space="preserve">by the industry </w:t>
            </w:r>
            <w:r w:rsidRPr="004071DD">
              <w:rPr>
                <w:rFonts w:ascii="Calibri" w:hAnsi="Calibri" w:cs="Calibri"/>
                <w:sz w:val="20"/>
                <w:szCs w:val="20"/>
              </w:rPr>
              <w:t>just l</w:t>
            </w:r>
            <w:r>
              <w:rPr>
                <w:rFonts w:ascii="Calibri" w:hAnsi="Calibri" w:cs="Calibri"/>
                <w:sz w:val="20"/>
                <w:szCs w:val="20"/>
              </w:rPr>
              <w:t>i</w:t>
            </w:r>
            <w:r w:rsidRPr="004071DD">
              <w:rPr>
                <w:rFonts w:ascii="Calibri" w:hAnsi="Calibri" w:cs="Calibri"/>
                <w:sz w:val="20"/>
                <w:szCs w:val="20"/>
              </w:rPr>
              <w:t xml:space="preserve">ke for non-GM crops and other </w:t>
            </w:r>
            <w:r>
              <w:rPr>
                <w:rFonts w:ascii="Calibri" w:hAnsi="Calibri" w:cs="Calibri"/>
                <w:sz w:val="20"/>
                <w:szCs w:val="20"/>
              </w:rPr>
              <w:t xml:space="preserve">authorised </w:t>
            </w:r>
            <w:r w:rsidRPr="004071DD">
              <w:rPr>
                <w:rFonts w:ascii="Calibri" w:hAnsi="Calibri" w:cs="Calibri"/>
                <w:sz w:val="20"/>
                <w:szCs w:val="20"/>
              </w:rPr>
              <w:t>GM</w:t>
            </w:r>
            <w:r>
              <w:rPr>
                <w:rFonts w:ascii="Calibri" w:hAnsi="Calibri" w:cs="Calibri"/>
                <w:sz w:val="20"/>
                <w:szCs w:val="20"/>
              </w:rPr>
              <w:t xml:space="preserve"> crops</w:t>
            </w:r>
            <w:r w:rsidRPr="004071DD">
              <w:rPr>
                <w:rFonts w:ascii="Calibri" w:hAnsi="Calibri" w:cs="Calibri"/>
                <w:sz w:val="20"/>
                <w:szCs w:val="20"/>
              </w:rPr>
              <w:t>.</w:t>
            </w:r>
          </w:p>
        </w:tc>
      </w:tr>
      <w:tr w:rsidR="006A51E9" w:rsidRPr="002B06FF" w14:paraId="54718753" w14:textId="77777777" w:rsidTr="00EB6CBE">
        <w:tc>
          <w:tcPr>
            <w:tcW w:w="1246" w:type="dxa"/>
            <w:tcBorders>
              <w:bottom w:val="single" w:sz="6" w:space="0" w:color="auto"/>
            </w:tcBorders>
          </w:tcPr>
          <w:p w14:paraId="3D356917"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6" w:space="0" w:color="auto"/>
            </w:tcBorders>
          </w:tcPr>
          <w:p w14:paraId="450D5A6B"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Proposes development of an industry-wide stewardship program to ensure industry best practice in this area. </w:t>
            </w:r>
          </w:p>
          <w:p w14:paraId="2C528427"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Notes the organisation’s long-standing commitment to product stewardship and effective engagement with the farming sector, which could contribute to future industry programs. </w:t>
            </w:r>
          </w:p>
          <w:p w14:paraId="74A4985E"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Given the time, consultation and agreements required to develop and implement such a program, suggests a transition period of at least one growing season before placing dealings with MON-ØØØ73-7 on the Register. Claims that the organisation’s experience and expertise will be crucial to developing and ensuring adoption </w:t>
            </w:r>
            <w:r>
              <w:rPr>
                <w:rFonts w:ascii="Calibri" w:eastAsia="Times New Roman" w:hAnsi="Calibri" w:cs="Calibri"/>
                <w:sz w:val="20"/>
              </w:rPr>
              <w:t>of</w:t>
            </w:r>
            <w:r w:rsidRPr="00F56B33">
              <w:rPr>
                <w:rFonts w:ascii="Calibri" w:eastAsia="Times New Roman" w:hAnsi="Calibri" w:cs="Calibri"/>
                <w:sz w:val="20"/>
              </w:rPr>
              <w:t xml:space="preserve"> such a program by industry.</w:t>
            </w:r>
          </w:p>
          <w:p w14:paraId="697643EF"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Provides a summary of current critical stewardship activities implemented.</w:t>
            </w:r>
          </w:p>
        </w:tc>
        <w:tc>
          <w:tcPr>
            <w:tcW w:w="3397" w:type="dxa"/>
            <w:tcBorders>
              <w:top w:val="single" w:sz="4" w:space="0" w:color="auto"/>
              <w:left w:val="nil"/>
              <w:bottom w:val="single" w:sz="6" w:space="0" w:color="auto"/>
            </w:tcBorders>
          </w:tcPr>
          <w:p w14:paraId="79191657" w14:textId="77777777" w:rsidR="00897C23" w:rsidRDefault="00897C23" w:rsidP="00D11F99">
            <w:pPr>
              <w:spacing w:before="60" w:after="60"/>
              <w:ind w:left="113"/>
              <w:rPr>
                <w:rFonts w:ascii="Calibri" w:hAnsi="Calibri" w:cs="Calibri"/>
                <w:sz w:val="20"/>
                <w:szCs w:val="20"/>
              </w:rPr>
            </w:pPr>
            <w:r w:rsidRPr="00F56B33">
              <w:rPr>
                <w:rFonts w:ascii="Calibri" w:hAnsi="Calibri" w:cs="Calibri"/>
                <w:sz w:val="20"/>
                <w:szCs w:val="20"/>
              </w:rPr>
              <w:t xml:space="preserve">Noted.  </w:t>
            </w:r>
          </w:p>
          <w:p w14:paraId="527B04BC"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 xml:space="preserve">See comments to Submission 4 regarding </w:t>
            </w:r>
            <w:r w:rsidRPr="00F56B33">
              <w:rPr>
                <w:rFonts w:ascii="Calibri" w:eastAsia="Times New Roman" w:hAnsi="Calibri" w:cs="Calibri"/>
                <w:sz w:val="20"/>
              </w:rPr>
              <w:t>marketing and trade issues.</w:t>
            </w:r>
          </w:p>
        </w:tc>
      </w:tr>
      <w:tr w:rsidR="006A51E9" w:rsidRPr="002B06FF" w14:paraId="3EF9CB40" w14:textId="77777777" w:rsidTr="00EB6CBE">
        <w:tc>
          <w:tcPr>
            <w:tcW w:w="1246" w:type="dxa"/>
            <w:tcBorders>
              <w:top w:val="single" w:sz="6" w:space="0" w:color="auto"/>
            </w:tcBorders>
          </w:tcPr>
          <w:p w14:paraId="22614BA1"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7</w:t>
            </w:r>
          </w:p>
        </w:tc>
        <w:tc>
          <w:tcPr>
            <w:tcW w:w="4961" w:type="dxa"/>
            <w:tcBorders>
              <w:top w:val="single" w:sz="6" w:space="0" w:color="auto"/>
              <w:left w:val="nil"/>
              <w:bottom w:val="single" w:sz="4" w:space="0" w:color="auto"/>
            </w:tcBorders>
          </w:tcPr>
          <w:p w14:paraId="099F161D"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Notes that MON-ØØØ73-7 canola has a history of successful commercial cultivation in Australia and that now GM canola accounts for approximately one quarter of the total area planted to canola.</w:t>
            </w:r>
          </w:p>
          <w:p w14:paraId="372019F9"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Outlines the industry history of effectively managing both the growth of GM canola and segregation of GM and non-GM canola within the supply chain required by the market.</w:t>
            </w:r>
          </w:p>
          <w:p w14:paraId="65912B37"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Considered the implications of addition of MON-ØØØ73-7 canola onto the GMO Register for both the domestic and international market. Offers to undertake to communicate to the market to allay any concerns of misinterpretation and avoid risks that the market may see this as ‘complete deregulation’ of GM canola in Australia and loss of segregation.</w:t>
            </w:r>
          </w:p>
        </w:tc>
        <w:tc>
          <w:tcPr>
            <w:tcW w:w="3397" w:type="dxa"/>
            <w:tcBorders>
              <w:top w:val="single" w:sz="6" w:space="0" w:color="auto"/>
              <w:left w:val="nil"/>
              <w:bottom w:val="single" w:sz="4" w:space="0" w:color="auto"/>
            </w:tcBorders>
          </w:tcPr>
          <w:p w14:paraId="0D33BAF2" w14:textId="77777777" w:rsidR="00897C23" w:rsidRPr="00F56B33" w:rsidRDefault="00897C23" w:rsidP="00D11F99">
            <w:pPr>
              <w:spacing w:before="60" w:after="60"/>
              <w:ind w:left="113"/>
              <w:rPr>
                <w:rFonts w:ascii="Calibri" w:hAnsi="Calibri" w:cs="Calibri"/>
                <w:sz w:val="20"/>
                <w:szCs w:val="20"/>
                <w:lang w:val="en-US"/>
              </w:rPr>
            </w:pPr>
            <w:r w:rsidRPr="00F56B33">
              <w:rPr>
                <w:rFonts w:ascii="Calibri" w:hAnsi="Calibri" w:cs="Calibri"/>
                <w:sz w:val="20"/>
                <w:szCs w:val="20"/>
                <w:lang w:val="en-US"/>
              </w:rPr>
              <w:t>Noted.</w:t>
            </w:r>
          </w:p>
          <w:p w14:paraId="149780DA" w14:textId="77777777" w:rsidR="00897C23" w:rsidRPr="00F56B33" w:rsidRDefault="00897C23" w:rsidP="00D11F99">
            <w:pPr>
              <w:spacing w:before="60" w:after="60"/>
              <w:ind w:left="113"/>
              <w:rPr>
                <w:rFonts w:ascii="Calibri" w:hAnsi="Calibri" w:cs="Calibri"/>
                <w:sz w:val="20"/>
                <w:szCs w:val="20"/>
                <w:lang w:val="en-US"/>
              </w:rPr>
            </w:pPr>
          </w:p>
          <w:p w14:paraId="1336E1BF" w14:textId="77777777" w:rsidR="00897C23" w:rsidRPr="00F56B33" w:rsidRDefault="00897C23" w:rsidP="00D11F99">
            <w:pPr>
              <w:spacing w:before="60" w:after="60"/>
              <w:ind w:left="113"/>
              <w:rPr>
                <w:rFonts w:ascii="Calibri" w:hAnsi="Calibri" w:cs="Calibri"/>
                <w:sz w:val="20"/>
                <w:szCs w:val="20"/>
                <w:lang w:val="en-US"/>
              </w:rPr>
            </w:pPr>
          </w:p>
          <w:p w14:paraId="3B7F18DB" w14:textId="77777777" w:rsidR="00897C23" w:rsidRPr="00F56B33" w:rsidRDefault="00897C23" w:rsidP="00D11F99">
            <w:pPr>
              <w:spacing w:before="60" w:after="60"/>
              <w:ind w:left="113"/>
              <w:rPr>
                <w:rFonts w:ascii="Calibri" w:hAnsi="Calibri" w:cs="Calibri"/>
                <w:sz w:val="20"/>
                <w:szCs w:val="20"/>
                <w:lang w:val="en-US"/>
              </w:rPr>
            </w:pPr>
          </w:p>
          <w:p w14:paraId="15E95371" w14:textId="77777777" w:rsidR="00897C23" w:rsidRPr="00F56B33" w:rsidRDefault="00897C23" w:rsidP="00D11F99">
            <w:pPr>
              <w:spacing w:before="60" w:after="60"/>
              <w:ind w:left="113"/>
              <w:rPr>
                <w:rFonts w:ascii="Calibri" w:hAnsi="Calibri" w:cs="Calibri"/>
                <w:sz w:val="20"/>
                <w:szCs w:val="20"/>
                <w:lang w:val="en-US"/>
              </w:rPr>
            </w:pPr>
          </w:p>
          <w:p w14:paraId="3332CD46" w14:textId="77777777" w:rsidR="00897C23" w:rsidRPr="00F72662" w:rsidRDefault="00897C23" w:rsidP="00D11F99">
            <w:pPr>
              <w:spacing w:before="60" w:after="60"/>
              <w:rPr>
                <w:rFonts w:ascii="Calibri" w:hAnsi="Calibri" w:cs="Calibri"/>
                <w:sz w:val="20"/>
                <w:szCs w:val="20"/>
              </w:rPr>
            </w:pPr>
          </w:p>
        </w:tc>
      </w:tr>
      <w:tr w:rsidR="006A51E9" w:rsidRPr="002B06FF" w14:paraId="44DB24B6" w14:textId="77777777" w:rsidTr="00EB6CBE">
        <w:tc>
          <w:tcPr>
            <w:tcW w:w="1246" w:type="dxa"/>
            <w:tcBorders>
              <w:bottom w:val="single" w:sz="6" w:space="0" w:color="auto"/>
            </w:tcBorders>
          </w:tcPr>
          <w:p w14:paraId="0FF72168"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top w:val="single" w:sz="4" w:space="0" w:color="auto"/>
              <w:left w:val="nil"/>
              <w:bottom w:val="single" w:sz="6" w:space="0" w:color="auto"/>
            </w:tcBorders>
          </w:tcPr>
          <w:p w14:paraId="16C94D61"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Notes that there would be no stewardship activities after a ‘handover’ period. Understands that no conditions can be applied by the OGTR if MON-ØØØ73-7 canola is placed on the Register. Emphasises the critical importance of stewardship in successful expansion of GM canola in Australia and will consult with other industry bodies to assess how best to address this issue.</w:t>
            </w:r>
          </w:p>
          <w:p w14:paraId="43AA375D"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Does not object to the inclusion of MON-ØØØ73-7 canola on the GMO Register, views this as a natural progression in the acceptance of GM technology.</w:t>
            </w:r>
          </w:p>
        </w:tc>
        <w:tc>
          <w:tcPr>
            <w:tcW w:w="3397" w:type="dxa"/>
            <w:tcBorders>
              <w:top w:val="single" w:sz="4" w:space="0" w:color="auto"/>
              <w:left w:val="nil"/>
              <w:bottom w:val="single" w:sz="6" w:space="0" w:color="auto"/>
            </w:tcBorders>
          </w:tcPr>
          <w:p w14:paraId="741ABC4E"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p w14:paraId="40B6EE27"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 xml:space="preserve">For dealings with a GMO to be placed on the GMO Register, the dealings must pose minimal risks to human health and safety or the environment. The commercial dealings with the GMO are placed on the GMO Register without imposing any conditions. </w:t>
            </w:r>
            <w:r>
              <w:rPr>
                <w:rStyle w:val="cf01"/>
              </w:rPr>
              <w:t xml:space="preserve">Section 79(2c) of the Act provides that conditions can be imposed. However, in this case the Regulator does not impose conditions as risks are minimal and there is no risk that would require management. </w:t>
            </w:r>
            <w:r>
              <w:rPr>
                <w:rFonts w:ascii="Calibri" w:hAnsi="Calibri" w:cs="Calibri"/>
                <w:sz w:val="20"/>
                <w:szCs w:val="20"/>
              </w:rPr>
              <w:t>If</w:t>
            </w:r>
            <w:r w:rsidRPr="00F56B33">
              <w:rPr>
                <w:rFonts w:ascii="Calibri" w:hAnsi="Calibri" w:cs="Calibri"/>
                <w:sz w:val="20"/>
                <w:szCs w:val="20"/>
              </w:rPr>
              <w:t xml:space="preserve"> risks to human health and safety, or risks to the environment arise from dealings with a GMO on the GMO Register, under Section 80 of the </w:t>
            </w:r>
            <w:r w:rsidRPr="00F56B33">
              <w:rPr>
                <w:rFonts w:ascii="Calibri" w:hAnsi="Calibri" w:cs="Calibri"/>
                <w:i/>
                <w:iCs/>
                <w:sz w:val="20"/>
                <w:szCs w:val="20"/>
              </w:rPr>
              <w:t>Gene Technology Act 2000</w:t>
            </w:r>
            <w:r w:rsidRPr="00F56B33">
              <w:rPr>
                <w:rFonts w:ascii="Calibri" w:hAnsi="Calibri" w:cs="Calibri"/>
                <w:sz w:val="20"/>
                <w:szCs w:val="20"/>
              </w:rPr>
              <w:t xml:space="preserve">, the Regulator can vary the GMO Register to impose, </w:t>
            </w:r>
            <w:proofErr w:type="gramStart"/>
            <w:r w:rsidRPr="00F56B33">
              <w:rPr>
                <w:rFonts w:ascii="Calibri" w:hAnsi="Calibri" w:cs="Calibri"/>
                <w:sz w:val="20"/>
                <w:szCs w:val="20"/>
              </w:rPr>
              <w:t>revoke</w:t>
            </w:r>
            <w:proofErr w:type="gramEnd"/>
            <w:r w:rsidRPr="00F56B33">
              <w:rPr>
                <w:rFonts w:ascii="Calibri" w:hAnsi="Calibri" w:cs="Calibri"/>
                <w:sz w:val="20"/>
                <w:szCs w:val="20"/>
              </w:rPr>
              <w:t xml:space="preserve"> or vary conditions, or remove the dealings from the GMO Register.</w:t>
            </w:r>
          </w:p>
        </w:tc>
      </w:tr>
      <w:tr w:rsidR="006A51E9" w:rsidRPr="002B06FF" w14:paraId="0D915AF5" w14:textId="77777777" w:rsidTr="00EB6CBE">
        <w:tc>
          <w:tcPr>
            <w:tcW w:w="1246" w:type="dxa"/>
            <w:tcBorders>
              <w:top w:val="single" w:sz="6" w:space="0" w:color="auto"/>
              <w:bottom w:val="single" w:sz="6" w:space="0" w:color="auto"/>
            </w:tcBorders>
          </w:tcPr>
          <w:p w14:paraId="261C2C17"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8</w:t>
            </w:r>
          </w:p>
        </w:tc>
        <w:tc>
          <w:tcPr>
            <w:tcW w:w="4961" w:type="dxa"/>
            <w:tcBorders>
              <w:top w:val="single" w:sz="6" w:space="0" w:color="auto"/>
              <w:left w:val="nil"/>
              <w:bottom w:val="single" w:sz="6" w:space="0" w:color="auto"/>
            </w:tcBorders>
          </w:tcPr>
          <w:p w14:paraId="21D43D42"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Supports access to new technologies including biotechnology in farming systems and supports the inclusion of dealings with MON-ØØØ73-7 canola on the GMO Register.</w:t>
            </w:r>
          </w:p>
          <w:p w14:paraId="663ECAB7"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Notes the Australian industry has historically been able to meet expectations of environment management, </w:t>
            </w:r>
            <w:proofErr w:type="gramStart"/>
            <w:r w:rsidRPr="00F56B33">
              <w:rPr>
                <w:rFonts w:ascii="Calibri" w:eastAsia="Times New Roman" w:hAnsi="Calibri" w:cs="Calibri"/>
                <w:sz w:val="20"/>
              </w:rPr>
              <w:t>markets</w:t>
            </w:r>
            <w:proofErr w:type="gramEnd"/>
            <w:r w:rsidRPr="00F56B33">
              <w:rPr>
                <w:rFonts w:ascii="Calibri" w:eastAsia="Times New Roman" w:hAnsi="Calibri" w:cs="Calibri"/>
                <w:sz w:val="20"/>
              </w:rPr>
              <w:t xml:space="preserve"> and regulatory concerns for growing MON-ØØØ73-7 canola in Australia. Is aware of the concern around glyphosate herbicide resistance evolution and management implications for use of glyphosate resistant canola within the production system.</w:t>
            </w:r>
          </w:p>
          <w:p w14:paraId="11F3C219"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Recognises that including MON-ØØØ73-7 canola on the GMO Register leaves a potential regulatory gap regarding future stewardship management of products and potential risks to trade. Refers to the OGTR Genetically Modified Organism Herbicide Tolerance Trait Review.</w:t>
            </w:r>
          </w:p>
        </w:tc>
        <w:tc>
          <w:tcPr>
            <w:tcW w:w="3397" w:type="dxa"/>
            <w:tcBorders>
              <w:top w:val="single" w:sz="6" w:space="0" w:color="auto"/>
              <w:left w:val="nil"/>
              <w:bottom w:val="single" w:sz="6" w:space="0" w:color="auto"/>
            </w:tcBorders>
          </w:tcPr>
          <w:p w14:paraId="4F69F6F9"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p w14:paraId="2F3489A5"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See comments to Submission 5 regarding stewardship and trade.</w:t>
            </w:r>
          </w:p>
        </w:tc>
      </w:tr>
      <w:tr w:rsidR="006A51E9" w:rsidRPr="002B06FF" w14:paraId="780E19A7" w14:textId="77777777" w:rsidTr="00EB6CBE">
        <w:tc>
          <w:tcPr>
            <w:tcW w:w="1246" w:type="dxa"/>
            <w:tcBorders>
              <w:top w:val="single" w:sz="6" w:space="0" w:color="auto"/>
              <w:bottom w:val="single" w:sz="6" w:space="0" w:color="auto"/>
            </w:tcBorders>
          </w:tcPr>
          <w:p w14:paraId="1C5B1E95"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9</w:t>
            </w:r>
          </w:p>
        </w:tc>
        <w:tc>
          <w:tcPr>
            <w:tcW w:w="4961" w:type="dxa"/>
            <w:tcBorders>
              <w:top w:val="single" w:sz="6" w:space="0" w:color="auto"/>
              <w:left w:val="nil"/>
              <w:bottom w:val="single" w:sz="6" w:space="0" w:color="auto"/>
            </w:tcBorders>
          </w:tcPr>
          <w:p w14:paraId="6EB0E8BB"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Notes a history of safe use in Australian commercial cultivation of MON-ØØØ73-7 canola and effective segregation of GM canola from </w:t>
            </w:r>
            <w:proofErr w:type="spellStart"/>
            <w:r w:rsidRPr="00F56B33">
              <w:rPr>
                <w:rFonts w:ascii="Calibri" w:eastAsia="Times New Roman" w:hAnsi="Calibri" w:cs="Calibri"/>
                <w:sz w:val="20"/>
              </w:rPr>
              <w:t>non­GM</w:t>
            </w:r>
            <w:proofErr w:type="spellEnd"/>
            <w:r w:rsidRPr="00F56B33">
              <w:rPr>
                <w:rFonts w:ascii="Calibri" w:eastAsia="Times New Roman" w:hAnsi="Calibri" w:cs="Calibri"/>
                <w:sz w:val="20"/>
              </w:rPr>
              <w:t xml:space="preserve"> canola in the supply chain to ensure retaining market choice. </w:t>
            </w:r>
          </w:p>
          <w:p w14:paraId="13DD4D64"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Supports including dealings with MON-ØØØ73-7 on the GMO Register, but is concerned, as are other key industry organisations, that there is a gap in the policy settings regarding the critical ongoing stewardship of products on the GMO Register. Believes that an ongoing stewardship program for this, or any other GM grain crops, is essential.</w:t>
            </w:r>
          </w:p>
          <w:p w14:paraId="2BEEA7C2"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Believes that broadening the responsibility for stewardship of a product beyond that of the original licence holder requires further consideration, particularly the potential impact on trade. </w:t>
            </w:r>
          </w:p>
          <w:p w14:paraId="7DA67A51"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Encourages work with the relevant government departments, peak industry bodies and grower groups to ensure that the trade-related implications of placing agricultural commodities on the GMO Register are fully understood and consider notifying key trading partners of the proposed regulatory changes before making them public. </w:t>
            </w:r>
          </w:p>
        </w:tc>
        <w:tc>
          <w:tcPr>
            <w:tcW w:w="3397" w:type="dxa"/>
            <w:tcBorders>
              <w:top w:val="single" w:sz="6" w:space="0" w:color="auto"/>
              <w:left w:val="nil"/>
              <w:bottom w:val="single" w:sz="6" w:space="0" w:color="auto"/>
            </w:tcBorders>
          </w:tcPr>
          <w:p w14:paraId="76AF6225"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p w14:paraId="415514DC"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See comments to Submission 5 regarding stewardship and trade.</w:t>
            </w:r>
          </w:p>
        </w:tc>
      </w:tr>
      <w:tr w:rsidR="006A51E9" w:rsidRPr="002B06FF" w14:paraId="6D29D383" w14:textId="77777777" w:rsidTr="00EB6CBE">
        <w:tc>
          <w:tcPr>
            <w:tcW w:w="1246" w:type="dxa"/>
            <w:tcBorders>
              <w:top w:val="single" w:sz="6" w:space="0" w:color="auto"/>
            </w:tcBorders>
          </w:tcPr>
          <w:p w14:paraId="4FFB24C9" w14:textId="77777777" w:rsidR="00897C23" w:rsidRDefault="00897C23" w:rsidP="00D11F99">
            <w:pPr>
              <w:numPr>
                <w:ilvl w:val="12"/>
                <w:numId w:val="0"/>
              </w:numPr>
              <w:spacing w:before="60" w:after="60"/>
              <w:jc w:val="center"/>
              <w:rPr>
                <w:rFonts w:ascii="Calibri" w:hAnsi="Calibri" w:cs="Calibri"/>
                <w:sz w:val="20"/>
                <w:szCs w:val="20"/>
              </w:rPr>
            </w:pPr>
            <w:r>
              <w:rPr>
                <w:rFonts w:ascii="Calibri" w:hAnsi="Calibri" w:cs="Calibri"/>
                <w:sz w:val="20"/>
                <w:szCs w:val="20"/>
              </w:rPr>
              <w:t>10</w:t>
            </w:r>
          </w:p>
        </w:tc>
        <w:tc>
          <w:tcPr>
            <w:tcW w:w="4961" w:type="dxa"/>
            <w:tcBorders>
              <w:top w:val="single" w:sz="6" w:space="0" w:color="auto"/>
              <w:left w:val="nil"/>
            </w:tcBorders>
          </w:tcPr>
          <w:p w14:paraId="70BF1C71"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Supports the OGTR’s science-based approach for regulating commercial transactions with GMOs.</w:t>
            </w:r>
          </w:p>
          <w:p w14:paraId="6EB30AB1"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Discusses organisation’s role in development of industry code of practice. </w:t>
            </w:r>
          </w:p>
          <w:p w14:paraId="65AE1B04"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Notes the history of safe use of MON-ØØØ73-7 canola in Australia and the licence holder’s oversight of critical stewardship activities for reducing the risk of adverse effects to the environment under the existing OGTR licence.</w:t>
            </w:r>
          </w:p>
        </w:tc>
        <w:tc>
          <w:tcPr>
            <w:tcW w:w="3397" w:type="dxa"/>
            <w:tcBorders>
              <w:top w:val="single" w:sz="6" w:space="0" w:color="auto"/>
              <w:left w:val="nil"/>
            </w:tcBorders>
          </w:tcPr>
          <w:p w14:paraId="634F45E3" w14:textId="77777777" w:rsidR="00897C23" w:rsidRPr="00F56B33" w:rsidRDefault="00897C23" w:rsidP="00D11F99">
            <w:pPr>
              <w:spacing w:before="60" w:after="60"/>
              <w:ind w:left="113"/>
              <w:rPr>
                <w:rFonts w:ascii="Calibri" w:hAnsi="Calibri" w:cs="Calibri"/>
                <w:sz w:val="20"/>
                <w:szCs w:val="20"/>
              </w:rPr>
            </w:pPr>
            <w:r w:rsidRPr="00F56B33">
              <w:rPr>
                <w:rFonts w:ascii="Calibri" w:hAnsi="Calibri" w:cs="Calibri"/>
                <w:sz w:val="20"/>
                <w:szCs w:val="20"/>
              </w:rPr>
              <w:t>Noted.</w:t>
            </w:r>
          </w:p>
          <w:p w14:paraId="733902B5" w14:textId="77777777" w:rsidR="00897C23" w:rsidRPr="00F72662" w:rsidRDefault="00897C23" w:rsidP="00D11F99">
            <w:pPr>
              <w:spacing w:before="60" w:after="60"/>
              <w:ind w:left="113"/>
              <w:rPr>
                <w:rFonts w:ascii="Calibri" w:hAnsi="Calibri" w:cs="Calibri"/>
                <w:sz w:val="20"/>
                <w:szCs w:val="20"/>
              </w:rPr>
            </w:pPr>
            <w:r w:rsidRPr="00F56B33">
              <w:rPr>
                <w:rFonts w:ascii="Calibri" w:hAnsi="Calibri" w:cs="Calibri"/>
                <w:sz w:val="20"/>
                <w:szCs w:val="20"/>
              </w:rPr>
              <w:t>See comments to Submission 5 regarding stewardship and trade.</w:t>
            </w:r>
          </w:p>
        </w:tc>
      </w:tr>
      <w:tr w:rsidR="006A51E9" w:rsidRPr="002B06FF" w14:paraId="2889C055" w14:textId="77777777" w:rsidTr="00EB6CBE">
        <w:tc>
          <w:tcPr>
            <w:tcW w:w="1246" w:type="dxa"/>
            <w:tcBorders>
              <w:bottom w:val="single" w:sz="6" w:space="0" w:color="auto"/>
            </w:tcBorders>
          </w:tcPr>
          <w:p w14:paraId="78A428DF" w14:textId="77777777" w:rsidR="00897C23" w:rsidRDefault="00897C23" w:rsidP="00D11F99">
            <w:pPr>
              <w:numPr>
                <w:ilvl w:val="12"/>
                <w:numId w:val="0"/>
              </w:numPr>
              <w:spacing w:before="60" w:after="60"/>
              <w:jc w:val="center"/>
              <w:rPr>
                <w:rFonts w:ascii="Calibri" w:hAnsi="Calibri" w:cs="Calibri"/>
                <w:sz w:val="20"/>
                <w:szCs w:val="20"/>
              </w:rPr>
            </w:pPr>
          </w:p>
        </w:tc>
        <w:tc>
          <w:tcPr>
            <w:tcW w:w="4961" w:type="dxa"/>
            <w:tcBorders>
              <w:bottom w:val="single" w:sz="6" w:space="0" w:color="auto"/>
            </w:tcBorders>
          </w:tcPr>
          <w:p w14:paraId="4CC0DC96"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 xml:space="preserve">Has concerns about the ongoing stewardship of MON-ØØØ73-7 after it is placed on the GMO Register and suggests that further dialogue and discussion is required by Government and industry participants to ensure its ongoing safe use and to address trade and market access risks. </w:t>
            </w:r>
          </w:p>
          <w:p w14:paraId="1DDB3DC9" w14:textId="77777777" w:rsidR="00897C23" w:rsidRPr="00F56B33" w:rsidRDefault="00897C23" w:rsidP="00D11F99">
            <w:pPr>
              <w:spacing w:before="60" w:after="60"/>
              <w:ind w:left="57" w:right="57"/>
              <w:rPr>
                <w:rFonts w:ascii="Calibri" w:eastAsia="Times New Roman" w:hAnsi="Calibri" w:cs="Calibri"/>
                <w:sz w:val="20"/>
              </w:rPr>
            </w:pPr>
            <w:r w:rsidRPr="00F56B33">
              <w:rPr>
                <w:rFonts w:ascii="Calibri" w:eastAsia="Times New Roman" w:hAnsi="Calibri" w:cs="Calibri"/>
                <w:sz w:val="20"/>
              </w:rPr>
              <w:t>May propose actions and activity to ensure there is ongoing critical stewardship activities for MON-ØØØ73-7 and future products listed on the GMO Register.</w:t>
            </w:r>
          </w:p>
        </w:tc>
        <w:tc>
          <w:tcPr>
            <w:tcW w:w="3397" w:type="dxa"/>
            <w:tcBorders>
              <w:left w:val="nil"/>
              <w:bottom w:val="single" w:sz="6" w:space="0" w:color="auto"/>
            </w:tcBorders>
          </w:tcPr>
          <w:p w14:paraId="7EDE12F2" w14:textId="77777777" w:rsidR="00897C23" w:rsidRPr="00F56B33" w:rsidRDefault="00897C23" w:rsidP="00D11F99">
            <w:pPr>
              <w:spacing w:before="60" w:after="60"/>
              <w:ind w:left="113"/>
              <w:rPr>
                <w:rFonts w:ascii="Calibri" w:hAnsi="Calibri" w:cs="Calibri"/>
                <w:sz w:val="20"/>
                <w:szCs w:val="20"/>
              </w:rPr>
            </w:pPr>
          </w:p>
        </w:tc>
      </w:tr>
    </w:tbl>
    <w:p w14:paraId="1B77157B" w14:textId="725B3F20" w:rsidR="00A42FAE" w:rsidRPr="00A04B01" w:rsidRDefault="00A42FAE" w:rsidP="002C7026"/>
    <w:sectPr w:rsidR="00A42FAE" w:rsidRPr="00A04B01" w:rsidSect="009F544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1E35" w14:textId="77777777" w:rsidR="008F2D5A" w:rsidRDefault="008F2D5A" w:rsidP="00B1284D">
      <w:r>
        <w:separator/>
      </w:r>
    </w:p>
  </w:endnote>
  <w:endnote w:type="continuationSeparator" w:id="0">
    <w:p w14:paraId="598485CE" w14:textId="77777777" w:rsidR="008F2D5A" w:rsidRDefault="008F2D5A" w:rsidP="00B1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70854"/>
      <w:docPartObj>
        <w:docPartGallery w:val="Page Numbers (Bottom of Page)"/>
        <w:docPartUnique/>
      </w:docPartObj>
    </w:sdtPr>
    <w:sdtEndPr>
      <w:rPr>
        <w:noProof/>
      </w:rPr>
    </w:sdtEndPr>
    <w:sdtContent>
      <w:p w14:paraId="71D82F0A" w14:textId="37664318" w:rsidR="009D2162" w:rsidRDefault="009D2162">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836F2FA" w14:textId="77777777" w:rsidR="009D2162" w:rsidRDefault="009D2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5FD1" w14:textId="77777777" w:rsidR="008F2D5A" w:rsidRDefault="008F2D5A" w:rsidP="00B1284D">
      <w:r>
        <w:separator/>
      </w:r>
    </w:p>
  </w:footnote>
  <w:footnote w:type="continuationSeparator" w:id="0">
    <w:p w14:paraId="1EE131E3" w14:textId="77777777" w:rsidR="008F2D5A" w:rsidRDefault="008F2D5A" w:rsidP="00B1284D">
      <w:r>
        <w:continuationSeparator/>
      </w:r>
    </w:p>
  </w:footnote>
  <w:footnote w:id="1">
    <w:p w14:paraId="60CC4CE6" w14:textId="7FBAE7C1" w:rsidR="009D2162" w:rsidRDefault="009D2162">
      <w:pPr>
        <w:pStyle w:val="FootnoteText"/>
      </w:pPr>
      <w:r>
        <w:rPr>
          <w:rStyle w:val="FootnoteReference"/>
        </w:rPr>
        <w:footnoteRef/>
      </w:r>
      <w:r>
        <w:t xml:space="preserve"> </w:t>
      </w:r>
      <w:hyperlink r:id="rId1" w:history="1">
        <w:r w:rsidRPr="005A4E18">
          <w:rPr>
            <w:rStyle w:val="Hyperlink"/>
            <w:color w:val="auto"/>
          </w:rPr>
          <w:t>Commission Decision 2005/635/EC of 31 August 2005</w:t>
        </w:r>
      </w:hyperlink>
      <w:r w:rsidRPr="005A4E18">
        <w:t>.</w:t>
      </w:r>
    </w:p>
  </w:footnote>
  <w:footnote w:id="2">
    <w:p w14:paraId="2CFD6A8F" w14:textId="3098BE11" w:rsidR="009D2162" w:rsidRDefault="009D2162">
      <w:pPr>
        <w:pStyle w:val="FootnoteText"/>
      </w:pPr>
      <w:r w:rsidRPr="008654CF">
        <w:rPr>
          <w:rStyle w:val="FootnoteReference"/>
        </w:rPr>
        <w:footnoteRef/>
      </w:r>
      <w:r>
        <w:t xml:space="preserve"> </w:t>
      </w:r>
      <w:hyperlink r:id="rId2" w:history="1">
        <w:r w:rsidRPr="008654CF">
          <w:rPr>
            <w:rStyle w:val="Hyperlink"/>
            <w:color w:val="auto"/>
          </w:rPr>
          <w:t>Commission Decision (EU) 2021/1385 of 17 August 2021</w:t>
        </w:r>
      </w:hyperlink>
      <w:r w:rsidRPr="008654CF">
        <w:t xml:space="preserve">. </w:t>
      </w:r>
    </w:p>
  </w:footnote>
  <w:footnote w:id="3">
    <w:p w14:paraId="661D2749" w14:textId="48736132" w:rsidR="003F21FA" w:rsidRDefault="003F21FA" w:rsidP="003F21FA">
      <w:r w:rsidRPr="00FC27AB">
        <w:rPr>
          <w:rStyle w:val="FootnoteReference"/>
        </w:rPr>
        <w:footnoteRef/>
      </w:r>
      <w:r w:rsidR="00443379" w:rsidRPr="00FC27AB">
        <w:t xml:space="preserve"> </w:t>
      </w:r>
      <w:r w:rsidRPr="00FC27AB">
        <w:t xml:space="preserve">Agencies include GTTAC, State and Territory Governments, relevant local governments, Australian Government agencies and the Minister for the Environment.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A624" w14:textId="73B48920" w:rsidR="009D2162" w:rsidRPr="002B086B" w:rsidRDefault="009D2162" w:rsidP="00980DC9">
    <w:pPr>
      <w:pStyle w:val="Header"/>
    </w:pPr>
    <w:r w:rsidRPr="008654CF">
      <w:t>Register-003 – Risk Assessment and Risk Management Plan (</w:t>
    </w:r>
    <w:r w:rsidR="00FE26D6">
      <w:t>August</w:t>
    </w:r>
    <w:r w:rsidRPr="00973C3E">
      <w:t xml:space="preserve"> 202</w:t>
    </w:r>
    <w:r w:rsidR="00370795" w:rsidRPr="00973C3E">
      <w:t>4</w:t>
    </w:r>
    <w:r w:rsidRPr="00973C3E">
      <w:t>)</w:t>
    </w:r>
    <w:r w:rsidRPr="002B086B">
      <w:tab/>
      <w:t>Office of the Gene Technology Regulator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C0A9" w14:textId="7FDC2070" w:rsidR="009D2162" w:rsidRPr="00980DC9" w:rsidRDefault="009D2162" w:rsidP="00980DC9">
    <w:pPr>
      <w:pStyle w:val="Header"/>
    </w:pPr>
    <w:r w:rsidRPr="00980DC9">
      <w:t>Register-00</w:t>
    </w:r>
    <w:r>
      <w:t>3</w:t>
    </w:r>
    <w:r w:rsidRPr="00980DC9">
      <w:t xml:space="preserve"> – Risk Assess</w:t>
    </w:r>
    <w:r>
      <w:t>ment and Risk Management Plan (</w:t>
    </w:r>
    <w:r w:rsidR="00046BB0">
      <w:t>August</w:t>
    </w:r>
    <w:r w:rsidR="00046BB0" w:rsidRPr="00973C3E">
      <w:t xml:space="preserve"> </w:t>
    </w:r>
    <w:r w:rsidRPr="00973C3E">
      <w:t>202</w:t>
    </w:r>
    <w:r w:rsidR="003716AC" w:rsidRPr="00973C3E">
      <w:t>4</w:t>
    </w:r>
    <w:r w:rsidRPr="00973C3E">
      <w:t>)</w:t>
    </w:r>
    <w:r w:rsidRPr="00980DC9">
      <w:tab/>
      <w:t>Office of the Gene Technology Regulator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CBC"/>
    <w:multiLevelType w:val="hybridMultilevel"/>
    <w:tmpl w:val="7D50C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D5B9E"/>
    <w:multiLevelType w:val="hybridMultilevel"/>
    <w:tmpl w:val="48EC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20760"/>
    <w:multiLevelType w:val="hybridMultilevel"/>
    <w:tmpl w:val="33F21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F6E92"/>
    <w:multiLevelType w:val="hybridMultilevel"/>
    <w:tmpl w:val="69FAF5BC"/>
    <w:lvl w:ilvl="0" w:tplc="D63EC542">
      <w:start w:val="1"/>
      <w:numFmt w:val="bullet"/>
      <w:lvlText w:val="o"/>
      <w:lvlJc w:val="left"/>
      <w:pPr>
        <w:ind w:left="720" w:hanging="360"/>
      </w:pPr>
      <w:rPr>
        <w:rFonts w:ascii="Courier New" w:hAnsi="Courier New"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2016D"/>
    <w:multiLevelType w:val="hybridMultilevel"/>
    <w:tmpl w:val="607E5AFC"/>
    <w:lvl w:ilvl="0" w:tplc="E820DB8A">
      <w:start w:val="1"/>
      <w:numFmt w:val="decimal"/>
      <w:pStyle w:val="RARMPPara"/>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FE2927"/>
    <w:multiLevelType w:val="hybridMultilevel"/>
    <w:tmpl w:val="DE5C2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3153D7"/>
    <w:multiLevelType w:val="hybridMultilevel"/>
    <w:tmpl w:val="DB7A7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68063D"/>
    <w:multiLevelType w:val="multilevel"/>
    <w:tmpl w:val="F312AF36"/>
    <w:lvl w:ilvl="0">
      <w:start w:val="1"/>
      <w:numFmt w:val="decimal"/>
      <w:pStyle w:val="Heading2"/>
      <w:lvlText w:val="Section %1"/>
      <w:lvlJc w:val="left"/>
      <w:pPr>
        <w:ind w:left="0" w:firstLine="0"/>
      </w:pPr>
      <w:rPr>
        <w:rFonts w:ascii="Calibri" w:hAnsi="Calibri" w:hint="default"/>
        <w:b/>
        <w:i/>
        <w:sz w:val="28"/>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076F9D"/>
    <w:multiLevelType w:val="hybridMultilevel"/>
    <w:tmpl w:val="AA66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5379B9"/>
    <w:multiLevelType w:val="multilevel"/>
    <w:tmpl w:val="63D41482"/>
    <w:lvl w:ilvl="0">
      <w:start w:val="1"/>
      <w:numFmt w:val="decimal"/>
      <w:lvlText w:val="Section %1"/>
      <w:lvlJc w:val="left"/>
      <w:pPr>
        <w:ind w:left="0" w:firstLine="0"/>
      </w:pPr>
      <w:rPr>
        <w:rFonts w:ascii="Calibri" w:hAnsi="Calibri" w:hint="default"/>
        <w:b/>
        <w:i/>
        <w:sz w:val="28"/>
      </w:rPr>
    </w:lvl>
    <w:lvl w:ilvl="1">
      <w:start w:val="1"/>
      <w:numFmt w:val="decimal"/>
      <w:lvlText w:val="%2.%1"/>
      <w:lvlJc w:val="left"/>
      <w:pPr>
        <w:ind w:left="0" w:firstLine="0"/>
      </w:pPr>
      <w:rPr>
        <w:rFonts w:hint="default"/>
      </w:rPr>
    </w:lvl>
    <w:lvl w:ilvl="2">
      <w:start w:val="1"/>
      <w:numFmt w:val="decimal"/>
      <w:lvlRestart w:val="0"/>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E075CE"/>
    <w:multiLevelType w:val="hybridMultilevel"/>
    <w:tmpl w:val="810C19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9405331">
    <w:abstractNumId w:val="2"/>
  </w:num>
  <w:num w:numId="2" w16cid:durableId="1536843900">
    <w:abstractNumId w:val="10"/>
  </w:num>
  <w:num w:numId="3" w16cid:durableId="2087223096">
    <w:abstractNumId w:val="3"/>
  </w:num>
  <w:num w:numId="4" w16cid:durableId="673076223">
    <w:abstractNumId w:val="0"/>
  </w:num>
  <w:num w:numId="5" w16cid:durableId="1196886520">
    <w:abstractNumId w:val="4"/>
  </w:num>
  <w:num w:numId="6" w16cid:durableId="1220705744">
    <w:abstractNumId w:val="1"/>
  </w:num>
  <w:num w:numId="7" w16cid:durableId="892621573">
    <w:abstractNumId w:val="7"/>
  </w:num>
  <w:num w:numId="8" w16cid:durableId="1460958376">
    <w:abstractNumId w:val="9"/>
  </w:num>
  <w:num w:numId="9" w16cid:durableId="6635093">
    <w:abstractNumId w:val="7"/>
  </w:num>
  <w:num w:numId="10" w16cid:durableId="1482309152">
    <w:abstractNumId w:val="7"/>
  </w:num>
  <w:num w:numId="11" w16cid:durableId="1021129295">
    <w:abstractNumId w:val="7"/>
  </w:num>
  <w:num w:numId="12" w16cid:durableId="1819302694">
    <w:abstractNumId w:val="4"/>
  </w:num>
  <w:num w:numId="13" w16cid:durableId="276374580">
    <w:abstractNumId w:val="4"/>
  </w:num>
  <w:num w:numId="14" w16cid:durableId="634797017">
    <w:abstractNumId w:val="8"/>
  </w:num>
  <w:num w:numId="15" w16cid:durableId="915825117">
    <w:abstractNumId w:val="7"/>
  </w:num>
  <w:num w:numId="16" w16cid:durableId="206991905">
    <w:abstractNumId w:val="7"/>
  </w:num>
  <w:num w:numId="17" w16cid:durableId="1897666823">
    <w:abstractNumId w:val="7"/>
  </w:num>
  <w:num w:numId="18" w16cid:durableId="1350520565">
    <w:abstractNumId w:val="7"/>
  </w:num>
  <w:num w:numId="19" w16cid:durableId="1139762531">
    <w:abstractNumId w:val="7"/>
  </w:num>
  <w:num w:numId="20" w16cid:durableId="1372607948">
    <w:abstractNumId w:val="7"/>
  </w:num>
  <w:num w:numId="21" w16cid:durableId="1653825214">
    <w:abstractNumId w:val="6"/>
  </w:num>
  <w:num w:numId="22" w16cid:durableId="470681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vrzt5sv7wwaa2epps1vzttcw5r5awswf02e&quot;&gt;OGTR Plant Reference database-Converted&lt;record-ids&gt;&lt;item&gt;6268&lt;/item&gt;&lt;item&gt;16884&lt;/item&gt;&lt;item&gt;19505&lt;/item&gt;&lt;item&gt;19788&lt;/item&gt;&lt;item&gt;23310&lt;/item&gt;&lt;item&gt;23320&lt;/item&gt;&lt;item&gt;23331&lt;/item&gt;&lt;item&gt;24736&lt;/item&gt;&lt;item&gt;24767&lt;/item&gt;&lt;item&gt;24768&lt;/item&gt;&lt;item&gt;24779&lt;/item&gt;&lt;item&gt;24787&lt;/item&gt;&lt;item&gt;24909&lt;/item&gt;&lt;item&gt;26694&lt;/item&gt;&lt;/record-ids&gt;&lt;/item&gt;&lt;item db-id=&quot;wsespvvsn5zaaiezt58x59pxfad0z9xvwtt0&quot;&gt;DIR-205 Endnote library&lt;record-ids&gt;&lt;item&gt;21&lt;/item&gt;&lt;/record-ids&gt;&lt;/item&gt;&lt;/Libraries&gt;"/>
  </w:docVars>
  <w:rsids>
    <w:rsidRoot w:val="009F544D"/>
    <w:rsid w:val="00002E28"/>
    <w:rsid w:val="00003C6E"/>
    <w:rsid w:val="00006B62"/>
    <w:rsid w:val="000070E3"/>
    <w:rsid w:val="000129F6"/>
    <w:rsid w:val="00015221"/>
    <w:rsid w:val="000152A7"/>
    <w:rsid w:val="00021271"/>
    <w:rsid w:val="00022FAB"/>
    <w:rsid w:val="0002710A"/>
    <w:rsid w:val="000272E2"/>
    <w:rsid w:val="0003149D"/>
    <w:rsid w:val="0003283C"/>
    <w:rsid w:val="00032E1C"/>
    <w:rsid w:val="00033C38"/>
    <w:rsid w:val="000349D0"/>
    <w:rsid w:val="00034CCE"/>
    <w:rsid w:val="000427F3"/>
    <w:rsid w:val="00043E93"/>
    <w:rsid w:val="0004578B"/>
    <w:rsid w:val="00045925"/>
    <w:rsid w:val="000464AB"/>
    <w:rsid w:val="00046BB0"/>
    <w:rsid w:val="000470E9"/>
    <w:rsid w:val="000472D8"/>
    <w:rsid w:val="00047B6A"/>
    <w:rsid w:val="0005041E"/>
    <w:rsid w:val="00050F4A"/>
    <w:rsid w:val="000516E3"/>
    <w:rsid w:val="000518B4"/>
    <w:rsid w:val="00056877"/>
    <w:rsid w:val="0006058E"/>
    <w:rsid w:val="00064124"/>
    <w:rsid w:val="00066BDC"/>
    <w:rsid w:val="00066C99"/>
    <w:rsid w:val="00067B8C"/>
    <w:rsid w:val="00070CC3"/>
    <w:rsid w:val="00072BF7"/>
    <w:rsid w:val="000733B8"/>
    <w:rsid w:val="000744C7"/>
    <w:rsid w:val="00074836"/>
    <w:rsid w:val="000778CB"/>
    <w:rsid w:val="00083CC0"/>
    <w:rsid w:val="00084FF2"/>
    <w:rsid w:val="00087149"/>
    <w:rsid w:val="00087AD2"/>
    <w:rsid w:val="000905FA"/>
    <w:rsid w:val="00090ABF"/>
    <w:rsid w:val="0009752A"/>
    <w:rsid w:val="000A06EA"/>
    <w:rsid w:val="000A240A"/>
    <w:rsid w:val="000A2D50"/>
    <w:rsid w:val="000A30A1"/>
    <w:rsid w:val="000A6265"/>
    <w:rsid w:val="000B084E"/>
    <w:rsid w:val="000B0D88"/>
    <w:rsid w:val="000B3F6D"/>
    <w:rsid w:val="000B5712"/>
    <w:rsid w:val="000B7929"/>
    <w:rsid w:val="000C0BFF"/>
    <w:rsid w:val="000C1063"/>
    <w:rsid w:val="000C1F45"/>
    <w:rsid w:val="000C224F"/>
    <w:rsid w:val="000C44FE"/>
    <w:rsid w:val="000C5A55"/>
    <w:rsid w:val="000C5FB6"/>
    <w:rsid w:val="000D2206"/>
    <w:rsid w:val="000D3CB3"/>
    <w:rsid w:val="000D48DE"/>
    <w:rsid w:val="000D5C81"/>
    <w:rsid w:val="000D727E"/>
    <w:rsid w:val="000E1809"/>
    <w:rsid w:val="000E57A9"/>
    <w:rsid w:val="000E5A49"/>
    <w:rsid w:val="000E6E4D"/>
    <w:rsid w:val="000F0026"/>
    <w:rsid w:val="000F7B12"/>
    <w:rsid w:val="00100560"/>
    <w:rsid w:val="001016B9"/>
    <w:rsid w:val="00102F5D"/>
    <w:rsid w:val="00105C05"/>
    <w:rsid w:val="0011135B"/>
    <w:rsid w:val="00120DD5"/>
    <w:rsid w:val="00123F71"/>
    <w:rsid w:val="001267E4"/>
    <w:rsid w:val="00126E71"/>
    <w:rsid w:val="001317A6"/>
    <w:rsid w:val="001336AB"/>
    <w:rsid w:val="00133DF6"/>
    <w:rsid w:val="00134CA1"/>
    <w:rsid w:val="00142CCE"/>
    <w:rsid w:val="00150D77"/>
    <w:rsid w:val="001514C8"/>
    <w:rsid w:val="001548F0"/>
    <w:rsid w:val="0016136E"/>
    <w:rsid w:val="00161CC5"/>
    <w:rsid w:val="00167395"/>
    <w:rsid w:val="00171F9B"/>
    <w:rsid w:val="00174BF5"/>
    <w:rsid w:val="00174EDC"/>
    <w:rsid w:val="00175ABD"/>
    <w:rsid w:val="00177E32"/>
    <w:rsid w:val="00185D6A"/>
    <w:rsid w:val="00187CA9"/>
    <w:rsid w:val="00191A79"/>
    <w:rsid w:val="001944EF"/>
    <w:rsid w:val="00194789"/>
    <w:rsid w:val="00194A69"/>
    <w:rsid w:val="001962CF"/>
    <w:rsid w:val="001978E0"/>
    <w:rsid w:val="001A252A"/>
    <w:rsid w:val="001A753A"/>
    <w:rsid w:val="001B03F6"/>
    <w:rsid w:val="001B2A50"/>
    <w:rsid w:val="001B483D"/>
    <w:rsid w:val="001B4B63"/>
    <w:rsid w:val="001B67A8"/>
    <w:rsid w:val="001B6A68"/>
    <w:rsid w:val="001C062C"/>
    <w:rsid w:val="001D26F1"/>
    <w:rsid w:val="001D29F1"/>
    <w:rsid w:val="001E328E"/>
    <w:rsid w:val="001E76A4"/>
    <w:rsid w:val="001F118C"/>
    <w:rsid w:val="001F1781"/>
    <w:rsid w:val="001F1913"/>
    <w:rsid w:val="001F4449"/>
    <w:rsid w:val="001F5B3A"/>
    <w:rsid w:val="001F6FB0"/>
    <w:rsid w:val="00207D04"/>
    <w:rsid w:val="00210E71"/>
    <w:rsid w:val="00213F39"/>
    <w:rsid w:val="00217A0B"/>
    <w:rsid w:val="002220B0"/>
    <w:rsid w:val="00222BA1"/>
    <w:rsid w:val="00223F24"/>
    <w:rsid w:val="00224F83"/>
    <w:rsid w:val="00225888"/>
    <w:rsid w:val="00226183"/>
    <w:rsid w:val="00227C1E"/>
    <w:rsid w:val="00230750"/>
    <w:rsid w:val="00231501"/>
    <w:rsid w:val="0023169B"/>
    <w:rsid w:val="002326A3"/>
    <w:rsid w:val="0023274B"/>
    <w:rsid w:val="00232E82"/>
    <w:rsid w:val="002342D7"/>
    <w:rsid w:val="0024016E"/>
    <w:rsid w:val="00240441"/>
    <w:rsid w:val="00242B5C"/>
    <w:rsid w:val="002448C1"/>
    <w:rsid w:val="00247EC1"/>
    <w:rsid w:val="002555D3"/>
    <w:rsid w:val="002610E1"/>
    <w:rsid w:val="00263223"/>
    <w:rsid w:val="00265EB4"/>
    <w:rsid w:val="0026658F"/>
    <w:rsid w:val="00270860"/>
    <w:rsid w:val="00272E49"/>
    <w:rsid w:val="002764F7"/>
    <w:rsid w:val="00276CBB"/>
    <w:rsid w:val="00280050"/>
    <w:rsid w:val="00282501"/>
    <w:rsid w:val="002825B4"/>
    <w:rsid w:val="0028606D"/>
    <w:rsid w:val="00287A85"/>
    <w:rsid w:val="002900AE"/>
    <w:rsid w:val="002905FA"/>
    <w:rsid w:val="00290E09"/>
    <w:rsid w:val="00291516"/>
    <w:rsid w:val="00295293"/>
    <w:rsid w:val="0029674F"/>
    <w:rsid w:val="00297B76"/>
    <w:rsid w:val="002A2EFB"/>
    <w:rsid w:val="002A6C75"/>
    <w:rsid w:val="002B02E9"/>
    <w:rsid w:val="002B086B"/>
    <w:rsid w:val="002B2BD1"/>
    <w:rsid w:val="002B3EA2"/>
    <w:rsid w:val="002B3FA7"/>
    <w:rsid w:val="002B49EB"/>
    <w:rsid w:val="002B5F83"/>
    <w:rsid w:val="002B73BE"/>
    <w:rsid w:val="002C1B1A"/>
    <w:rsid w:val="002C3763"/>
    <w:rsid w:val="002C4EEA"/>
    <w:rsid w:val="002C7026"/>
    <w:rsid w:val="002D0144"/>
    <w:rsid w:val="002D0B56"/>
    <w:rsid w:val="002D2374"/>
    <w:rsid w:val="002D2C47"/>
    <w:rsid w:val="002D5584"/>
    <w:rsid w:val="002E11D3"/>
    <w:rsid w:val="002E1D2F"/>
    <w:rsid w:val="002E2717"/>
    <w:rsid w:val="002E381D"/>
    <w:rsid w:val="002E5F34"/>
    <w:rsid w:val="002E6A4E"/>
    <w:rsid w:val="002F27DA"/>
    <w:rsid w:val="002F2A7D"/>
    <w:rsid w:val="002F475E"/>
    <w:rsid w:val="002F5303"/>
    <w:rsid w:val="00305270"/>
    <w:rsid w:val="00311BCF"/>
    <w:rsid w:val="0031203E"/>
    <w:rsid w:val="00313195"/>
    <w:rsid w:val="00314206"/>
    <w:rsid w:val="00316DF5"/>
    <w:rsid w:val="003228FD"/>
    <w:rsid w:val="0032307F"/>
    <w:rsid w:val="00325226"/>
    <w:rsid w:val="00331C09"/>
    <w:rsid w:val="00333D6A"/>
    <w:rsid w:val="00334689"/>
    <w:rsid w:val="0033528B"/>
    <w:rsid w:val="00335F0E"/>
    <w:rsid w:val="00347885"/>
    <w:rsid w:val="00353203"/>
    <w:rsid w:val="00354F26"/>
    <w:rsid w:val="0035690E"/>
    <w:rsid w:val="003605CE"/>
    <w:rsid w:val="00363C1E"/>
    <w:rsid w:val="00364704"/>
    <w:rsid w:val="00364E32"/>
    <w:rsid w:val="00365FEB"/>
    <w:rsid w:val="00366566"/>
    <w:rsid w:val="00367587"/>
    <w:rsid w:val="003675F2"/>
    <w:rsid w:val="00367A28"/>
    <w:rsid w:val="00370795"/>
    <w:rsid w:val="00371410"/>
    <w:rsid w:val="003716AC"/>
    <w:rsid w:val="00372225"/>
    <w:rsid w:val="00381172"/>
    <w:rsid w:val="00381198"/>
    <w:rsid w:val="00383C17"/>
    <w:rsid w:val="003853A0"/>
    <w:rsid w:val="00387F55"/>
    <w:rsid w:val="00396D13"/>
    <w:rsid w:val="003A50DB"/>
    <w:rsid w:val="003A6A0E"/>
    <w:rsid w:val="003B227D"/>
    <w:rsid w:val="003B6C27"/>
    <w:rsid w:val="003C0674"/>
    <w:rsid w:val="003C2F8C"/>
    <w:rsid w:val="003C382F"/>
    <w:rsid w:val="003C5DA4"/>
    <w:rsid w:val="003D1581"/>
    <w:rsid w:val="003D2C2C"/>
    <w:rsid w:val="003D4724"/>
    <w:rsid w:val="003D7A01"/>
    <w:rsid w:val="003D7DA8"/>
    <w:rsid w:val="003E3A9D"/>
    <w:rsid w:val="003E47D3"/>
    <w:rsid w:val="003E4B73"/>
    <w:rsid w:val="003F1BBA"/>
    <w:rsid w:val="003F21FA"/>
    <w:rsid w:val="0040045F"/>
    <w:rsid w:val="004012FC"/>
    <w:rsid w:val="00401B40"/>
    <w:rsid w:val="00404C5B"/>
    <w:rsid w:val="004053EA"/>
    <w:rsid w:val="00405AD4"/>
    <w:rsid w:val="00407C4C"/>
    <w:rsid w:val="00414103"/>
    <w:rsid w:val="0041586E"/>
    <w:rsid w:val="00415A3E"/>
    <w:rsid w:val="00416747"/>
    <w:rsid w:val="0042194B"/>
    <w:rsid w:val="00423E1D"/>
    <w:rsid w:val="0042505F"/>
    <w:rsid w:val="0043053B"/>
    <w:rsid w:val="004332D6"/>
    <w:rsid w:val="00434020"/>
    <w:rsid w:val="00435B1B"/>
    <w:rsid w:val="00441DE7"/>
    <w:rsid w:val="00443379"/>
    <w:rsid w:val="004447A1"/>
    <w:rsid w:val="00444C6A"/>
    <w:rsid w:val="00454B21"/>
    <w:rsid w:val="00455385"/>
    <w:rsid w:val="004601E9"/>
    <w:rsid w:val="00460416"/>
    <w:rsid w:val="00460B0B"/>
    <w:rsid w:val="0046285E"/>
    <w:rsid w:val="00463F65"/>
    <w:rsid w:val="00464775"/>
    <w:rsid w:val="0046682D"/>
    <w:rsid w:val="004720E6"/>
    <w:rsid w:val="00474ED5"/>
    <w:rsid w:val="00476FF0"/>
    <w:rsid w:val="00477DA7"/>
    <w:rsid w:val="00481135"/>
    <w:rsid w:val="004973AB"/>
    <w:rsid w:val="004977D1"/>
    <w:rsid w:val="004A17CD"/>
    <w:rsid w:val="004A1E87"/>
    <w:rsid w:val="004B22A4"/>
    <w:rsid w:val="004B4B0B"/>
    <w:rsid w:val="004B67ED"/>
    <w:rsid w:val="004B72DA"/>
    <w:rsid w:val="004C1240"/>
    <w:rsid w:val="004D3016"/>
    <w:rsid w:val="004D5EC5"/>
    <w:rsid w:val="004E24A2"/>
    <w:rsid w:val="004E2F97"/>
    <w:rsid w:val="004E5AAB"/>
    <w:rsid w:val="004E5B07"/>
    <w:rsid w:val="004E6200"/>
    <w:rsid w:val="004F40B9"/>
    <w:rsid w:val="004F419E"/>
    <w:rsid w:val="0050257A"/>
    <w:rsid w:val="00502DFD"/>
    <w:rsid w:val="00507693"/>
    <w:rsid w:val="0051163F"/>
    <w:rsid w:val="00511C1D"/>
    <w:rsid w:val="005124B4"/>
    <w:rsid w:val="005148F4"/>
    <w:rsid w:val="005161C2"/>
    <w:rsid w:val="005167C4"/>
    <w:rsid w:val="00516E0B"/>
    <w:rsid w:val="00526F91"/>
    <w:rsid w:val="00531931"/>
    <w:rsid w:val="0053644A"/>
    <w:rsid w:val="00537C9E"/>
    <w:rsid w:val="00540FAC"/>
    <w:rsid w:val="00547081"/>
    <w:rsid w:val="00547A42"/>
    <w:rsid w:val="00553C35"/>
    <w:rsid w:val="00555655"/>
    <w:rsid w:val="005630B5"/>
    <w:rsid w:val="005632EF"/>
    <w:rsid w:val="005657F8"/>
    <w:rsid w:val="00570C21"/>
    <w:rsid w:val="00572420"/>
    <w:rsid w:val="00580136"/>
    <w:rsid w:val="005820F3"/>
    <w:rsid w:val="00587D61"/>
    <w:rsid w:val="00590D96"/>
    <w:rsid w:val="00591CE4"/>
    <w:rsid w:val="0059478C"/>
    <w:rsid w:val="00595BED"/>
    <w:rsid w:val="0059640A"/>
    <w:rsid w:val="005969F2"/>
    <w:rsid w:val="00597099"/>
    <w:rsid w:val="00597EAA"/>
    <w:rsid w:val="005A074F"/>
    <w:rsid w:val="005A19C6"/>
    <w:rsid w:val="005A4E18"/>
    <w:rsid w:val="005A607D"/>
    <w:rsid w:val="005B4930"/>
    <w:rsid w:val="005B5F56"/>
    <w:rsid w:val="005B72FB"/>
    <w:rsid w:val="005B77DF"/>
    <w:rsid w:val="005B78DA"/>
    <w:rsid w:val="005C08FC"/>
    <w:rsid w:val="005C2170"/>
    <w:rsid w:val="005C5908"/>
    <w:rsid w:val="005C688C"/>
    <w:rsid w:val="005D2F25"/>
    <w:rsid w:val="005E1AFF"/>
    <w:rsid w:val="005E71F1"/>
    <w:rsid w:val="005F2B0D"/>
    <w:rsid w:val="0060567B"/>
    <w:rsid w:val="00611A40"/>
    <w:rsid w:val="006133D9"/>
    <w:rsid w:val="0061373E"/>
    <w:rsid w:val="006140B5"/>
    <w:rsid w:val="0062020C"/>
    <w:rsid w:val="00620491"/>
    <w:rsid w:val="006204C6"/>
    <w:rsid w:val="00621F54"/>
    <w:rsid w:val="00623AA3"/>
    <w:rsid w:val="00624009"/>
    <w:rsid w:val="0062732B"/>
    <w:rsid w:val="00634874"/>
    <w:rsid w:val="006360D7"/>
    <w:rsid w:val="00637CBD"/>
    <w:rsid w:val="0064031C"/>
    <w:rsid w:val="00640BC4"/>
    <w:rsid w:val="00641DB4"/>
    <w:rsid w:val="00641FF3"/>
    <w:rsid w:val="00643C91"/>
    <w:rsid w:val="00646336"/>
    <w:rsid w:val="0065064F"/>
    <w:rsid w:val="006539F2"/>
    <w:rsid w:val="0065585D"/>
    <w:rsid w:val="00663246"/>
    <w:rsid w:val="00663DDB"/>
    <w:rsid w:val="00663FBD"/>
    <w:rsid w:val="00667209"/>
    <w:rsid w:val="00670D01"/>
    <w:rsid w:val="00671F53"/>
    <w:rsid w:val="00673EE1"/>
    <w:rsid w:val="00677238"/>
    <w:rsid w:val="00685B9A"/>
    <w:rsid w:val="006866CB"/>
    <w:rsid w:val="00694C3F"/>
    <w:rsid w:val="00696645"/>
    <w:rsid w:val="006973B1"/>
    <w:rsid w:val="006A3A4F"/>
    <w:rsid w:val="006A51E9"/>
    <w:rsid w:val="006B0254"/>
    <w:rsid w:val="006B3B5E"/>
    <w:rsid w:val="006B7FC1"/>
    <w:rsid w:val="006C26CE"/>
    <w:rsid w:val="006C6396"/>
    <w:rsid w:val="006C7124"/>
    <w:rsid w:val="006C79A5"/>
    <w:rsid w:val="006D03D7"/>
    <w:rsid w:val="006D275D"/>
    <w:rsid w:val="006D6F46"/>
    <w:rsid w:val="006E12A0"/>
    <w:rsid w:val="006E2196"/>
    <w:rsid w:val="006E3275"/>
    <w:rsid w:val="006E3DC4"/>
    <w:rsid w:val="006E5C49"/>
    <w:rsid w:val="006E7317"/>
    <w:rsid w:val="006F4621"/>
    <w:rsid w:val="00702298"/>
    <w:rsid w:val="00704BB1"/>
    <w:rsid w:val="00706C75"/>
    <w:rsid w:val="00707A60"/>
    <w:rsid w:val="007108D9"/>
    <w:rsid w:val="00712CD8"/>
    <w:rsid w:val="00714E15"/>
    <w:rsid w:val="007157B8"/>
    <w:rsid w:val="00716428"/>
    <w:rsid w:val="007202BB"/>
    <w:rsid w:val="00727A31"/>
    <w:rsid w:val="00730AB3"/>
    <w:rsid w:val="00730D38"/>
    <w:rsid w:val="00730FDC"/>
    <w:rsid w:val="007313FC"/>
    <w:rsid w:val="0073616C"/>
    <w:rsid w:val="007375FF"/>
    <w:rsid w:val="007379E4"/>
    <w:rsid w:val="007400CC"/>
    <w:rsid w:val="0074254E"/>
    <w:rsid w:val="00750EF6"/>
    <w:rsid w:val="007520D5"/>
    <w:rsid w:val="007549C8"/>
    <w:rsid w:val="0075608E"/>
    <w:rsid w:val="007612D8"/>
    <w:rsid w:val="00762FC0"/>
    <w:rsid w:val="0076332E"/>
    <w:rsid w:val="00767DC7"/>
    <w:rsid w:val="0077060B"/>
    <w:rsid w:val="007711FC"/>
    <w:rsid w:val="0077218E"/>
    <w:rsid w:val="00772B55"/>
    <w:rsid w:val="00782135"/>
    <w:rsid w:val="00783960"/>
    <w:rsid w:val="00784BE4"/>
    <w:rsid w:val="00784E62"/>
    <w:rsid w:val="007854C7"/>
    <w:rsid w:val="00794E3D"/>
    <w:rsid w:val="007A10C0"/>
    <w:rsid w:val="007A174C"/>
    <w:rsid w:val="007A5BBC"/>
    <w:rsid w:val="007A5C31"/>
    <w:rsid w:val="007A616C"/>
    <w:rsid w:val="007A77C2"/>
    <w:rsid w:val="007A7E87"/>
    <w:rsid w:val="007B0D3F"/>
    <w:rsid w:val="007B2FF6"/>
    <w:rsid w:val="007C05F3"/>
    <w:rsid w:val="007C209A"/>
    <w:rsid w:val="007D0C10"/>
    <w:rsid w:val="007D1879"/>
    <w:rsid w:val="007D2781"/>
    <w:rsid w:val="007D2B0D"/>
    <w:rsid w:val="007D3C55"/>
    <w:rsid w:val="007E0DFE"/>
    <w:rsid w:val="007E16F8"/>
    <w:rsid w:val="007E290C"/>
    <w:rsid w:val="007E354E"/>
    <w:rsid w:val="007E3BF9"/>
    <w:rsid w:val="007E3E19"/>
    <w:rsid w:val="007F2BEA"/>
    <w:rsid w:val="007F4162"/>
    <w:rsid w:val="007F4C87"/>
    <w:rsid w:val="007F57DB"/>
    <w:rsid w:val="007F62C5"/>
    <w:rsid w:val="007F63ED"/>
    <w:rsid w:val="00801233"/>
    <w:rsid w:val="00803304"/>
    <w:rsid w:val="00804CF7"/>
    <w:rsid w:val="00806567"/>
    <w:rsid w:val="00811D77"/>
    <w:rsid w:val="00815044"/>
    <w:rsid w:val="008151F3"/>
    <w:rsid w:val="00816AA8"/>
    <w:rsid w:val="0082299C"/>
    <w:rsid w:val="00832761"/>
    <w:rsid w:val="00836EF4"/>
    <w:rsid w:val="00836F7E"/>
    <w:rsid w:val="0085010F"/>
    <w:rsid w:val="008507F5"/>
    <w:rsid w:val="0085229D"/>
    <w:rsid w:val="00852A1F"/>
    <w:rsid w:val="008536E1"/>
    <w:rsid w:val="00856B48"/>
    <w:rsid w:val="0085797A"/>
    <w:rsid w:val="008654CF"/>
    <w:rsid w:val="008705BC"/>
    <w:rsid w:val="00870680"/>
    <w:rsid w:val="008711A6"/>
    <w:rsid w:val="0087292E"/>
    <w:rsid w:val="0087427B"/>
    <w:rsid w:val="00875648"/>
    <w:rsid w:val="008846F4"/>
    <w:rsid w:val="008849F6"/>
    <w:rsid w:val="00895B5D"/>
    <w:rsid w:val="008968D5"/>
    <w:rsid w:val="008978AD"/>
    <w:rsid w:val="00897C23"/>
    <w:rsid w:val="008A3D7F"/>
    <w:rsid w:val="008B57F8"/>
    <w:rsid w:val="008B64C2"/>
    <w:rsid w:val="008C1B3B"/>
    <w:rsid w:val="008C5B19"/>
    <w:rsid w:val="008C6677"/>
    <w:rsid w:val="008D031D"/>
    <w:rsid w:val="008E0A7C"/>
    <w:rsid w:val="008E4554"/>
    <w:rsid w:val="008E6F7D"/>
    <w:rsid w:val="008E7AA5"/>
    <w:rsid w:val="008F2D5A"/>
    <w:rsid w:val="008F3413"/>
    <w:rsid w:val="008F3959"/>
    <w:rsid w:val="008F6CDB"/>
    <w:rsid w:val="00900382"/>
    <w:rsid w:val="00901C90"/>
    <w:rsid w:val="00901DB4"/>
    <w:rsid w:val="00902CBA"/>
    <w:rsid w:val="00910064"/>
    <w:rsid w:val="00910C0B"/>
    <w:rsid w:val="00911EEB"/>
    <w:rsid w:val="009123CA"/>
    <w:rsid w:val="00914E1B"/>
    <w:rsid w:val="00916225"/>
    <w:rsid w:val="00921CAA"/>
    <w:rsid w:val="00922BEF"/>
    <w:rsid w:val="00923A59"/>
    <w:rsid w:val="00923B33"/>
    <w:rsid w:val="009252FC"/>
    <w:rsid w:val="00933C3A"/>
    <w:rsid w:val="00937CCF"/>
    <w:rsid w:val="00937EB6"/>
    <w:rsid w:val="00941C4A"/>
    <w:rsid w:val="00941CF1"/>
    <w:rsid w:val="00946DF1"/>
    <w:rsid w:val="00950876"/>
    <w:rsid w:val="00952F8D"/>
    <w:rsid w:val="009531ED"/>
    <w:rsid w:val="00954D27"/>
    <w:rsid w:val="009578D7"/>
    <w:rsid w:val="0096123F"/>
    <w:rsid w:val="0096368D"/>
    <w:rsid w:val="009708EC"/>
    <w:rsid w:val="00970D00"/>
    <w:rsid w:val="00971EAF"/>
    <w:rsid w:val="00973C3E"/>
    <w:rsid w:val="00974E48"/>
    <w:rsid w:val="00975764"/>
    <w:rsid w:val="00980DC9"/>
    <w:rsid w:val="009814DB"/>
    <w:rsid w:val="00982AE8"/>
    <w:rsid w:val="009838F2"/>
    <w:rsid w:val="00985230"/>
    <w:rsid w:val="00985323"/>
    <w:rsid w:val="0098584B"/>
    <w:rsid w:val="009871BE"/>
    <w:rsid w:val="009872FA"/>
    <w:rsid w:val="009922B1"/>
    <w:rsid w:val="00993D6C"/>
    <w:rsid w:val="00995337"/>
    <w:rsid w:val="009A0C15"/>
    <w:rsid w:val="009A50F0"/>
    <w:rsid w:val="009A6731"/>
    <w:rsid w:val="009A6825"/>
    <w:rsid w:val="009A6DE7"/>
    <w:rsid w:val="009A7122"/>
    <w:rsid w:val="009B6AE2"/>
    <w:rsid w:val="009C0F06"/>
    <w:rsid w:val="009C6D27"/>
    <w:rsid w:val="009C6F7A"/>
    <w:rsid w:val="009D1EE4"/>
    <w:rsid w:val="009D2162"/>
    <w:rsid w:val="009D4568"/>
    <w:rsid w:val="009D4A30"/>
    <w:rsid w:val="009D7CF5"/>
    <w:rsid w:val="009E0052"/>
    <w:rsid w:val="009E66E1"/>
    <w:rsid w:val="009F544D"/>
    <w:rsid w:val="00A0203F"/>
    <w:rsid w:val="00A04B01"/>
    <w:rsid w:val="00A11099"/>
    <w:rsid w:val="00A12ECF"/>
    <w:rsid w:val="00A13D8F"/>
    <w:rsid w:val="00A166F3"/>
    <w:rsid w:val="00A17CF0"/>
    <w:rsid w:val="00A20308"/>
    <w:rsid w:val="00A20F8B"/>
    <w:rsid w:val="00A20FD0"/>
    <w:rsid w:val="00A2133F"/>
    <w:rsid w:val="00A21A14"/>
    <w:rsid w:val="00A24F90"/>
    <w:rsid w:val="00A25467"/>
    <w:rsid w:val="00A31B31"/>
    <w:rsid w:val="00A40632"/>
    <w:rsid w:val="00A41B0B"/>
    <w:rsid w:val="00A41E76"/>
    <w:rsid w:val="00A42FAE"/>
    <w:rsid w:val="00A43831"/>
    <w:rsid w:val="00A442F8"/>
    <w:rsid w:val="00A51FD1"/>
    <w:rsid w:val="00A52756"/>
    <w:rsid w:val="00A52EE5"/>
    <w:rsid w:val="00A61334"/>
    <w:rsid w:val="00A63235"/>
    <w:rsid w:val="00A6676C"/>
    <w:rsid w:val="00A6735E"/>
    <w:rsid w:val="00A677E5"/>
    <w:rsid w:val="00A67B2B"/>
    <w:rsid w:val="00A701CA"/>
    <w:rsid w:val="00A71047"/>
    <w:rsid w:val="00A74F3F"/>
    <w:rsid w:val="00A776C9"/>
    <w:rsid w:val="00A821C1"/>
    <w:rsid w:val="00A83CB2"/>
    <w:rsid w:val="00A84C43"/>
    <w:rsid w:val="00A85DD7"/>
    <w:rsid w:val="00A8612F"/>
    <w:rsid w:val="00A93450"/>
    <w:rsid w:val="00A94087"/>
    <w:rsid w:val="00A94B53"/>
    <w:rsid w:val="00AA06CF"/>
    <w:rsid w:val="00AA0CD3"/>
    <w:rsid w:val="00AA3282"/>
    <w:rsid w:val="00AA3A25"/>
    <w:rsid w:val="00AB0B6E"/>
    <w:rsid w:val="00AB1565"/>
    <w:rsid w:val="00AB15A4"/>
    <w:rsid w:val="00AB433D"/>
    <w:rsid w:val="00AB57C9"/>
    <w:rsid w:val="00AC220F"/>
    <w:rsid w:val="00AD32AC"/>
    <w:rsid w:val="00AD6352"/>
    <w:rsid w:val="00AE0765"/>
    <w:rsid w:val="00AE098D"/>
    <w:rsid w:val="00AE624E"/>
    <w:rsid w:val="00AE63E4"/>
    <w:rsid w:val="00AE74C6"/>
    <w:rsid w:val="00AF19DA"/>
    <w:rsid w:val="00AF4970"/>
    <w:rsid w:val="00AF67EC"/>
    <w:rsid w:val="00B00143"/>
    <w:rsid w:val="00B10260"/>
    <w:rsid w:val="00B1284D"/>
    <w:rsid w:val="00B15667"/>
    <w:rsid w:val="00B175DA"/>
    <w:rsid w:val="00B17689"/>
    <w:rsid w:val="00B23E52"/>
    <w:rsid w:val="00B250D7"/>
    <w:rsid w:val="00B257F6"/>
    <w:rsid w:val="00B3491B"/>
    <w:rsid w:val="00B37BEC"/>
    <w:rsid w:val="00B41C8C"/>
    <w:rsid w:val="00B435C7"/>
    <w:rsid w:val="00B4501B"/>
    <w:rsid w:val="00B51EAC"/>
    <w:rsid w:val="00B57797"/>
    <w:rsid w:val="00B654E0"/>
    <w:rsid w:val="00B67E97"/>
    <w:rsid w:val="00B70667"/>
    <w:rsid w:val="00B716F2"/>
    <w:rsid w:val="00B724EC"/>
    <w:rsid w:val="00B72B37"/>
    <w:rsid w:val="00B76396"/>
    <w:rsid w:val="00B763E6"/>
    <w:rsid w:val="00B76820"/>
    <w:rsid w:val="00B77A3E"/>
    <w:rsid w:val="00B77E30"/>
    <w:rsid w:val="00B80D15"/>
    <w:rsid w:val="00B82374"/>
    <w:rsid w:val="00B934B7"/>
    <w:rsid w:val="00B93E8C"/>
    <w:rsid w:val="00B94A9F"/>
    <w:rsid w:val="00B97E75"/>
    <w:rsid w:val="00BA3ECB"/>
    <w:rsid w:val="00BA6E5B"/>
    <w:rsid w:val="00BA7934"/>
    <w:rsid w:val="00BB0C17"/>
    <w:rsid w:val="00BB1092"/>
    <w:rsid w:val="00BB744D"/>
    <w:rsid w:val="00BB7E05"/>
    <w:rsid w:val="00BC13A9"/>
    <w:rsid w:val="00BC13E5"/>
    <w:rsid w:val="00BC3768"/>
    <w:rsid w:val="00BC39EF"/>
    <w:rsid w:val="00BC3EA2"/>
    <w:rsid w:val="00BC52E6"/>
    <w:rsid w:val="00BC600F"/>
    <w:rsid w:val="00BC726A"/>
    <w:rsid w:val="00BD02E7"/>
    <w:rsid w:val="00BD0A16"/>
    <w:rsid w:val="00BD2237"/>
    <w:rsid w:val="00BD5E9F"/>
    <w:rsid w:val="00BD6296"/>
    <w:rsid w:val="00BE0254"/>
    <w:rsid w:val="00BE063C"/>
    <w:rsid w:val="00BE4346"/>
    <w:rsid w:val="00BE5FCE"/>
    <w:rsid w:val="00BE70E4"/>
    <w:rsid w:val="00BF1764"/>
    <w:rsid w:val="00BF4A81"/>
    <w:rsid w:val="00BF7912"/>
    <w:rsid w:val="00C0166B"/>
    <w:rsid w:val="00C04BC2"/>
    <w:rsid w:val="00C10539"/>
    <w:rsid w:val="00C13548"/>
    <w:rsid w:val="00C13F36"/>
    <w:rsid w:val="00C17944"/>
    <w:rsid w:val="00C20F4F"/>
    <w:rsid w:val="00C229B1"/>
    <w:rsid w:val="00C22D76"/>
    <w:rsid w:val="00C2669C"/>
    <w:rsid w:val="00C27AEE"/>
    <w:rsid w:val="00C318E4"/>
    <w:rsid w:val="00C32F05"/>
    <w:rsid w:val="00C34763"/>
    <w:rsid w:val="00C40DE5"/>
    <w:rsid w:val="00C41834"/>
    <w:rsid w:val="00C434A3"/>
    <w:rsid w:val="00C50505"/>
    <w:rsid w:val="00C5142C"/>
    <w:rsid w:val="00C51733"/>
    <w:rsid w:val="00C51A72"/>
    <w:rsid w:val="00C6230F"/>
    <w:rsid w:val="00C633F7"/>
    <w:rsid w:val="00C6470C"/>
    <w:rsid w:val="00C66D68"/>
    <w:rsid w:val="00C671E2"/>
    <w:rsid w:val="00C75BE2"/>
    <w:rsid w:val="00C80B32"/>
    <w:rsid w:val="00C83040"/>
    <w:rsid w:val="00C86673"/>
    <w:rsid w:val="00C908F9"/>
    <w:rsid w:val="00C9168C"/>
    <w:rsid w:val="00C93D40"/>
    <w:rsid w:val="00C9526C"/>
    <w:rsid w:val="00C96940"/>
    <w:rsid w:val="00CA4F2D"/>
    <w:rsid w:val="00CB0EBD"/>
    <w:rsid w:val="00CB226C"/>
    <w:rsid w:val="00CB273B"/>
    <w:rsid w:val="00CB5247"/>
    <w:rsid w:val="00CB53B4"/>
    <w:rsid w:val="00CC0712"/>
    <w:rsid w:val="00CC1F35"/>
    <w:rsid w:val="00CC274F"/>
    <w:rsid w:val="00CC359C"/>
    <w:rsid w:val="00CC5808"/>
    <w:rsid w:val="00CD1714"/>
    <w:rsid w:val="00CD1CC0"/>
    <w:rsid w:val="00CE30A1"/>
    <w:rsid w:val="00CE4EAE"/>
    <w:rsid w:val="00CE7C4D"/>
    <w:rsid w:val="00CF15F9"/>
    <w:rsid w:val="00CF3052"/>
    <w:rsid w:val="00CF3534"/>
    <w:rsid w:val="00CF7A80"/>
    <w:rsid w:val="00D00487"/>
    <w:rsid w:val="00D01EE5"/>
    <w:rsid w:val="00D04767"/>
    <w:rsid w:val="00D06ABF"/>
    <w:rsid w:val="00D103DC"/>
    <w:rsid w:val="00D11A24"/>
    <w:rsid w:val="00D11FBD"/>
    <w:rsid w:val="00D17D77"/>
    <w:rsid w:val="00D22817"/>
    <w:rsid w:val="00D24957"/>
    <w:rsid w:val="00D27645"/>
    <w:rsid w:val="00D27D8C"/>
    <w:rsid w:val="00D35B25"/>
    <w:rsid w:val="00D360B8"/>
    <w:rsid w:val="00D401D7"/>
    <w:rsid w:val="00D41833"/>
    <w:rsid w:val="00D43017"/>
    <w:rsid w:val="00D45433"/>
    <w:rsid w:val="00D45D6D"/>
    <w:rsid w:val="00D46C94"/>
    <w:rsid w:val="00D52C11"/>
    <w:rsid w:val="00D53548"/>
    <w:rsid w:val="00D57728"/>
    <w:rsid w:val="00D65A9E"/>
    <w:rsid w:val="00D67FDA"/>
    <w:rsid w:val="00D718D5"/>
    <w:rsid w:val="00D7252A"/>
    <w:rsid w:val="00D7388B"/>
    <w:rsid w:val="00D77D58"/>
    <w:rsid w:val="00D8036A"/>
    <w:rsid w:val="00D86D22"/>
    <w:rsid w:val="00D90330"/>
    <w:rsid w:val="00D93642"/>
    <w:rsid w:val="00D94441"/>
    <w:rsid w:val="00D94AEC"/>
    <w:rsid w:val="00D96763"/>
    <w:rsid w:val="00DB09CF"/>
    <w:rsid w:val="00DB173B"/>
    <w:rsid w:val="00DB1EF7"/>
    <w:rsid w:val="00DB245F"/>
    <w:rsid w:val="00DB48CB"/>
    <w:rsid w:val="00DB72AA"/>
    <w:rsid w:val="00DC26B6"/>
    <w:rsid w:val="00DC428B"/>
    <w:rsid w:val="00DC678C"/>
    <w:rsid w:val="00DD0C9F"/>
    <w:rsid w:val="00DD402B"/>
    <w:rsid w:val="00DD5E57"/>
    <w:rsid w:val="00DE0864"/>
    <w:rsid w:val="00DE2AF3"/>
    <w:rsid w:val="00DE58B7"/>
    <w:rsid w:val="00DE6682"/>
    <w:rsid w:val="00DE68FB"/>
    <w:rsid w:val="00DE6963"/>
    <w:rsid w:val="00DF0F01"/>
    <w:rsid w:val="00DF2594"/>
    <w:rsid w:val="00DF3A29"/>
    <w:rsid w:val="00DF57A0"/>
    <w:rsid w:val="00DF6A22"/>
    <w:rsid w:val="00DF6AAF"/>
    <w:rsid w:val="00E00A69"/>
    <w:rsid w:val="00E03DEC"/>
    <w:rsid w:val="00E14770"/>
    <w:rsid w:val="00E148FF"/>
    <w:rsid w:val="00E20CB8"/>
    <w:rsid w:val="00E21619"/>
    <w:rsid w:val="00E23B13"/>
    <w:rsid w:val="00E32813"/>
    <w:rsid w:val="00E34634"/>
    <w:rsid w:val="00E41CC0"/>
    <w:rsid w:val="00E43B95"/>
    <w:rsid w:val="00E43FEF"/>
    <w:rsid w:val="00E47748"/>
    <w:rsid w:val="00E5398B"/>
    <w:rsid w:val="00E55AE1"/>
    <w:rsid w:val="00E5689A"/>
    <w:rsid w:val="00E570AC"/>
    <w:rsid w:val="00E57592"/>
    <w:rsid w:val="00E60A15"/>
    <w:rsid w:val="00E64C56"/>
    <w:rsid w:val="00E66298"/>
    <w:rsid w:val="00E673A0"/>
    <w:rsid w:val="00E677DB"/>
    <w:rsid w:val="00E71FBA"/>
    <w:rsid w:val="00E77975"/>
    <w:rsid w:val="00E80D92"/>
    <w:rsid w:val="00E82473"/>
    <w:rsid w:val="00E82CBE"/>
    <w:rsid w:val="00E84468"/>
    <w:rsid w:val="00E84A83"/>
    <w:rsid w:val="00E86552"/>
    <w:rsid w:val="00E87005"/>
    <w:rsid w:val="00E8707F"/>
    <w:rsid w:val="00E902B3"/>
    <w:rsid w:val="00E918CC"/>
    <w:rsid w:val="00E952CB"/>
    <w:rsid w:val="00EA0852"/>
    <w:rsid w:val="00EA5298"/>
    <w:rsid w:val="00EA7894"/>
    <w:rsid w:val="00EA7F90"/>
    <w:rsid w:val="00EB31B2"/>
    <w:rsid w:val="00EB3E46"/>
    <w:rsid w:val="00EB4A18"/>
    <w:rsid w:val="00EB6CBE"/>
    <w:rsid w:val="00EC1089"/>
    <w:rsid w:val="00EC5F6E"/>
    <w:rsid w:val="00ED0B48"/>
    <w:rsid w:val="00ED3140"/>
    <w:rsid w:val="00ED41EC"/>
    <w:rsid w:val="00ED4450"/>
    <w:rsid w:val="00ED63DA"/>
    <w:rsid w:val="00ED671D"/>
    <w:rsid w:val="00EE2A81"/>
    <w:rsid w:val="00EE30AA"/>
    <w:rsid w:val="00EF14C9"/>
    <w:rsid w:val="00EF21D7"/>
    <w:rsid w:val="00EF3738"/>
    <w:rsid w:val="00EF3C81"/>
    <w:rsid w:val="00EF489E"/>
    <w:rsid w:val="00EF5F5B"/>
    <w:rsid w:val="00EF64C6"/>
    <w:rsid w:val="00EF7E42"/>
    <w:rsid w:val="00F022B5"/>
    <w:rsid w:val="00F0358D"/>
    <w:rsid w:val="00F058BB"/>
    <w:rsid w:val="00F14D6C"/>
    <w:rsid w:val="00F21C85"/>
    <w:rsid w:val="00F22FAA"/>
    <w:rsid w:val="00F23E08"/>
    <w:rsid w:val="00F247C5"/>
    <w:rsid w:val="00F25FAE"/>
    <w:rsid w:val="00F2775C"/>
    <w:rsid w:val="00F318B7"/>
    <w:rsid w:val="00F37795"/>
    <w:rsid w:val="00F40EB0"/>
    <w:rsid w:val="00F41C65"/>
    <w:rsid w:val="00F542E4"/>
    <w:rsid w:val="00F56A14"/>
    <w:rsid w:val="00F57ED1"/>
    <w:rsid w:val="00F634B4"/>
    <w:rsid w:val="00F64B14"/>
    <w:rsid w:val="00F65EB5"/>
    <w:rsid w:val="00F67B10"/>
    <w:rsid w:val="00F712EC"/>
    <w:rsid w:val="00F72F2B"/>
    <w:rsid w:val="00F7397E"/>
    <w:rsid w:val="00F76318"/>
    <w:rsid w:val="00F767F1"/>
    <w:rsid w:val="00F77F79"/>
    <w:rsid w:val="00F8119C"/>
    <w:rsid w:val="00F81BAC"/>
    <w:rsid w:val="00F82DF0"/>
    <w:rsid w:val="00F83BF1"/>
    <w:rsid w:val="00F870D7"/>
    <w:rsid w:val="00F87909"/>
    <w:rsid w:val="00F90E67"/>
    <w:rsid w:val="00F91A56"/>
    <w:rsid w:val="00F949E0"/>
    <w:rsid w:val="00F97A39"/>
    <w:rsid w:val="00FA262F"/>
    <w:rsid w:val="00FA6AC1"/>
    <w:rsid w:val="00FA7676"/>
    <w:rsid w:val="00FB00A9"/>
    <w:rsid w:val="00FB410F"/>
    <w:rsid w:val="00FB532D"/>
    <w:rsid w:val="00FB54A5"/>
    <w:rsid w:val="00FB745A"/>
    <w:rsid w:val="00FB7584"/>
    <w:rsid w:val="00FC27AB"/>
    <w:rsid w:val="00FC377E"/>
    <w:rsid w:val="00FD1FE8"/>
    <w:rsid w:val="00FE26D6"/>
    <w:rsid w:val="00FE3641"/>
    <w:rsid w:val="00FE48FB"/>
    <w:rsid w:val="00FE7BEB"/>
    <w:rsid w:val="00FF1003"/>
    <w:rsid w:val="00FF1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8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4D"/>
    <w:pPr>
      <w:spacing w:after="120"/>
    </w:pPr>
    <w:rPr>
      <w:rFonts w:asciiTheme="minorHAnsi" w:hAnsiTheme="minorHAnsi" w:cstheme="minorHAnsi"/>
      <w:sz w:val="22"/>
      <w:szCs w:val="22"/>
    </w:rPr>
  </w:style>
  <w:style w:type="paragraph" w:styleId="Heading2">
    <w:name w:val="heading 2"/>
    <w:basedOn w:val="Normal"/>
    <w:next w:val="Normal"/>
    <w:link w:val="Heading2Char"/>
    <w:qFormat/>
    <w:rsid w:val="00856B48"/>
    <w:pPr>
      <w:keepNext/>
      <w:numPr>
        <w:numId w:val="7"/>
      </w:numPr>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uiPriority w:val="9"/>
    <w:unhideWhenUsed/>
    <w:qFormat/>
    <w:rsid w:val="000B0D88"/>
    <w:pPr>
      <w:keepNext/>
      <w:keepLines/>
      <w:numPr>
        <w:ilvl w:val="1"/>
        <w:numId w:val="7"/>
      </w:numPr>
      <w:spacing w:before="40" w:after="0"/>
      <w:outlineLvl w:val="2"/>
    </w:pPr>
    <w:rPr>
      <w:rFonts w:ascii="Calibri" w:eastAsiaTheme="majorEastAsia" w:hAnsi="Calibri" w:cs="Calibri"/>
      <w:b/>
      <w:sz w:val="24"/>
      <w:szCs w:val="24"/>
    </w:rPr>
  </w:style>
  <w:style w:type="paragraph" w:styleId="Heading4">
    <w:name w:val="heading 4"/>
    <w:basedOn w:val="Normal"/>
    <w:next w:val="Normal"/>
    <w:link w:val="Heading4Char"/>
    <w:uiPriority w:val="9"/>
    <w:unhideWhenUsed/>
    <w:qFormat/>
    <w:rsid w:val="000B0D88"/>
    <w:pPr>
      <w:keepNext/>
      <w:keepLines/>
      <w:numPr>
        <w:ilvl w:val="2"/>
        <w:numId w:val="7"/>
      </w:numPr>
      <w:spacing w:before="40" w:after="0"/>
      <w:outlineLvl w:val="3"/>
    </w:pPr>
    <w:rPr>
      <w:rFonts w:ascii="Calibri" w:eastAsiaTheme="majorEastAsia" w:hAnsi="Calibri" w:cs="Calibr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2">
    <w:name w:val="Title Page 2"/>
    <w:basedOn w:val="Normal"/>
    <w:qFormat/>
    <w:rsid w:val="002C1B1A"/>
    <w:pPr>
      <w:spacing w:before="1440" w:after="960"/>
      <w:jc w:val="center"/>
    </w:pPr>
    <w:rPr>
      <w:rFonts w:ascii="Calibri" w:hAnsi="Calibri" w:cs="Calibri"/>
      <w:sz w:val="48"/>
    </w:rPr>
  </w:style>
  <w:style w:type="paragraph" w:customStyle="1" w:styleId="TitlePage">
    <w:name w:val="Title Page"/>
    <w:basedOn w:val="Normal"/>
    <w:qFormat/>
    <w:rsid w:val="002C1B1A"/>
    <w:pPr>
      <w:spacing w:before="480"/>
      <w:jc w:val="center"/>
    </w:pPr>
    <w:rPr>
      <w:rFonts w:ascii="Calibri" w:hAnsi="Calibri" w:cs="Calibri"/>
      <w:sz w:val="56"/>
    </w:rPr>
  </w:style>
  <w:style w:type="paragraph" w:styleId="Header">
    <w:name w:val="header"/>
    <w:basedOn w:val="Normal"/>
    <w:link w:val="HeaderChar"/>
    <w:uiPriority w:val="99"/>
    <w:unhideWhenUsed/>
    <w:rsid w:val="00980DC9"/>
    <w:pPr>
      <w:tabs>
        <w:tab w:val="center" w:pos="4513"/>
        <w:tab w:val="right" w:pos="9026"/>
      </w:tabs>
      <w:spacing w:after="0" w:line="240" w:lineRule="auto"/>
    </w:pPr>
    <w:rPr>
      <w:sz w:val="16"/>
      <w:szCs w:val="16"/>
    </w:rPr>
  </w:style>
  <w:style w:type="character" w:customStyle="1" w:styleId="HeaderChar">
    <w:name w:val="Header Char"/>
    <w:basedOn w:val="DefaultParagraphFont"/>
    <w:link w:val="Header"/>
    <w:uiPriority w:val="99"/>
    <w:rsid w:val="00980DC9"/>
    <w:rPr>
      <w:rFonts w:asciiTheme="minorHAnsi" w:hAnsiTheme="minorHAnsi" w:cstheme="minorHAnsi"/>
      <w:sz w:val="16"/>
      <w:szCs w:val="16"/>
    </w:rPr>
  </w:style>
  <w:style w:type="paragraph" w:styleId="Footer">
    <w:name w:val="footer"/>
    <w:basedOn w:val="Normal"/>
    <w:link w:val="FooterChar"/>
    <w:uiPriority w:val="99"/>
    <w:unhideWhenUsed/>
    <w:rsid w:val="002B0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6B"/>
  </w:style>
  <w:style w:type="character" w:customStyle="1" w:styleId="Heading2Char">
    <w:name w:val="Heading 2 Char"/>
    <w:basedOn w:val="DefaultParagraphFont"/>
    <w:link w:val="Heading2"/>
    <w:rsid w:val="00856B48"/>
    <w:rPr>
      <w:rFonts w:ascii="Arial" w:eastAsia="Times New Roman" w:hAnsi="Arial" w:cs="Arial"/>
      <w:b/>
      <w:bCs/>
      <w:i/>
      <w:iCs/>
      <w:szCs w:val="28"/>
    </w:rPr>
  </w:style>
  <w:style w:type="character" w:styleId="Hyperlink">
    <w:name w:val="Hyperlink"/>
    <w:basedOn w:val="DefaultParagraphFont"/>
    <w:uiPriority w:val="99"/>
    <w:rsid w:val="00856B48"/>
    <w:rPr>
      <w:color w:val="0563C1" w:themeColor="hyperlink"/>
      <w:u w:val="single"/>
    </w:rPr>
  </w:style>
  <w:style w:type="character" w:styleId="CommentReference">
    <w:name w:val="annotation reference"/>
    <w:basedOn w:val="DefaultParagraphFont"/>
    <w:uiPriority w:val="99"/>
    <w:semiHidden/>
    <w:unhideWhenUsed/>
    <w:rsid w:val="00BC52E6"/>
    <w:rPr>
      <w:sz w:val="16"/>
      <w:szCs w:val="16"/>
    </w:rPr>
  </w:style>
  <w:style w:type="paragraph" w:styleId="CommentText">
    <w:name w:val="annotation text"/>
    <w:basedOn w:val="Normal"/>
    <w:link w:val="CommentTextChar"/>
    <w:uiPriority w:val="99"/>
    <w:unhideWhenUsed/>
    <w:rsid w:val="00BC52E6"/>
    <w:pPr>
      <w:spacing w:line="240" w:lineRule="auto"/>
    </w:pPr>
    <w:rPr>
      <w:sz w:val="20"/>
      <w:szCs w:val="20"/>
    </w:rPr>
  </w:style>
  <w:style w:type="character" w:customStyle="1" w:styleId="CommentTextChar">
    <w:name w:val="Comment Text Char"/>
    <w:basedOn w:val="DefaultParagraphFont"/>
    <w:link w:val="CommentText"/>
    <w:uiPriority w:val="99"/>
    <w:rsid w:val="00BC52E6"/>
    <w:rPr>
      <w:sz w:val="20"/>
      <w:szCs w:val="20"/>
    </w:rPr>
  </w:style>
  <w:style w:type="paragraph" w:styleId="CommentSubject">
    <w:name w:val="annotation subject"/>
    <w:basedOn w:val="CommentText"/>
    <w:next w:val="CommentText"/>
    <w:link w:val="CommentSubjectChar"/>
    <w:uiPriority w:val="99"/>
    <w:semiHidden/>
    <w:unhideWhenUsed/>
    <w:rsid w:val="00BC52E6"/>
    <w:rPr>
      <w:b/>
      <w:bCs/>
    </w:rPr>
  </w:style>
  <w:style w:type="character" w:customStyle="1" w:styleId="CommentSubjectChar">
    <w:name w:val="Comment Subject Char"/>
    <w:basedOn w:val="CommentTextChar"/>
    <w:link w:val="CommentSubject"/>
    <w:uiPriority w:val="99"/>
    <w:semiHidden/>
    <w:rsid w:val="00BC52E6"/>
    <w:rPr>
      <w:b/>
      <w:bCs/>
      <w:sz w:val="20"/>
      <w:szCs w:val="20"/>
    </w:rPr>
  </w:style>
  <w:style w:type="paragraph" w:styleId="BalloonText">
    <w:name w:val="Balloon Text"/>
    <w:basedOn w:val="Normal"/>
    <w:link w:val="BalloonTextChar"/>
    <w:uiPriority w:val="99"/>
    <w:semiHidden/>
    <w:unhideWhenUsed/>
    <w:rsid w:val="00BC5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E6"/>
    <w:rPr>
      <w:rFonts w:ascii="Segoe UI" w:hAnsi="Segoe UI" w:cs="Segoe UI"/>
      <w:sz w:val="18"/>
      <w:szCs w:val="18"/>
    </w:rPr>
  </w:style>
  <w:style w:type="table" w:styleId="TableGrid">
    <w:name w:val="Table Grid"/>
    <w:basedOn w:val="TableNormal"/>
    <w:rsid w:val="00980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1089"/>
  </w:style>
  <w:style w:type="character" w:styleId="FollowedHyperlink">
    <w:name w:val="FollowedHyperlink"/>
    <w:basedOn w:val="DefaultParagraphFont"/>
    <w:uiPriority w:val="99"/>
    <w:semiHidden/>
    <w:unhideWhenUsed/>
    <w:rsid w:val="00325226"/>
    <w:rPr>
      <w:color w:val="954F72" w:themeColor="followedHyperlink"/>
      <w:u w:val="single"/>
    </w:rPr>
  </w:style>
  <w:style w:type="paragraph" w:customStyle="1" w:styleId="EndNoteBibliographyTitle">
    <w:name w:val="EndNote Bibliography Title"/>
    <w:basedOn w:val="Normal"/>
    <w:link w:val="EndNoteBibliographyTitleChar"/>
    <w:rsid w:val="00DF57A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F57A0"/>
    <w:rPr>
      <w:rFonts w:ascii="Calibri" w:hAnsi="Calibri" w:cs="Calibri"/>
      <w:noProof/>
      <w:sz w:val="22"/>
      <w:szCs w:val="22"/>
      <w:lang w:val="en-US"/>
    </w:rPr>
  </w:style>
  <w:style w:type="paragraph" w:customStyle="1" w:styleId="EndNoteBibliography">
    <w:name w:val="EndNote Bibliography"/>
    <w:basedOn w:val="Normal"/>
    <w:link w:val="EndNoteBibliographyChar"/>
    <w:rsid w:val="00DF57A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F57A0"/>
    <w:rPr>
      <w:rFonts w:ascii="Calibri" w:hAnsi="Calibri" w:cs="Calibri"/>
      <w:noProof/>
      <w:sz w:val="22"/>
      <w:szCs w:val="22"/>
      <w:lang w:val="en-US"/>
    </w:rPr>
  </w:style>
  <w:style w:type="paragraph" w:styleId="ListParagraph">
    <w:name w:val="List Paragraph"/>
    <w:basedOn w:val="Normal"/>
    <w:uiPriority w:val="34"/>
    <w:qFormat/>
    <w:rsid w:val="002F475E"/>
    <w:pPr>
      <w:ind w:left="720"/>
      <w:contextualSpacing/>
    </w:pPr>
  </w:style>
  <w:style w:type="character" w:customStyle="1" w:styleId="Heading3Char">
    <w:name w:val="Heading 3 Char"/>
    <w:basedOn w:val="DefaultParagraphFont"/>
    <w:link w:val="Heading3"/>
    <w:uiPriority w:val="9"/>
    <w:rsid w:val="000B0D88"/>
    <w:rPr>
      <w:rFonts w:ascii="Calibri" w:eastAsiaTheme="majorEastAsia" w:hAnsi="Calibri" w:cs="Calibri"/>
      <w:b/>
    </w:rPr>
  </w:style>
  <w:style w:type="character" w:customStyle="1" w:styleId="Heading4Char">
    <w:name w:val="Heading 4 Char"/>
    <w:basedOn w:val="DefaultParagraphFont"/>
    <w:link w:val="Heading4"/>
    <w:uiPriority w:val="9"/>
    <w:rsid w:val="000B0D88"/>
    <w:rPr>
      <w:rFonts w:ascii="Calibri" w:eastAsiaTheme="majorEastAsia" w:hAnsi="Calibri" w:cs="Calibri"/>
      <w:b/>
      <w:i/>
      <w:iCs/>
      <w:sz w:val="22"/>
      <w:szCs w:val="22"/>
    </w:rPr>
  </w:style>
  <w:style w:type="paragraph" w:customStyle="1" w:styleId="RARMPPara">
    <w:name w:val="RARMP Para"/>
    <w:basedOn w:val="Normal"/>
    <w:qFormat/>
    <w:rsid w:val="004B4B0B"/>
    <w:pPr>
      <w:numPr>
        <w:numId w:val="5"/>
      </w:numPr>
      <w:tabs>
        <w:tab w:val="left" w:pos="567"/>
      </w:tabs>
      <w:ind w:left="0" w:firstLine="0"/>
    </w:pPr>
  </w:style>
  <w:style w:type="character" w:styleId="UnresolvedMention">
    <w:name w:val="Unresolved Mention"/>
    <w:basedOn w:val="DefaultParagraphFont"/>
    <w:uiPriority w:val="99"/>
    <w:semiHidden/>
    <w:unhideWhenUsed/>
    <w:rsid w:val="00366566"/>
    <w:rPr>
      <w:color w:val="605E5C"/>
      <w:shd w:val="clear" w:color="auto" w:fill="E1DFDD"/>
    </w:rPr>
  </w:style>
  <w:style w:type="paragraph" w:styleId="FootnoteText">
    <w:name w:val="footnote text"/>
    <w:basedOn w:val="Normal"/>
    <w:link w:val="FootnoteTextChar"/>
    <w:uiPriority w:val="99"/>
    <w:semiHidden/>
    <w:unhideWhenUsed/>
    <w:rsid w:val="00090A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ABF"/>
    <w:rPr>
      <w:rFonts w:asciiTheme="minorHAnsi" w:hAnsiTheme="minorHAnsi" w:cstheme="minorHAnsi"/>
      <w:sz w:val="20"/>
      <w:szCs w:val="20"/>
    </w:rPr>
  </w:style>
  <w:style w:type="character" w:styleId="FootnoteReference">
    <w:name w:val="footnote reference"/>
    <w:basedOn w:val="DefaultParagraphFont"/>
    <w:unhideWhenUsed/>
    <w:rsid w:val="00090ABF"/>
    <w:rPr>
      <w:vertAlign w:val="superscript"/>
    </w:rPr>
  </w:style>
  <w:style w:type="paragraph" w:customStyle="1" w:styleId="Titletext">
    <w:name w:val="Title text"/>
    <w:basedOn w:val="Normal"/>
    <w:rsid w:val="00815044"/>
    <w:pPr>
      <w:spacing w:before="60" w:after="60" w:line="240" w:lineRule="auto"/>
    </w:pPr>
    <w:rPr>
      <w:rFonts w:ascii="Calibri" w:eastAsia="Times New Roman" w:hAnsi="Calibri" w:cs="Times New Roman"/>
      <w:szCs w:val="20"/>
      <w:lang w:eastAsia="en-AU"/>
    </w:rPr>
  </w:style>
  <w:style w:type="paragraph" w:styleId="Revision">
    <w:name w:val="Revision"/>
    <w:hidden/>
    <w:uiPriority w:val="99"/>
    <w:semiHidden/>
    <w:rsid w:val="003716AC"/>
    <w:pPr>
      <w:spacing w:after="0" w:line="240" w:lineRule="auto"/>
    </w:pPr>
    <w:rPr>
      <w:rFonts w:asciiTheme="minorHAnsi" w:hAnsiTheme="minorHAnsi" w:cstheme="minorHAnsi"/>
      <w:sz w:val="22"/>
      <w:szCs w:val="22"/>
    </w:rPr>
  </w:style>
  <w:style w:type="paragraph" w:styleId="BodyText">
    <w:name w:val="Body Text"/>
    <w:basedOn w:val="Normal"/>
    <w:link w:val="BodyTextChar"/>
    <w:rsid w:val="003F21FA"/>
    <w:pPr>
      <w:spacing w:line="240" w:lineRule="auto"/>
    </w:pPr>
    <w:rPr>
      <w:sz w:val="24"/>
      <w:szCs w:val="24"/>
    </w:rPr>
  </w:style>
  <w:style w:type="character" w:customStyle="1" w:styleId="BodyTextChar">
    <w:name w:val="Body Text Char"/>
    <w:basedOn w:val="DefaultParagraphFont"/>
    <w:link w:val="BodyText"/>
    <w:rsid w:val="003F21FA"/>
    <w:rPr>
      <w:rFonts w:asciiTheme="minorHAnsi" w:hAnsiTheme="minorHAnsi" w:cstheme="minorHAnsi"/>
    </w:rPr>
  </w:style>
  <w:style w:type="paragraph" w:styleId="NormalWeb">
    <w:name w:val="Normal (Web)"/>
    <w:basedOn w:val="Normal"/>
    <w:uiPriority w:val="99"/>
    <w:rsid w:val="0003149D"/>
    <w:pPr>
      <w:spacing w:after="0" w:line="240" w:lineRule="auto"/>
    </w:pPr>
    <w:rPr>
      <w:rFonts w:ascii="Times New Roman" w:eastAsiaTheme="minorEastAsia" w:hAnsi="Times New Roman" w:cs="Times New Roman"/>
      <w:sz w:val="24"/>
      <w:szCs w:val="24"/>
      <w:lang w:eastAsia="en-AU"/>
    </w:rPr>
  </w:style>
  <w:style w:type="character" w:customStyle="1" w:styleId="cf01">
    <w:name w:val="cf01"/>
    <w:basedOn w:val="DefaultParagraphFont"/>
    <w:rsid w:val="00897C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gtr.gov.au/gmo-dealings/dealings-involving-intentional-release/dir-108" TargetMode="External"/><Relationship Id="rId18" Type="http://schemas.openxmlformats.org/officeDocument/2006/relationships/hyperlink" Target="http://www.fao.org/faostat/en/" TargetMode="External"/><Relationship Id="rId26" Type="http://schemas.openxmlformats.org/officeDocument/2006/relationships/hyperlink" Target="https://www.ogtr.gov.au/sites/default/files/2021-06/dir020-2002-full_risk_assessment_and_risk_management_plan.pdf" TargetMode="External"/><Relationship Id="rId39" Type="http://schemas.openxmlformats.org/officeDocument/2006/relationships/hyperlink" Target="https://www.ogtr.gov.au/sites/default/files/2021-06/dir020-2002-full_risk_assessment_and_risk_management_plan.pdf" TargetMode="External"/><Relationship Id="rId3" Type="http://schemas.openxmlformats.org/officeDocument/2006/relationships/styles" Target="styles.xml"/><Relationship Id="rId21" Type="http://schemas.openxmlformats.org/officeDocument/2006/relationships/hyperlink" Target="https://bch.cbd.int/database/organisms/" TargetMode="External"/><Relationship Id="rId34" Type="http://schemas.openxmlformats.org/officeDocument/2006/relationships/hyperlink" Target="https://vicflora.rbg.vic.gov.au/flora/taxon/845dd989-72c0-4eea-88ae-ea4f9fcc1244" TargetMode="External"/><Relationship Id="rId42" Type="http://schemas.openxmlformats.org/officeDocument/2006/relationships/hyperlink" Target="https://biotech.buplant.da.gov.ph/pdf/BiosafetyPermit_CanolaRT73_FFP.pdf" TargetMode="External"/><Relationship Id="rId47" Type="http://schemas.openxmlformats.org/officeDocument/2006/relationships/hyperlink" Target="https://www.canada.ca/en/health-canada/services/food-nutrition/genetically-modified-foods-other-novel-foods/approved-products/glyphosate-tolerant-canola-gt73.html"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gtr.gov.au/sites/default/files/2021-06/dir020-2002-full_risk_assessment_and_risk_management_plan.pdf" TargetMode="External"/><Relationship Id="rId17" Type="http://schemas.openxmlformats.org/officeDocument/2006/relationships/hyperlink" Target="https://www.ogtr.gov.au/sites/default/files/2021-06/dir108-full_risk_assessment_and_risk_management_plan.pdf" TargetMode="External"/><Relationship Id="rId25" Type="http://schemas.openxmlformats.org/officeDocument/2006/relationships/hyperlink" Target="https://www.ogtr.gov.au/about-ogtr/corporate-reporting/freedom-information-disclosure-log" TargetMode="External"/><Relationship Id="rId33" Type="http://schemas.openxmlformats.org/officeDocument/2006/relationships/hyperlink" Target="https://plantnet.rbgsyd.nsw.gov.au/cgi-bin/NSWfl.pl?page=nswfl&amp;lvl=sp&amp;name=Brassica~x+napus" TargetMode="External"/><Relationship Id="rId38" Type="http://schemas.openxmlformats.org/officeDocument/2006/relationships/hyperlink" Target="http://apvma.gov.au/node/13891" TargetMode="External"/><Relationship Id="rId46" Type="http://schemas.openxmlformats.org/officeDocument/2006/relationships/hyperlink" Target="https://inspection.canada.ca/plant-varieties/plants-with-novel-traits/approved-under-review/decision-documents/dd1995-02/eng/1303706149157/1303751841490" TargetMode="External"/><Relationship Id="rId2" Type="http://schemas.openxmlformats.org/officeDocument/2006/relationships/numbering" Target="numbering.xml"/><Relationship Id="rId16" Type="http://schemas.openxmlformats.org/officeDocument/2006/relationships/hyperlink" Target="https://www.ogtr.gov.au/sites/default/files/2021-06/dir020-2002-full_risk_assessment_and_risk_management_plan.pdf" TargetMode="External"/><Relationship Id="rId20" Type="http://schemas.openxmlformats.org/officeDocument/2006/relationships/hyperlink" Target="http://www.isaaa.org/gmapprovaldatabase/default.asp" TargetMode="External"/><Relationship Id="rId29" Type="http://schemas.openxmlformats.org/officeDocument/2006/relationships/hyperlink" Target="https://weeds.org.au/overview/lists-strategies/" TargetMode="External"/><Relationship Id="rId41" Type="http://schemas.openxmlformats.org/officeDocument/2006/relationships/hyperlink" Target="https://webgate.ec.europa.eu/dyna2/gm-regis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tr.gov.au/gmo-dealings/dealings-involving-intentional-release/dir-0202002" TargetMode="External"/><Relationship Id="rId24" Type="http://schemas.openxmlformats.org/officeDocument/2006/relationships/hyperlink" Target="https://www.isaaa.org/resources/publications/briefs/default.asp" TargetMode="External"/><Relationship Id="rId32" Type="http://schemas.openxmlformats.org/officeDocument/2006/relationships/hyperlink" Target="https://avh.chah.org.au/" TargetMode="External"/><Relationship Id="rId37" Type="http://schemas.openxmlformats.org/officeDocument/2006/relationships/hyperlink" Target="https://florabase.dpaw.wa.gov.au/browse/profile/2995" TargetMode="External"/><Relationship Id="rId40" Type="http://schemas.openxmlformats.org/officeDocument/2006/relationships/hyperlink" Target="https://www.croplife.org.au/resources/programs/resistance-management/herbicide-resistant-weeds-list/" TargetMode="External"/><Relationship Id="rId45" Type="http://schemas.openxmlformats.org/officeDocument/2006/relationships/hyperlink" Target="https://www.fao.org/fileadmin/user_upload/gmfp/docs/GMAC%20Malaysia%20RA%20Report%20RT73%20canola.pdf" TargetMode="External"/><Relationship Id="rId5" Type="http://schemas.openxmlformats.org/officeDocument/2006/relationships/webSettings" Target="webSettings.xml"/><Relationship Id="rId15" Type="http://schemas.openxmlformats.org/officeDocument/2006/relationships/hyperlink" Target="https://www.ogtr.gov.au/gmo-dealings/dealings-involving-intentional-release/dir-104" TargetMode="External"/><Relationship Id="rId23" Type="http://schemas.openxmlformats.org/officeDocument/2006/relationships/hyperlink" Target="https://biotrackproductdatabase.oecd.org/" TargetMode="External"/><Relationship Id="rId28" Type="http://schemas.openxmlformats.org/officeDocument/2006/relationships/hyperlink" Target="https://weeds.org.au/weeds-profiles" TargetMode="External"/><Relationship Id="rId36" Type="http://schemas.openxmlformats.org/officeDocument/2006/relationships/hyperlink" Target="https://www.data.qld.gov.au/dataset/census-of-the-queensland-flora-2019/resource/cd34dc4e-61f3-437e-8460-cfdddcdac1e0?truncate=30&amp;inner_span=True" TargetMode="External"/><Relationship Id="rId49" Type="http://schemas.openxmlformats.org/officeDocument/2006/relationships/hyperlink" Target="https://www.aphis.usda.gov/brs/aphisdocs2/98_21601p_com.pdf" TargetMode="External"/><Relationship Id="rId10" Type="http://schemas.openxmlformats.org/officeDocument/2006/relationships/footer" Target="footer1.xml"/><Relationship Id="rId19" Type="http://schemas.openxmlformats.org/officeDocument/2006/relationships/hyperlink" Target="https://www.canolacouncil.org/markets-stats/production/" TargetMode="External"/><Relationship Id="rId31" Type="http://schemas.openxmlformats.org/officeDocument/2006/relationships/hyperlink" Target="https://www.ala.org.au/" TargetMode="External"/><Relationship Id="rId44" Type="http://schemas.openxmlformats.org/officeDocument/2006/relationships/hyperlink" Target="https://www.fao.org/fileadmin/user_upload/gmfp/docs/NBB%20Decision_Monsanto_RT73_canola%20FFP%20Approved.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gtr.gov.au/sites/default/files/2021-06/dir108-full_risk_assessment_and_risk_management_plan.pdf" TargetMode="External"/><Relationship Id="rId22" Type="http://schemas.openxmlformats.org/officeDocument/2006/relationships/hyperlink" Target="https://ec.europa.eu/food/plant/gmo/eu_register_en" TargetMode="External"/><Relationship Id="rId27" Type="http://schemas.openxmlformats.org/officeDocument/2006/relationships/hyperlink" Target="https://www.ogtr.gov.au/sites/default/files/2021-06/dir108-full_risk_assessment_and_risk_management_plan.pdf" TargetMode="External"/><Relationship Id="rId30" Type="http://schemas.openxmlformats.org/officeDocument/2006/relationships/hyperlink" Target="https://doi.org/10.15468/39omei" TargetMode="External"/><Relationship Id="rId35" Type="http://schemas.openxmlformats.org/officeDocument/2006/relationships/hyperlink" Target="http://www.flora.sa.gov.au/cgi-bin/speciesfacts_display.cgi?form=speciesfacts&amp;name=Brassica_napus" TargetMode="External"/><Relationship Id="rId43" Type="http://schemas.openxmlformats.org/officeDocument/2006/relationships/hyperlink" Target="https://biotech.buplant.da.gov.ph/pdf/consolidated-report-RT73.pdf" TargetMode="External"/><Relationship Id="rId48" Type="http://schemas.openxmlformats.org/officeDocument/2006/relationships/hyperlink" Target="https://www.cfsanappsexternal.fda.gov/scripts/fdcc/index.cfm?set=NewPlantVarietyConsultations&amp;id=MON-00073-7" TargetMode="External"/><Relationship Id="rId8" Type="http://schemas.openxmlformats.org/officeDocument/2006/relationships/image" Target="media/image1.jpeg"/><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21D1385" TargetMode="External"/><Relationship Id="rId1" Type="http://schemas.openxmlformats.org/officeDocument/2006/relationships/hyperlink" Target="https://eur-lex.europa.eu/legal-content/EN/TXT/?uri=uriserv%3AOJ.L_.2005.228.01.0011.01.ENG&amp;toc=OJ%3AL%3A2005%3A228%3A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ECF4-6D63-4887-9DA0-2E31E516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16207</Words>
  <Characters>92382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003 - Full Risk Asessment and Risk Management Plan</dc:title>
  <dc:subject/>
  <dc:creator/>
  <cp:keywords/>
  <dc:description/>
  <cp:lastModifiedBy/>
  <cp:revision>1</cp:revision>
  <dcterms:created xsi:type="dcterms:W3CDTF">2024-08-19T21:36:00Z</dcterms:created>
  <dcterms:modified xsi:type="dcterms:W3CDTF">2024-08-19T21:36:00Z</dcterms:modified>
</cp:coreProperties>
</file>