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6794" w14:textId="63FAF8DD" w:rsidR="00A95E0D" w:rsidRPr="00A95E0D" w:rsidRDefault="0009725A" w:rsidP="00A95E0D">
      <w:pPr>
        <w:jc w:val="right"/>
      </w:pPr>
      <w:bookmarkStart w:id="0" w:name="_Toc151567329"/>
      <w:r>
        <w:t>April</w:t>
      </w:r>
      <w:r w:rsidR="007E08AA">
        <w:t xml:space="preserve"> </w:t>
      </w:r>
      <w:r w:rsidR="00A95E0D" w:rsidRPr="00A95E0D">
        <w:t>202</w:t>
      </w:r>
      <w:r w:rsidR="007E08AA">
        <w:t>4</w:t>
      </w:r>
    </w:p>
    <w:p w14:paraId="40A0EF63" w14:textId="77777777" w:rsidR="0049256D" w:rsidRDefault="007E08AA" w:rsidP="0049256D">
      <w:pPr>
        <w:pStyle w:val="Heading1"/>
        <w:spacing w:after="60"/>
        <w:jc w:val="center"/>
      </w:pPr>
      <w:bookmarkStart w:id="1" w:name="_Toc157755002"/>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bookmarkEnd w:id="0"/>
      <w:r w:rsidRPr="00B278D8">
        <w:t>Summary of the Risk Assessment and Risk Management Plan</w:t>
      </w:r>
      <w:bookmarkEnd w:id="1"/>
    </w:p>
    <w:p w14:paraId="254C9C5E" w14:textId="01309A6D" w:rsidR="007E08AA" w:rsidRPr="0049256D" w:rsidRDefault="007E08AA" w:rsidP="0049256D">
      <w:pPr>
        <w:pStyle w:val="Heading1"/>
        <w:spacing w:before="120" w:after="120"/>
        <w:ind w:left="4321"/>
      </w:pPr>
      <w:r w:rsidRPr="00B278D8">
        <w:rPr>
          <w:rFonts w:cs="Arial"/>
          <w:bCs/>
          <w:kern w:val="32"/>
          <w:sz w:val="28"/>
          <w:szCs w:val="28"/>
        </w:rPr>
        <w:t>for</w:t>
      </w:r>
    </w:p>
    <w:p w14:paraId="07178A88" w14:textId="6CBC42A7" w:rsidR="007E08AA" w:rsidRPr="00DB5614" w:rsidRDefault="007E08AA" w:rsidP="0049256D">
      <w:pPr>
        <w:keepNext/>
        <w:jc w:val="center"/>
        <w:rPr>
          <w:rFonts w:cs="Arial"/>
          <w:b/>
          <w:bCs/>
          <w:kern w:val="32"/>
          <w:sz w:val="36"/>
          <w:szCs w:val="36"/>
        </w:rPr>
      </w:pPr>
      <w:r w:rsidRPr="00B278D8">
        <w:rPr>
          <w:rFonts w:cs="Arial"/>
          <w:b/>
          <w:bCs/>
          <w:kern w:val="32"/>
          <w:sz w:val="36"/>
          <w:szCs w:val="36"/>
        </w:rPr>
        <w:t xml:space="preserve">Licence Application No. </w:t>
      </w:r>
      <w:r w:rsidRPr="00DB5614">
        <w:rPr>
          <w:rFonts w:cs="Arial"/>
          <w:b/>
          <w:bCs/>
          <w:kern w:val="32"/>
          <w:sz w:val="36"/>
          <w:szCs w:val="36"/>
        </w:rPr>
        <w:t xml:space="preserve">DIR </w:t>
      </w:r>
      <w:r w:rsidR="0009725A">
        <w:rPr>
          <w:rFonts w:cs="Arial"/>
          <w:b/>
          <w:bCs/>
          <w:kern w:val="32"/>
          <w:sz w:val="36"/>
          <w:szCs w:val="36"/>
        </w:rPr>
        <w:t>201</w:t>
      </w:r>
    </w:p>
    <w:p w14:paraId="2D2A48B7" w14:textId="77777777" w:rsidR="007E08AA" w:rsidRPr="00A22B8C" w:rsidRDefault="007E08AA" w:rsidP="00A22B8C">
      <w:pPr>
        <w:pStyle w:val="Heading2"/>
        <w:spacing w:before="240" w:after="60"/>
        <w:rPr>
          <w:rFonts w:ascii="Calibri" w:hAnsi="Calibri" w:cs="Calibri"/>
          <w:b/>
          <w:bCs/>
          <w:i/>
          <w:iCs/>
          <w:color w:val="auto"/>
          <w:sz w:val="28"/>
          <w:szCs w:val="28"/>
        </w:rPr>
      </w:pPr>
      <w:bookmarkStart w:id="10" w:name="_Toc157755003"/>
      <w:r w:rsidRPr="00A22B8C">
        <w:rPr>
          <w:rFonts w:ascii="Calibri" w:hAnsi="Calibri" w:cs="Calibri"/>
          <w:b/>
          <w:bCs/>
          <w:i/>
          <w:iCs/>
          <w:color w:val="auto"/>
          <w:sz w:val="28"/>
          <w:szCs w:val="28"/>
        </w:rPr>
        <w:t>Decision</w:t>
      </w:r>
      <w:bookmarkEnd w:id="2"/>
      <w:bookmarkEnd w:id="3"/>
      <w:bookmarkEnd w:id="4"/>
      <w:bookmarkEnd w:id="5"/>
      <w:bookmarkEnd w:id="6"/>
      <w:bookmarkEnd w:id="7"/>
      <w:bookmarkEnd w:id="8"/>
      <w:bookmarkEnd w:id="9"/>
      <w:bookmarkEnd w:id="10"/>
    </w:p>
    <w:p w14:paraId="18196E46" w14:textId="78B0C50A" w:rsidR="007E08AA" w:rsidRPr="00211AEE" w:rsidRDefault="0009725A" w:rsidP="007E08AA">
      <w:r w:rsidRPr="00DE3E22">
        <w:t xml:space="preserve">The Gene Technology Regulator (the Regulator) has </w:t>
      </w:r>
      <w:r>
        <w:t>decided to issue a</w:t>
      </w:r>
      <w:r w:rsidRPr="00DE3E22">
        <w:t xml:space="preserve"> licence </w:t>
      </w:r>
      <w:r>
        <w:t xml:space="preserve">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Pr>
          <w:color w:val="000000" w:themeColor="text1"/>
        </w:rPr>
        <w:t xml:space="preserve"> has been prepared by the Regulator in accordance with the </w:t>
      </w:r>
      <w:r w:rsidRPr="0094518A">
        <w:rPr>
          <w:i/>
          <w:iCs/>
          <w:color w:val="000000" w:themeColor="text1"/>
        </w:rPr>
        <w:t>Gene Technology Ac</w:t>
      </w:r>
      <w:r>
        <w:rPr>
          <w:i/>
          <w:iCs/>
          <w:color w:val="000000" w:themeColor="text1"/>
        </w:rPr>
        <w:t>t 2000</w:t>
      </w:r>
      <w:r>
        <w:rPr>
          <w:color w:val="000000" w:themeColor="text1"/>
        </w:rPr>
        <w:t xml:space="preserve"> (the Act) and corresponding state and territory legislation</w:t>
      </w:r>
      <w:r w:rsidRPr="009E68C6">
        <w:rPr>
          <w:color w:val="000000" w:themeColor="text1"/>
        </w:rPr>
        <w:t xml:space="preserve">, </w:t>
      </w:r>
      <w:r>
        <w:rPr>
          <w:color w:val="000000" w:themeColor="text1"/>
        </w:rPr>
        <w:t xml:space="preserve">and finalised following consultation with a wide range of experts, agencies and authorities, and the public. The RARMP concluded </w:t>
      </w:r>
      <w:r w:rsidRPr="009E68C6">
        <w:rPr>
          <w:color w:val="000000" w:themeColor="text1"/>
        </w:rPr>
        <w:t xml:space="preserve">that the proposed field </w:t>
      </w:r>
      <w:r w:rsidRPr="001C0164">
        <w:t>trial poses negligible risks to human health and safety and the environment</w:t>
      </w:r>
      <w:r>
        <w:t xml:space="preserve"> and that any risks posed by the dealings can be managed by imposing conditions on the release</w:t>
      </w:r>
      <w:r w:rsidRPr="001C0164">
        <w:t>.</w:t>
      </w:r>
    </w:p>
    <w:p w14:paraId="22A84507" w14:textId="77777777" w:rsidR="007E08AA" w:rsidRPr="001D4020" w:rsidRDefault="007E08AA" w:rsidP="00A22B8C">
      <w:pPr>
        <w:pStyle w:val="Heading2"/>
        <w:spacing w:before="240" w:after="60"/>
        <w:rPr>
          <w:rFonts w:ascii="Calibri" w:hAnsi="Calibri" w:cs="Calibri"/>
          <w:b/>
          <w:bCs/>
          <w:i/>
          <w:iCs/>
          <w:color w:val="auto"/>
          <w:sz w:val="28"/>
          <w:szCs w:val="28"/>
        </w:rPr>
      </w:pPr>
      <w:bookmarkStart w:id="11" w:name="_Toc342042135"/>
      <w:bookmarkStart w:id="12" w:name="_Toc157755004"/>
      <w:bookmarkStart w:id="13" w:name="_Toc291151777"/>
      <w:bookmarkStart w:id="14" w:name="_Toc274904727"/>
      <w:bookmarkStart w:id="15" w:name="_Toc209859548"/>
      <w:r w:rsidRPr="001D4020">
        <w:rPr>
          <w:rFonts w:ascii="Calibri" w:hAnsi="Calibri" w:cs="Calibri"/>
          <w:b/>
          <w:bCs/>
          <w:i/>
          <w:iCs/>
          <w:color w:val="auto"/>
          <w:sz w:val="28"/>
          <w:szCs w:val="28"/>
        </w:rPr>
        <w:t>The application</w:t>
      </w:r>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6736"/>
      </w:tblGrid>
      <w:tr w:rsidR="0009725A" w:rsidRPr="002E4447" w14:paraId="3A26F9F8" w14:textId="77777777" w:rsidTr="00F51F46">
        <w:tc>
          <w:tcPr>
            <w:tcW w:w="1502" w:type="pct"/>
          </w:tcPr>
          <w:p w14:paraId="0306D5B5" w14:textId="77777777" w:rsidR="0009725A" w:rsidRPr="00422A6D" w:rsidRDefault="0009725A" w:rsidP="00F51F46">
            <w:pPr>
              <w:pStyle w:val="LEFTLIST"/>
              <w:keepNext w:val="0"/>
              <w:widowControl w:val="0"/>
              <w:spacing w:before="60" w:after="60"/>
              <w:rPr>
                <w:rFonts w:ascii="Calibri" w:hAnsi="Calibri"/>
                <w:i/>
              </w:rPr>
            </w:pPr>
            <w:bookmarkStart w:id="16" w:name="_Toc342042136"/>
            <w:bookmarkStart w:id="17" w:name="_Toc157755005"/>
            <w:r w:rsidRPr="00422A6D">
              <w:rPr>
                <w:rFonts w:ascii="Calibri" w:hAnsi="Calibri"/>
                <w:i/>
              </w:rPr>
              <w:t>Project Title</w:t>
            </w:r>
          </w:p>
        </w:tc>
        <w:tc>
          <w:tcPr>
            <w:tcW w:w="3498" w:type="pct"/>
          </w:tcPr>
          <w:p w14:paraId="38413F52" w14:textId="77777777" w:rsidR="0009725A" w:rsidRPr="007765FB" w:rsidRDefault="0009725A" w:rsidP="00F51F46">
            <w:pPr>
              <w:pStyle w:val="RIGHTLIST"/>
              <w:widowControl w:val="0"/>
              <w:spacing w:before="60" w:after="60"/>
              <w:rPr>
                <w:rFonts w:ascii="Calibri" w:hAnsi="Calibri"/>
              </w:rPr>
            </w:pPr>
            <w:r>
              <w:rPr>
                <w:rFonts w:ascii="Calibri" w:hAnsi="Calibri"/>
              </w:rPr>
              <w:t>Limited and controlled release of wheat and barley genetically modified for yield enhancement</w:t>
            </w:r>
          </w:p>
        </w:tc>
      </w:tr>
      <w:tr w:rsidR="0009725A" w:rsidRPr="002E4447" w14:paraId="09E12EEA" w14:textId="77777777" w:rsidTr="00F51F46">
        <w:trPr>
          <w:trHeight w:val="346"/>
        </w:trPr>
        <w:tc>
          <w:tcPr>
            <w:tcW w:w="1502" w:type="pct"/>
          </w:tcPr>
          <w:p w14:paraId="04506D06" w14:textId="77777777" w:rsidR="0009725A" w:rsidRPr="00422A6D" w:rsidRDefault="0009725A" w:rsidP="00F51F46">
            <w:pPr>
              <w:pStyle w:val="LEFTLIST"/>
              <w:keepNext w:val="0"/>
              <w:widowControl w:val="0"/>
              <w:spacing w:before="40"/>
              <w:rPr>
                <w:rFonts w:ascii="Calibri" w:hAnsi="Calibri"/>
                <w:i/>
              </w:rPr>
            </w:pPr>
            <w:r w:rsidRPr="00422A6D">
              <w:rPr>
                <w:rFonts w:ascii="Calibri" w:hAnsi="Calibri"/>
                <w:i/>
              </w:rPr>
              <w:t>Parent organism</w:t>
            </w:r>
          </w:p>
        </w:tc>
        <w:tc>
          <w:tcPr>
            <w:tcW w:w="3498" w:type="pct"/>
          </w:tcPr>
          <w:p w14:paraId="1C732F10" w14:textId="77777777" w:rsidR="0009725A" w:rsidRPr="007765FB" w:rsidRDefault="0009725A" w:rsidP="00F51F46">
            <w:pPr>
              <w:pStyle w:val="RIGHTLIST"/>
              <w:keepNext w:val="0"/>
              <w:widowControl w:val="0"/>
              <w:spacing w:before="60" w:after="60"/>
              <w:rPr>
                <w:rFonts w:ascii="Calibri" w:hAnsi="Calibri"/>
              </w:rPr>
            </w:pPr>
            <w:r w:rsidRPr="00AF3E39">
              <w:rPr>
                <w:rFonts w:ascii="Calibri" w:hAnsi="Calibri" w:cs="Calibri"/>
              </w:rPr>
              <w:t>Wheat (</w:t>
            </w:r>
            <w:r w:rsidRPr="00AF3E39">
              <w:rPr>
                <w:rFonts w:ascii="Calibri" w:hAnsi="Calibri" w:cs="Calibri"/>
                <w:i/>
              </w:rPr>
              <w:t xml:space="preserve">Triticum </w:t>
            </w:r>
            <w:proofErr w:type="spellStart"/>
            <w:r w:rsidRPr="00AF3E39">
              <w:rPr>
                <w:rFonts w:ascii="Calibri" w:hAnsi="Calibri" w:cs="Calibri"/>
                <w:i/>
              </w:rPr>
              <w:t>aestivum</w:t>
            </w:r>
            <w:proofErr w:type="spellEnd"/>
            <w:r>
              <w:rPr>
                <w:rFonts w:ascii="Calibri" w:hAnsi="Calibri" w:cs="Calibri"/>
              </w:rPr>
              <w:t xml:space="preserve"> L.) and b</w:t>
            </w:r>
            <w:r w:rsidRPr="00AF3E39">
              <w:rPr>
                <w:rFonts w:ascii="Calibri" w:hAnsi="Calibri" w:cs="Calibri"/>
              </w:rPr>
              <w:t>arley (</w:t>
            </w:r>
            <w:r w:rsidRPr="00AF3E39">
              <w:rPr>
                <w:rFonts w:ascii="Calibri" w:hAnsi="Calibri" w:cs="Calibri"/>
                <w:i/>
              </w:rPr>
              <w:t>Hordeum vulgare</w:t>
            </w:r>
            <w:r w:rsidRPr="00AF3E39">
              <w:rPr>
                <w:rFonts w:ascii="Calibri" w:hAnsi="Calibri" w:cs="Calibri"/>
              </w:rPr>
              <w:t xml:space="preserve"> L.)</w:t>
            </w:r>
          </w:p>
        </w:tc>
      </w:tr>
      <w:tr w:rsidR="0009725A" w:rsidRPr="002E4447" w14:paraId="66296F26" w14:textId="77777777" w:rsidTr="00F51F46">
        <w:tc>
          <w:tcPr>
            <w:tcW w:w="5000" w:type="pct"/>
            <w:gridSpan w:val="2"/>
          </w:tcPr>
          <w:p w14:paraId="1ED18008" w14:textId="77777777" w:rsidR="0009725A" w:rsidRPr="00422A6D" w:rsidRDefault="0009725A" w:rsidP="00F51F46">
            <w:pPr>
              <w:pStyle w:val="RIGHTLIST"/>
              <w:autoSpaceDE w:val="0"/>
              <w:autoSpaceDN w:val="0"/>
              <w:spacing w:before="0"/>
              <w:rPr>
                <w:rFonts w:ascii="Calibri" w:hAnsi="Calibri"/>
                <w:b/>
                <w:i/>
              </w:rPr>
            </w:pPr>
            <w:r w:rsidRPr="00422A6D">
              <w:rPr>
                <w:rFonts w:ascii="Calibri" w:hAnsi="Calibri"/>
                <w:b/>
                <w:i/>
              </w:rPr>
              <w:t>Genetic modifications</w:t>
            </w:r>
          </w:p>
        </w:tc>
      </w:tr>
      <w:tr w:rsidR="0009725A" w:rsidRPr="002E4447" w14:paraId="5274FCC0" w14:textId="77777777" w:rsidTr="00F51F46">
        <w:trPr>
          <w:trHeight w:val="708"/>
        </w:trPr>
        <w:tc>
          <w:tcPr>
            <w:tcW w:w="1502" w:type="pct"/>
          </w:tcPr>
          <w:p w14:paraId="5E99E024" w14:textId="77777777" w:rsidR="0009725A" w:rsidRPr="002E4447" w:rsidRDefault="0009725A" w:rsidP="00F51F46">
            <w:pPr>
              <w:pStyle w:val="LEFTLIST"/>
              <w:keepNext w:val="0"/>
              <w:widowControl w:val="0"/>
              <w:spacing w:before="40"/>
              <w:rPr>
                <w:rFonts w:ascii="Calibri" w:hAnsi="Calibri"/>
                <w:b w:val="0"/>
              </w:rPr>
            </w:pPr>
            <w:r>
              <w:rPr>
                <w:rFonts w:ascii="Calibri" w:hAnsi="Calibri"/>
                <w:b w:val="0"/>
              </w:rPr>
              <w:t>Introduced genes and modified traits</w:t>
            </w:r>
          </w:p>
        </w:tc>
        <w:tc>
          <w:tcPr>
            <w:tcW w:w="3498" w:type="pct"/>
          </w:tcPr>
          <w:p w14:paraId="5038AF07" w14:textId="77777777" w:rsidR="0009725A" w:rsidRPr="004C730A" w:rsidRDefault="0009725A" w:rsidP="00F51F46">
            <w:pPr>
              <w:spacing w:before="40"/>
              <w:rPr>
                <w:rFonts w:asciiTheme="minorHAnsi" w:hAnsiTheme="minorHAnsi" w:cstheme="minorHAnsi"/>
              </w:rPr>
            </w:pPr>
            <w:r w:rsidRPr="00146592">
              <w:rPr>
                <w:rFonts w:asciiTheme="minorHAnsi" w:hAnsiTheme="minorHAnsi" w:cstheme="minorHAnsi"/>
                <w:u w:val="single"/>
              </w:rPr>
              <w:t>Wheat</w:t>
            </w:r>
            <w:r w:rsidRPr="004C730A">
              <w:rPr>
                <w:rFonts w:asciiTheme="minorHAnsi" w:hAnsiTheme="minorHAnsi" w:cstheme="minorHAnsi"/>
              </w:rPr>
              <w:t>:</w:t>
            </w:r>
          </w:p>
          <w:p w14:paraId="299F733D" w14:textId="77777777" w:rsidR="0009725A" w:rsidRPr="004C730A" w:rsidRDefault="0009725A" w:rsidP="0009725A">
            <w:pPr>
              <w:pStyle w:val="ListParagraph"/>
              <w:numPr>
                <w:ilvl w:val="0"/>
                <w:numId w:val="3"/>
              </w:numPr>
              <w:spacing w:before="40" w:after="0"/>
              <w:ind w:left="261" w:hanging="227"/>
              <w:rPr>
                <w:rFonts w:asciiTheme="minorHAnsi" w:hAnsiTheme="minorHAnsi" w:cstheme="minorHAnsi"/>
                <w:szCs w:val="22"/>
              </w:rPr>
            </w:pPr>
            <w:r w:rsidRPr="004C730A">
              <w:rPr>
                <w:rFonts w:asciiTheme="minorHAnsi" w:hAnsiTheme="minorHAnsi" w:cstheme="minorHAnsi"/>
                <w:szCs w:val="22"/>
              </w:rPr>
              <w:t>Expression of three genes involved in yield enhancement (expressed both individually and in combination)</w:t>
            </w:r>
          </w:p>
          <w:p w14:paraId="6514C0E0" w14:textId="77777777" w:rsidR="0009725A" w:rsidRPr="004C730A" w:rsidRDefault="0009725A" w:rsidP="0009725A">
            <w:pPr>
              <w:pStyle w:val="ListParagraph"/>
              <w:numPr>
                <w:ilvl w:val="0"/>
                <w:numId w:val="3"/>
              </w:numPr>
              <w:spacing w:before="40" w:after="0"/>
              <w:ind w:left="261" w:hanging="227"/>
              <w:rPr>
                <w:rFonts w:asciiTheme="minorHAnsi" w:hAnsiTheme="minorHAnsi" w:cstheme="minorHAnsi"/>
                <w:szCs w:val="22"/>
              </w:rPr>
            </w:pPr>
            <w:r w:rsidRPr="004C730A">
              <w:rPr>
                <w:rFonts w:asciiTheme="minorHAnsi" w:hAnsiTheme="minorHAnsi" w:cstheme="minorHAnsi"/>
                <w:szCs w:val="22"/>
              </w:rPr>
              <w:t>Expression of five genes involved in yield enhancement and water use efficiency (expressed individually)</w:t>
            </w:r>
          </w:p>
          <w:p w14:paraId="683849C8" w14:textId="77777777" w:rsidR="0009725A" w:rsidRPr="004C730A" w:rsidRDefault="0009725A" w:rsidP="0009725A">
            <w:pPr>
              <w:pStyle w:val="ListParagraph"/>
              <w:numPr>
                <w:ilvl w:val="0"/>
                <w:numId w:val="3"/>
              </w:numPr>
              <w:spacing w:before="40" w:after="0"/>
              <w:ind w:left="261" w:hanging="227"/>
              <w:rPr>
                <w:rFonts w:asciiTheme="minorHAnsi" w:hAnsiTheme="minorHAnsi" w:cstheme="minorHAnsi"/>
                <w:szCs w:val="22"/>
              </w:rPr>
            </w:pPr>
            <w:r>
              <w:rPr>
                <w:rFonts w:asciiTheme="minorHAnsi" w:hAnsiTheme="minorHAnsi" w:cstheme="minorHAnsi"/>
                <w:szCs w:val="22"/>
              </w:rPr>
              <w:t>Knockout</w:t>
            </w:r>
            <w:r w:rsidRPr="004C730A">
              <w:rPr>
                <w:rFonts w:asciiTheme="minorHAnsi" w:hAnsiTheme="minorHAnsi" w:cstheme="minorHAnsi"/>
                <w:szCs w:val="22"/>
              </w:rPr>
              <w:t xml:space="preserve"> of two</w:t>
            </w:r>
            <w:r>
              <w:rPr>
                <w:rFonts w:asciiTheme="minorHAnsi" w:hAnsiTheme="minorHAnsi" w:cstheme="minorHAnsi"/>
                <w:szCs w:val="22"/>
              </w:rPr>
              <w:t xml:space="preserve"> endogenous</w:t>
            </w:r>
            <w:r w:rsidRPr="004C730A">
              <w:rPr>
                <w:rFonts w:asciiTheme="minorHAnsi" w:hAnsiTheme="minorHAnsi" w:cstheme="minorHAnsi"/>
                <w:szCs w:val="22"/>
              </w:rPr>
              <w:t xml:space="preserve"> genes involved in yield </w:t>
            </w:r>
            <w:proofErr w:type="gramStart"/>
            <w:r w:rsidRPr="004C730A">
              <w:rPr>
                <w:rFonts w:asciiTheme="minorHAnsi" w:hAnsiTheme="minorHAnsi" w:cstheme="minorHAnsi"/>
                <w:szCs w:val="22"/>
              </w:rPr>
              <w:t>enhancement</w:t>
            </w:r>
            <w:proofErr w:type="gramEnd"/>
            <w:r w:rsidRPr="004C730A">
              <w:rPr>
                <w:rFonts w:asciiTheme="minorHAnsi" w:hAnsiTheme="minorHAnsi" w:cstheme="minorHAnsi"/>
                <w:szCs w:val="22"/>
              </w:rPr>
              <w:t xml:space="preserve"> </w:t>
            </w:r>
          </w:p>
          <w:p w14:paraId="527379E3" w14:textId="77777777" w:rsidR="0009725A" w:rsidRPr="004C730A" w:rsidRDefault="0009725A" w:rsidP="0009725A">
            <w:pPr>
              <w:pStyle w:val="ListParagraph"/>
              <w:numPr>
                <w:ilvl w:val="0"/>
                <w:numId w:val="3"/>
              </w:numPr>
              <w:spacing w:before="40" w:after="0"/>
              <w:ind w:left="261" w:hanging="227"/>
              <w:rPr>
                <w:szCs w:val="22"/>
              </w:rPr>
            </w:pPr>
            <w:r w:rsidRPr="004C730A">
              <w:rPr>
                <w:rFonts w:asciiTheme="minorHAnsi" w:hAnsiTheme="minorHAnsi" w:cstheme="minorHAnsi"/>
                <w:szCs w:val="22"/>
              </w:rPr>
              <w:t>Expression of three selectable marker genes and one reporter gene (expressed both individually and in combination)</w:t>
            </w:r>
          </w:p>
          <w:p w14:paraId="3317D973" w14:textId="77777777" w:rsidR="0009725A" w:rsidRPr="004C730A" w:rsidRDefault="0009725A" w:rsidP="00F51F46">
            <w:pPr>
              <w:spacing w:before="40"/>
            </w:pPr>
            <w:r w:rsidRPr="00146592">
              <w:rPr>
                <w:u w:val="single"/>
              </w:rPr>
              <w:t>Barley</w:t>
            </w:r>
            <w:r w:rsidRPr="004C730A">
              <w:t>:</w:t>
            </w:r>
          </w:p>
          <w:p w14:paraId="34FDDE67" w14:textId="77777777" w:rsidR="0009725A" w:rsidRPr="004C730A" w:rsidRDefault="0009725A" w:rsidP="0009725A">
            <w:pPr>
              <w:pStyle w:val="ListParagraph"/>
              <w:numPr>
                <w:ilvl w:val="0"/>
                <w:numId w:val="3"/>
              </w:numPr>
              <w:spacing w:before="40" w:after="0"/>
              <w:ind w:left="261" w:hanging="227"/>
              <w:rPr>
                <w:szCs w:val="22"/>
              </w:rPr>
            </w:pPr>
            <w:r>
              <w:rPr>
                <w:szCs w:val="22"/>
              </w:rPr>
              <w:t>Knockout</w:t>
            </w:r>
            <w:r w:rsidRPr="004C730A">
              <w:rPr>
                <w:szCs w:val="22"/>
              </w:rPr>
              <w:t xml:space="preserve"> of eight </w:t>
            </w:r>
            <w:r>
              <w:rPr>
                <w:szCs w:val="22"/>
              </w:rPr>
              <w:t xml:space="preserve">endogenous </w:t>
            </w:r>
            <w:r w:rsidRPr="004C730A">
              <w:rPr>
                <w:szCs w:val="22"/>
              </w:rPr>
              <w:t xml:space="preserve">genes involved in </w:t>
            </w:r>
            <w:r>
              <w:rPr>
                <w:szCs w:val="22"/>
              </w:rPr>
              <w:t xml:space="preserve">yield, architecture, and nutrient use </w:t>
            </w:r>
            <w:proofErr w:type="gramStart"/>
            <w:r>
              <w:rPr>
                <w:szCs w:val="22"/>
              </w:rPr>
              <w:t>efficiency</w:t>
            </w:r>
            <w:proofErr w:type="gramEnd"/>
          </w:p>
          <w:p w14:paraId="0A49F627" w14:textId="77777777" w:rsidR="0009725A" w:rsidRPr="004C730A" w:rsidRDefault="0009725A" w:rsidP="0009725A">
            <w:pPr>
              <w:pStyle w:val="ListParagraph"/>
              <w:numPr>
                <w:ilvl w:val="0"/>
                <w:numId w:val="3"/>
              </w:numPr>
              <w:spacing w:before="40" w:after="0"/>
              <w:ind w:left="261" w:hanging="227"/>
              <w:rPr>
                <w:szCs w:val="22"/>
              </w:rPr>
            </w:pPr>
            <w:r>
              <w:rPr>
                <w:szCs w:val="22"/>
              </w:rPr>
              <w:t>Expression of one selectable marker gene (expressed individually)</w:t>
            </w:r>
          </w:p>
        </w:tc>
      </w:tr>
      <w:tr w:rsidR="0009725A" w:rsidRPr="002E4447" w14:paraId="61019787" w14:textId="77777777" w:rsidTr="00F51F46">
        <w:tc>
          <w:tcPr>
            <w:tcW w:w="1502" w:type="pct"/>
          </w:tcPr>
          <w:p w14:paraId="6D112FA2" w14:textId="77777777" w:rsidR="0009725A" w:rsidRPr="008F52A4" w:rsidRDefault="0009725A" w:rsidP="00F51F46">
            <w:pPr>
              <w:pStyle w:val="LEFTLIST"/>
              <w:keepNext w:val="0"/>
              <w:widowControl w:val="0"/>
              <w:spacing w:before="40"/>
              <w:rPr>
                <w:rFonts w:ascii="Calibri" w:hAnsi="Calibri"/>
                <w:b w:val="0"/>
                <w:highlight w:val="yellow"/>
              </w:rPr>
            </w:pPr>
            <w:r w:rsidRPr="00234A8D">
              <w:rPr>
                <w:rFonts w:ascii="Calibri" w:hAnsi="Calibri"/>
                <w:b w:val="0"/>
              </w:rPr>
              <w:t>Genetic modification method</w:t>
            </w:r>
          </w:p>
        </w:tc>
        <w:tc>
          <w:tcPr>
            <w:tcW w:w="3498" w:type="pct"/>
          </w:tcPr>
          <w:p w14:paraId="475D4A8B" w14:textId="77777777" w:rsidR="0009725A" w:rsidRPr="00537C40" w:rsidRDefault="0009725A" w:rsidP="00F51F46">
            <w:pPr>
              <w:pStyle w:val="Para"/>
              <w:rPr>
                <w:rFonts w:ascii="Calibri" w:hAnsi="Calibri" w:cs="Calibri"/>
                <w:color w:val="000000" w:themeColor="text1"/>
                <w:sz w:val="22"/>
                <w:szCs w:val="22"/>
                <w:highlight w:val="yellow"/>
              </w:rPr>
            </w:pPr>
            <w:r>
              <w:rPr>
                <w:rFonts w:ascii="Calibri" w:hAnsi="Calibri" w:cs="Calibri"/>
                <w:color w:val="000000" w:themeColor="text1"/>
                <w:sz w:val="22"/>
                <w:szCs w:val="22"/>
              </w:rPr>
              <w:t xml:space="preserve">Biolistic or </w:t>
            </w:r>
            <w:r w:rsidRPr="00454F4D">
              <w:rPr>
                <w:rFonts w:ascii="Calibri" w:hAnsi="Calibri" w:cs="Calibri"/>
                <w:i/>
                <w:iCs/>
                <w:color w:val="000000" w:themeColor="text1"/>
                <w:sz w:val="22"/>
                <w:szCs w:val="22"/>
              </w:rPr>
              <w:t>Agrobacterium</w:t>
            </w:r>
            <w:r w:rsidRPr="00537C40">
              <w:rPr>
                <w:rFonts w:ascii="Calibri" w:hAnsi="Calibri" w:cs="Calibri"/>
                <w:color w:val="000000" w:themeColor="text1"/>
                <w:sz w:val="22"/>
                <w:szCs w:val="22"/>
              </w:rPr>
              <w:t>-mediated transformation</w:t>
            </w:r>
            <w:r>
              <w:rPr>
                <w:rFonts w:ascii="Calibri" w:hAnsi="Calibri" w:cs="Calibri"/>
                <w:color w:val="000000" w:themeColor="text1"/>
                <w:sz w:val="22"/>
                <w:szCs w:val="22"/>
              </w:rPr>
              <w:t xml:space="preserve">; </w:t>
            </w:r>
            <w:r w:rsidRPr="00537C40">
              <w:rPr>
                <w:rFonts w:ascii="Calibri" w:hAnsi="Calibri" w:cs="Calibri"/>
                <w:color w:val="000000" w:themeColor="text1"/>
                <w:sz w:val="22"/>
                <w:szCs w:val="22"/>
              </w:rPr>
              <w:t>gene editing</w:t>
            </w:r>
          </w:p>
        </w:tc>
      </w:tr>
      <w:tr w:rsidR="0009725A" w:rsidRPr="002E4447" w14:paraId="2F7850BF" w14:textId="77777777" w:rsidTr="00F51F46">
        <w:tc>
          <w:tcPr>
            <w:tcW w:w="1502" w:type="pct"/>
          </w:tcPr>
          <w:p w14:paraId="151EF880" w14:textId="77777777" w:rsidR="0009725A" w:rsidRPr="0030730F" w:rsidRDefault="0009725A" w:rsidP="00F51F46">
            <w:pPr>
              <w:pStyle w:val="LEFTLIST"/>
              <w:keepNext w:val="0"/>
              <w:widowControl w:val="0"/>
              <w:spacing w:before="40"/>
              <w:rPr>
                <w:rFonts w:ascii="Calibri" w:hAnsi="Calibri"/>
                <w:b w:val="0"/>
              </w:rPr>
            </w:pPr>
            <w:r w:rsidRPr="0030730F">
              <w:rPr>
                <w:rFonts w:ascii="Calibri" w:hAnsi="Calibri"/>
                <w:b w:val="0"/>
              </w:rPr>
              <w:t>Number of lines</w:t>
            </w:r>
          </w:p>
        </w:tc>
        <w:tc>
          <w:tcPr>
            <w:tcW w:w="3498" w:type="pct"/>
          </w:tcPr>
          <w:p w14:paraId="603013E6" w14:textId="77777777" w:rsidR="0009725A" w:rsidRPr="0030730F" w:rsidRDefault="0009725A" w:rsidP="00F51F46">
            <w:pPr>
              <w:pStyle w:val="RIGHTLIST"/>
              <w:keepNext w:val="0"/>
              <w:widowControl w:val="0"/>
              <w:spacing w:before="60" w:after="60"/>
              <w:rPr>
                <w:rFonts w:ascii="Calibri" w:hAnsi="Calibri"/>
              </w:rPr>
            </w:pPr>
            <w:r w:rsidRPr="0030730F">
              <w:rPr>
                <w:rFonts w:ascii="Calibri" w:hAnsi="Calibri" w:cs="Calibri"/>
                <w:iCs/>
              </w:rPr>
              <w:t xml:space="preserve">Up to 103 </w:t>
            </w:r>
            <w:r w:rsidRPr="0030730F">
              <w:rPr>
                <w:rFonts w:ascii="Calibri" w:hAnsi="Calibri"/>
              </w:rPr>
              <w:t>lines</w:t>
            </w:r>
            <w:r w:rsidRPr="0030730F">
              <w:rPr>
                <w:rStyle w:val="FootnoteReference"/>
                <w:rFonts w:ascii="Calibri" w:hAnsi="Calibri"/>
              </w:rPr>
              <w:footnoteReference w:id="1"/>
            </w:r>
            <w:r w:rsidRPr="0030730F">
              <w:t xml:space="preserve"> </w:t>
            </w:r>
            <w:r w:rsidRPr="0030730F">
              <w:rPr>
                <w:rFonts w:ascii="Calibri" w:hAnsi="Calibri" w:cs="Calibri"/>
                <w:iCs/>
              </w:rPr>
              <w:t>in total</w:t>
            </w:r>
          </w:p>
        </w:tc>
      </w:tr>
      <w:tr w:rsidR="0009725A" w:rsidRPr="002E4447" w14:paraId="16B60F7A" w14:textId="77777777" w:rsidTr="00F51F46">
        <w:tc>
          <w:tcPr>
            <w:tcW w:w="1502" w:type="pct"/>
          </w:tcPr>
          <w:p w14:paraId="35BE8255" w14:textId="77777777" w:rsidR="0009725A" w:rsidRPr="00422A6D" w:rsidRDefault="0009725A" w:rsidP="00F51F46">
            <w:pPr>
              <w:pStyle w:val="LEFTLIST"/>
              <w:keepNext w:val="0"/>
              <w:widowControl w:val="0"/>
              <w:spacing w:before="40"/>
              <w:rPr>
                <w:rFonts w:ascii="Calibri" w:hAnsi="Calibri"/>
                <w:i/>
              </w:rPr>
            </w:pPr>
            <w:r w:rsidRPr="00422A6D">
              <w:rPr>
                <w:rFonts w:ascii="Calibri" w:hAnsi="Calibri" w:cs="Calibri"/>
                <w:i/>
              </w:rPr>
              <w:t>Principal purpose</w:t>
            </w:r>
          </w:p>
        </w:tc>
        <w:tc>
          <w:tcPr>
            <w:tcW w:w="3498" w:type="pct"/>
          </w:tcPr>
          <w:p w14:paraId="689AD3A3" w14:textId="77777777" w:rsidR="0009725A" w:rsidRPr="007765FB" w:rsidRDefault="0009725A" w:rsidP="00F51F46">
            <w:pPr>
              <w:pStyle w:val="RIGHTLIST"/>
              <w:widowControl w:val="0"/>
              <w:spacing w:before="60" w:after="60"/>
              <w:rPr>
                <w:rFonts w:ascii="Calibri" w:hAnsi="Calibri" w:cs="Calibri"/>
              </w:rPr>
            </w:pPr>
            <w:r w:rsidRPr="00AF3E39">
              <w:rPr>
                <w:rFonts w:ascii="Calibri" w:hAnsi="Calibri" w:cs="Calibri"/>
              </w:rPr>
              <w:t xml:space="preserve">To assess agronomic performance of the GM wheat and </w:t>
            </w:r>
            <w:r w:rsidRPr="000734FC">
              <w:rPr>
                <w:rFonts w:ascii="Calibri" w:hAnsi="Calibri" w:cs="Calibri"/>
              </w:rPr>
              <w:t>barley lines</w:t>
            </w:r>
            <w:r>
              <w:rPr>
                <w:rFonts w:ascii="Calibri" w:hAnsi="Calibri"/>
                <w:sz w:val="20"/>
                <w:szCs w:val="20"/>
              </w:rPr>
              <w:t xml:space="preserve"> </w:t>
            </w:r>
            <w:r w:rsidRPr="000734FC">
              <w:rPr>
                <w:rFonts w:ascii="Calibri" w:hAnsi="Calibri" w:cs="Calibri"/>
              </w:rPr>
              <w:t>under</w:t>
            </w:r>
            <w:r w:rsidRPr="00AF3E39">
              <w:rPr>
                <w:rFonts w:ascii="Calibri" w:hAnsi="Calibri" w:cs="Calibri"/>
              </w:rPr>
              <w:t xml:space="preserve"> field conditions</w:t>
            </w:r>
          </w:p>
        </w:tc>
      </w:tr>
      <w:tr w:rsidR="0009725A" w:rsidRPr="002E4447" w14:paraId="7C8B4719" w14:textId="77777777" w:rsidTr="00F51F46">
        <w:tc>
          <w:tcPr>
            <w:tcW w:w="5000" w:type="pct"/>
            <w:gridSpan w:val="2"/>
          </w:tcPr>
          <w:p w14:paraId="617C6714" w14:textId="77777777" w:rsidR="0009725A" w:rsidRPr="00422A6D" w:rsidRDefault="0009725A" w:rsidP="00F51F46">
            <w:pPr>
              <w:pStyle w:val="RIGHTLIST"/>
              <w:widowControl w:val="0"/>
              <w:spacing w:before="60" w:after="60"/>
              <w:rPr>
                <w:rFonts w:ascii="Calibri" w:hAnsi="Calibri"/>
                <w:b/>
                <w:i/>
              </w:rPr>
            </w:pPr>
            <w:r w:rsidRPr="00422A6D">
              <w:rPr>
                <w:rFonts w:ascii="Calibri" w:hAnsi="Calibri" w:cs="Calibri"/>
                <w:b/>
                <w:i/>
              </w:rPr>
              <w:lastRenderedPageBreak/>
              <w:t>Proposed limits</w:t>
            </w:r>
          </w:p>
        </w:tc>
      </w:tr>
      <w:tr w:rsidR="0009725A" w:rsidRPr="002E4447" w14:paraId="7C4DEFFA" w14:textId="77777777" w:rsidTr="00F51F46">
        <w:tc>
          <w:tcPr>
            <w:tcW w:w="1502" w:type="pct"/>
          </w:tcPr>
          <w:p w14:paraId="06338C50" w14:textId="77777777" w:rsidR="0009725A" w:rsidRPr="005E3D6A" w:rsidRDefault="0009725A" w:rsidP="00F51F46">
            <w:pPr>
              <w:pStyle w:val="LEFTLIST"/>
              <w:keepNext w:val="0"/>
              <w:widowControl w:val="0"/>
              <w:spacing w:before="40"/>
              <w:rPr>
                <w:rFonts w:ascii="Calibri" w:hAnsi="Calibri"/>
                <w:b w:val="0"/>
              </w:rPr>
            </w:pPr>
            <w:r w:rsidRPr="005E3D6A">
              <w:rPr>
                <w:rFonts w:ascii="Calibri" w:hAnsi="Calibri" w:cs="Calibri"/>
                <w:b w:val="0"/>
              </w:rPr>
              <w:t>Proposed use of GM plants</w:t>
            </w:r>
          </w:p>
        </w:tc>
        <w:tc>
          <w:tcPr>
            <w:tcW w:w="3498" w:type="pct"/>
          </w:tcPr>
          <w:p w14:paraId="029A80DA" w14:textId="77777777" w:rsidR="0009725A" w:rsidRPr="005E3D6A" w:rsidRDefault="0009725A" w:rsidP="00F51F46">
            <w:pPr>
              <w:pStyle w:val="RIGHTLIST"/>
              <w:keepNext w:val="0"/>
              <w:widowControl w:val="0"/>
              <w:spacing w:before="60" w:after="60"/>
              <w:rPr>
                <w:rFonts w:ascii="Calibri" w:hAnsi="Calibri"/>
              </w:rPr>
            </w:pPr>
            <w:r w:rsidRPr="005E3D6A">
              <w:rPr>
                <w:rFonts w:ascii="Calibri" w:hAnsi="Calibri" w:cs="Calibri"/>
              </w:rPr>
              <w:t>No use in commercial food or animal feed proposed</w:t>
            </w:r>
          </w:p>
        </w:tc>
      </w:tr>
      <w:tr w:rsidR="0009725A" w:rsidRPr="002E4447" w14:paraId="2EBBCC19" w14:textId="77777777" w:rsidTr="00F51F46">
        <w:tc>
          <w:tcPr>
            <w:tcW w:w="1502" w:type="pct"/>
          </w:tcPr>
          <w:p w14:paraId="54FC4049" w14:textId="77777777" w:rsidR="0009725A" w:rsidRPr="00362AE8" w:rsidRDefault="0009725A" w:rsidP="00F51F46">
            <w:pPr>
              <w:pStyle w:val="LEFTLIST"/>
              <w:keepNext w:val="0"/>
              <w:widowControl w:val="0"/>
              <w:spacing w:before="40"/>
              <w:rPr>
                <w:rFonts w:ascii="Calibri" w:hAnsi="Calibri"/>
                <w:b w:val="0"/>
              </w:rPr>
            </w:pPr>
            <w:r w:rsidRPr="00362AE8">
              <w:rPr>
                <w:rFonts w:ascii="Calibri" w:hAnsi="Calibri" w:cs="Calibri"/>
                <w:b w:val="0"/>
              </w:rPr>
              <w:t>Proposed location/s</w:t>
            </w:r>
          </w:p>
        </w:tc>
        <w:tc>
          <w:tcPr>
            <w:tcW w:w="3498" w:type="pct"/>
          </w:tcPr>
          <w:p w14:paraId="6C3B01AA" w14:textId="77777777" w:rsidR="0009725A" w:rsidRPr="00362AE8" w:rsidRDefault="0009725A" w:rsidP="00F51F46">
            <w:pPr>
              <w:pStyle w:val="RIGHTLIST"/>
              <w:keepNext w:val="0"/>
              <w:widowControl w:val="0"/>
              <w:spacing w:before="60" w:after="60"/>
              <w:rPr>
                <w:rFonts w:ascii="Calibri" w:hAnsi="Calibri"/>
              </w:rPr>
            </w:pPr>
            <w:r w:rsidRPr="00362AE8">
              <w:rPr>
                <w:rFonts w:asciiTheme="minorHAnsi" w:hAnsiTheme="minorHAnsi"/>
              </w:rPr>
              <w:t>The trial is proposed to take place at one site in South Australia (Light Regional Council)</w:t>
            </w:r>
          </w:p>
        </w:tc>
      </w:tr>
      <w:tr w:rsidR="0009725A" w:rsidRPr="002E4447" w14:paraId="32DE04F0" w14:textId="77777777" w:rsidTr="00F51F46">
        <w:tc>
          <w:tcPr>
            <w:tcW w:w="1502" w:type="pct"/>
          </w:tcPr>
          <w:p w14:paraId="75919FF0" w14:textId="77777777" w:rsidR="0009725A" w:rsidRPr="00362AE8" w:rsidRDefault="0009725A" w:rsidP="00F51F46">
            <w:pPr>
              <w:pStyle w:val="LEFTLIST"/>
              <w:keepNext w:val="0"/>
              <w:widowControl w:val="0"/>
              <w:spacing w:before="40"/>
              <w:rPr>
                <w:rFonts w:ascii="Calibri" w:hAnsi="Calibri"/>
                <w:b w:val="0"/>
              </w:rPr>
            </w:pPr>
            <w:r w:rsidRPr="00362AE8">
              <w:rPr>
                <w:rFonts w:ascii="Calibri" w:hAnsi="Calibri" w:cs="Calibri"/>
                <w:b w:val="0"/>
              </w:rPr>
              <w:t>Proposed release size</w:t>
            </w:r>
          </w:p>
        </w:tc>
        <w:tc>
          <w:tcPr>
            <w:tcW w:w="3498" w:type="pct"/>
          </w:tcPr>
          <w:p w14:paraId="6EB1B79D" w14:textId="77777777" w:rsidR="0009725A" w:rsidRPr="00362AE8" w:rsidRDefault="0009725A" w:rsidP="00F51F46">
            <w:pPr>
              <w:pStyle w:val="RIGHTLIST"/>
              <w:keepNext w:val="0"/>
              <w:widowControl w:val="0"/>
              <w:spacing w:before="60" w:after="60"/>
              <w:rPr>
                <w:rFonts w:ascii="Calibri" w:hAnsi="Calibri"/>
              </w:rPr>
            </w:pPr>
            <w:r w:rsidRPr="00362AE8">
              <w:rPr>
                <w:rFonts w:asciiTheme="minorHAnsi" w:hAnsiTheme="minorHAnsi"/>
              </w:rPr>
              <w:t>Up to a total of 2 ha per year</w:t>
            </w:r>
          </w:p>
        </w:tc>
      </w:tr>
      <w:tr w:rsidR="0009725A" w:rsidRPr="002E4447" w14:paraId="5F8B9FFB" w14:textId="77777777" w:rsidTr="00F51F46">
        <w:tc>
          <w:tcPr>
            <w:tcW w:w="1502" w:type="pct"/>
          </w:tcPr>
          <w:p w14:paraId="0A702B41" w14:textId="77777777" w:rsidR="0009725A" w:rsidRPr="00362AE8" w:rsidRDefault="0009725A" w:rsidP="00F51F46">
            <w:pPr>
              <w:pStyle w:val="LEFTLIST"/>
              <w:keepNext w:val="0"/>
              <w:widowControl w:val="0"/>
              <w:spacing w:before="40"/>
              <w:rPr>
                <w:rFonts w:ascii="Calibri" w:hAnsi="Calibri" w:cs="Calibri"/>
                <w:i/>
              </w:rPr>
            </w:pPr>
            <w:r w:rsidRPr="00362AE8">
              <w:rPr>
                <w:rFonts w:ascii="Calibri" w:hAnsi="Calibri" w:cs="Calibri"/>
                <w:b w:val="0"/>
              </w:rPr>
              <w:t>Proposed period of release</w:t>
            </w:r>
          </w:p>
        </w:tc>
        <w:tc>
          <w:tcPr>
            <w:tcW w:w="3498" w:type="pct"/>
          </w:tcPr>
          <w:p w14:paraId="0C381BB5" w14:textId="77777777" w:rsidR="0009725A" w:rsidRPr="00362AE8" w:rsidRDefault="0009725A" w:rsidP="00F51F46">
            <w:pPr>
              <w:pStyle w:val="RIGHTLIST"/>
              <w:widowControl w:val="0"/>
              <w:spacing w:before="60" w:after="60"/>
              <w:rPr>
                <w:rFonts w:ascii="Calibri" w:hAnsi="Calibri" w:cs="Calibri"/>
              </w:rPr>
            </w:pPr>
            <w:r w:rsidRPr="00362AE8">
              <w:rPr>
                <w:rFonts w:ascii="Calibri" w:hAnsi="Calibri" w:cs="Calibri"/>
              </w:rPr>
              <w:t>From May 2024 to January 2029</w:t>
            </w:r>
          </w:p>
        </w:tc>
      </w:tr>
      <w:tr w:rsidR="0009725A" w:rsidRPr="002E4447" w14:paraId="75A040CB" w14:textId="77777777" w:rsidTr="00F51F46">
        <w:tc>
          <w:tcPr>
            <w:tcW w:w="1502" w:type="pct"/>
          </w:tcPr>
          <w:p w14:paraId="0A8546FD" w14:textId="77777777" w:rsidR="0009725A" w:rsidRPr="00362AE8" w:rsidRDefault="0009725A" w:rsidP="00F51F46">
            <w:pPr>
              <w:pStyle w:val="LEFTLIST"/>
              <w:keepNext w:val="0"/>
              <w:widowControl w:val="0"/>
              <w:spacing w:before="40"/>
              <w:rPr>
                <w:rFonts w:ascii="Calibri" w:hAnsi="Calibri" w:cs="Calibri"/>
                <w:i/>
              </w:rPr>
            </w:pPr>
            <w:r w:rsidRPr="00362AE8">
              <w:rPr>
                <w:rFonts w:ascii="Calibri" w:hAnsi="Calibri" w:cs="Calibri"/>
                <w:i/>
              </w:rPr>
              <w:t>Previous releases</w:t>
            </w:r>
          </w:p>
        </w:tc>
        <w:tc>
          <w:tcPr>
            <w:tcW w:w="3498" w:type="pct"/>
          </w:tcPr>
          <w:p w14:paraId="3601137B" w14:textId="77777777" w:rsidR="0009725A" w:rsidRPr="00362AE8" w:rsidRDefault="0009725A" w:rsidP="0009725A">
            <w:pPr>
              <w:pStyle w:val="ListParagraph"/>
              <w:numPr>
                <w:ilvl w:val="0"/>
                <w:numId w:val="3"/>
              </w:numPr>
              <w:spacing w:before="40" w:after="0"/>
              <w:ind w:left="261" w:hanging="227"/>
              <w:rPr>
                <w:rFonts w:cs="Calibri"/>
                <w:szCs w:val="22"/>
              </w:rPr>
            </w:pPr>
            <w:r w:rsidRPr="00362AE8">
              <w:rPr>
                <w:rFonts w:cs="Calibri"/>
                <w:szCs w:val="22"/>
              </w:rPr>
              <w:t>Wheat lines containing all or some of the three introduced genes for yield enhancement have previously been released under DIR 102, DIR</w:t>
            </w:r>
            <w:r>
              <w:rPr>
                <w:rFonts w:cs="Calibri"/>
                <w:szCs w:val="22"/>
              </w:rPr>
              <w:t> </w:t>
            </w:r>
            <w:r w:rsidRPr="00362AE8">
              <w:rPr>
                <w:rFonts w:cs="Calibri"/>
                <w:szCs w:val="22"/>
              </w:rPr>
              <w:t xml:space="preserve">128, DIR </w:t>
            </w:r>
            <w:proofErr w:type="gramStart"/>
            <w:r w:rsidRPr="00362AE8">
              <w:rPr>
                <w:rFonts w:cs="Calibri"/>
                <w:szCs w:val="22"/>
              </w:rPr>
              <w:t>152</w:t>
            </w:r>
            <w:proofErr w:type="gramEnd"/>
            <w:r w:rsidRPr="00362AE8">
              <w:rPr>
                <w:rFonts w:cs="Calibri"/>
                <w:szCs w:val="22"/>
              </w:rPr>
              <w:t xml:space="preserve"> and DIR 186. </w:t>
            </w:r>
          </w:p>
          <w:p w14:paraId="625518AB" w14:textId="77777777" w:rsidR="0009725A" w:rsidRPr="00362AE8" w:rsidRDefault="0009725A" w:rsidP="0009725A">
            <w:pPr>
              <w:pStyle w:val="ListParagraph"/>
              <w:numPr>
                <w:ilvl w:val="0"/>
                <w:numId w:val="3"/>
              </w:numPr>
              <w:spacing w:before="40" w:after="0"/>
              <w:ind w:left="261" w:hanging="227"/>
              <w:rPr>
                <w:rFonts w:cs="Calibri"/>
              </w:rPr>
            </w:pPr>
            <w:r w:rsidRPr="00362AE8">
              <w:rPr>
                <w:rFonts w:cs="Calibri"/>
                <w:szCs w:val="22"/>
              </w:rPr>
              <w:t xml:space="preserve">Wheat lines containing the </w:t>
            </w:r>
            <w:r w:rsidRPr="00362AE8">
              <w:rPr>
                <w:rFonts w:asciiTheme="minorHAnsi" w:hAnsiTheme="minorHAnsi" w:cstheme="minorHAnsi"/>
                <w:szCs w:val="22"/>
              </w:rPr>
              <w:t>five genes involved in yield enhancement and water use efficiency have previously been released under DIR 186.</w:t>
            </w:r>
            <w:r w:rsidRPr="00362AE8">
              <w:rPr>
                <w:rFonts w:asciiTheme="minorHAnsi" w:hAnsiTheme="minorHAnsi" w:cstheme="minorHAnsi"/>
              </w:rPr>
              <w:t xml:space="preserve"> </w:t>
            </w:r>
          </w:p>
        </w:tc>
      </w:tr>
    </w:tbl>
    <w:p w14:paraId="32FEBA02" w14:textId="77777777" w:rsidR="0009725A" w:rsidRDefault="0009725A" w:rsidP="00A22B8C">
      <w:pPr>
        <w:pStyle w:val="Heading2"/>
        <w:spacing w:before="240" w:after="60"/>
        <w:rPr>
          <w:rFonts w:ascii="Calibri" w:hAnsi="Calibri" w:cs="Calibri"/>
          <w:b/>
          <w:bCs/>
          <w:i/>
          <w:iCs/>
          <w:color w:val="auto"/>
          <w:sz w:val="28"/>
          <w:szCs w:val="28"/>
        </w:rPr>
      </w:pPr>
      <w:r w:rsidRPr="001D4020">
        <w:rPr>
          <w:rFonts w:ascii="Calibri" w:hAnsi="Calibri" w:cs="Calibri"/>
          <w:b/>
          <w:bCs/>
          <w:i/>
          <w:iCs/>
          <w:color w:val="auto"/>
          <w:sz w:val="28"/>
          <w:szCs w:val="28"/>
        </w:rPr>
        <w:t>Risk assessment</w:t>
      </w:r>
    </w:p>
    <w:p w14:paraId="50631847" w14:textId="77777777" w:rsidR="0009725A" w:rsidRDefault="0009725A" w:rsidP="0009725A">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the short- and long-term risks are considered.</w:t>
      </w:r>
    </w:p>
    <w:p w14:paraId="04A73F01" w14:textId="77777777" w:rsidR="0009725A" w:rsidRDefault="0009725A" w:rsidP="0009725A">
      <w:r w:rsidRPr="00D66BDF">
        <w:t xml:space="preserve">Credible pathways to potential harm that were considered </w:t>
      </w:r>
      <w:r w:rsidRPr="001C0164">
        <w:t>included exposure of people or other desirable organisms to the GM plant material, potential for persi</w:t>
      </w:r>
      <w:r>
        <w:t>stence or dispersal of the GMOs, and</w:t>
      </w:r>
      <w:r w:rsidRPr="001C0164">
        <w:t xml:space="preserve"> transfer of the introduced genetic material to non-GM </w:t>
      </w:r>
      <w:r>
        <w:t>wheat and barley</w:t>
      </w:r>
      <w:r w:rsidRPr="001C0164">
        <w:t xml:space="preserve"> plants. Potential harms associated with these pathways included toxicity or allergenicity to people, toxicity to desirable animals, and environmental harms due to weediness.</w:t>
      </w:r>
    </w:p>
    <w:p w14:paraId="1F28A95C" w14:textId="77777777" w:rsidR="0009725A" w:rsidRPr="00B35AD1" w:rsidRDefault="0009725A" w:rsidP="0009725A">
      <w:r w:rsidRPr="00E32F0E">
        <w:t xml:space="preserve">The risk assessment </w:t>
      </w:r>
      <w:r w:rsidRPr="00B35AD1">
        <w:t>concludes that risks to the health and safety of people or the environment from the proposed dealings are negligible. No specific risk treatment measures are required to manage these negligible risks.</w:t>
      </w:r>
    </w:p>
    <w:p w14:paraId="25A86CA4" w14:textId="77777777" w:rsidR="0009725A" w:rsidRDefault="0009725A" w:rsidP="0009725A">
      <w:r w:rsidRPr="00B35AD1">
        <w:t xml:space="preserve">The principal reasons for the conclusion of </w:t>
      </w:r>
      <w:r w:rsidRPr="00B35AD1">
        <w:rPr>
          <w:color w:val="000000" w:themeColor="text1"/>
        </w:rPr>
        <w:t>negligible</w:t>
      </w:r>
      <w:r w:rsidRPr="00B35AD1">
        <w:rPr>
          <w:color w:val="00B0F0"/>
        </w:rPr>
        <w:t xml:space="preserve"> </w:t>
      </w:r>
      <w:r w:rsidRPr="00B35AD1">
        <w:t>risks are that the proposed limits and controls, such as the small trial size and not using GM plant material in food or animal feed, will effectively minimise exposure to the GMOs. In addition, there is no evidence to suggest the introduced genetic modifications would lead to harm to people or the environment.</w:t>
      </w:r>
      <w:r w:rsidRPr="00E32F0E">
        <w:t xml:space="preserve"> </w:t>
      </w:r>
    </w:p>
    <w:p w14:paraId="0FFE871E" w14:textId="77777777" w:rsidR="0009725A" w:rsidRDefault="0009725A" w:rsidP="0009725A">
      <w:pPr>
        <w:rPr>
          <w:rFonts w:cs="Calibri"/>
          <w:b/>
          <w:bCs/>
          <w:i/>
          <w:iCs/>
          <w:sz w:val="28"/>
          <w:szCs w:val="28"/>
        </w:rPr>
      </w:pPr>
      <w:r w:rsidRPr="001D4020">
        <w:rPr>
          <w:rFonts w:cs="Calibri"/>
          <w:b/>
          <w:bCs/>
          <w:i/>
          <w:iCs/>
          <w:sz w:val="28"/>
          <w:szCs w:val="28"/>
        </w:rPr>
        <w:t>Risk management</w:t>
      </w:r>
      <w:r>
        <w:rPr>
          <w:rFonts w:cs="Calibri"/>
          <w:b/>
          <w:bCs/>
          <w:i/>
          <w:iCs/>
          <w:sz w:val="28"/>
          <w:szCs w:val="28"/>
        </w:rPr>
        <w:t xml:space="preserve"> </w:t>
      </w:r>
    </w:p>
    <w:p w14:paraId="13F63346" w14:textId="77777777" w:rsidR="0009725A" w:rsidRPr="00E32F0E" w:rsidRDefault="0009725A" w:rsidP="0009725A">
      <w:pPr>
        <w:rPr>
          <w:rFonts w:eastAsia="SimSun"/>
        </w:rPr>
      </w:pPr>
      <w:r>
        <w:rPr>
          <w:rFonts w:eastAsia="SimSun"/>
        </w:rPr>
        <w:t xml:space="preserve">Risk management is used to protect the health and safety of people and to protect the environment by controlling or mitigating risk. </w:t>
      </w:r>
      <w:r w:rsidRPr="00F63881">
        <w:rPr>
          <w:rFonts w:eastAsia="SimSun"/>
        </w:rPr>
        <w:t>The risk management plan evaluates and treats identified risks and considers</w:t>
      </w:r>
      <w:r>
        <w:rPr>
          <w:rFonts w:eastAsia="SimSun"/>
        </w:rPr>
        <w:t xml:space="preserve"> </w:t>
      </w:r>
      <w:r w:rsidRPr="00F63881">
        <w:rPr>
          <w:rFonts w:eastAsia="SimSun"/>
        </w:rPr>
        <w:t xml:space="preserve">general risk management measures. </w:t>
      </w:r>
      <w:r w:rsidRPr="00E32F0E">
        <w:rPr>
          <w:rFonts w:eastAsia="SimSun"/>
        </w:rPr>
        <w:t xml:space="preserve">The risk management plan is given effect through licence conditions. </w:t>
      </w:r>
    </w:p>
    <w:p w14:paraId="71B657C6" w14:textId="28DC6D1D" w:rsidR="009C5A8A" w:rsidRPr="002C436E" w:rsidRDefault="0009725A" w:rsidP="009C5A8A">
      <w:pPr>
        <w:rPr>
          <w:rFonts w:cs="Calibri"/>
          <w:b/>
          <w:bCs/>
          <w:sz w:val="28"/>
          <w:szCs w:val="28"/>
        </w:rPr>
      </w:pPr>
      <w:r w:rsidRPr="00D66BDF">
        <w:t xml:space="preserve">As the level of risk is </w:t>
      </w:r>
      <w:r w:rsidRPr="00B35AD1">
        <w:t>considered negligible, specific</w:t>
      </w:r>
      <w:r w:rsidRPr="001C0164">
        <w:t xml:space="preserve"> risk treatment is not </w:t>
      </w:r>
      <w:r>
        <w:rPr>
          <w:color w:val="000000" w:themeColor="text1"/>
        </w:rPr>
        <w:t>required</w:t>
      </w:r>
      <w:r w:rsidRPr="00C745F5">
        <w:rPr>
          <w:color w:val="000000" w:themeColor="text1"/>
        </w:rPr>
        <w:t xml:space="preserve">. However, </w:t>
      </w:r>
      <w:r w:rsidRPr="00D66BDF">
        <w:t>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w:t>
      </w:r>
      <w:r w:rsidR="00923906">
        <w:t xml:space="preserve"> </w:t>
      </w:r>
      <w:r w:rsidRPr="00D66BDF">
        <w:t>Regulator’s guidelines, to destr</w:t>
      </w:r>
      <w:r>
        <w:t>oy the GMOs at the end of the trial</w:t>
      </w:r>
      <w:r w:rsidRPr="00D66BDF">
        <w:t xml:space="preserve"> and to conduct post-harvest monitoring at the trial site to ensure </w:t>
      </w:r>
      <w:r>
        <w:t>the</w:t>
      </w:r>
      <w:r w:rsidRPr="00D66BDF">
        <w:t xml:space="preserve"> GMOs are destroyed.</w:t>
      </w:r>
      <w:r>
        <w:t xml:space="preserve"> In addition, there are several general conditions relating to ongoing licence holder suitability, auditing and monitoring, and reporting requirements which include an obligation to report any unintended effects.</w:t>
      </w:r>
      <w:bookmarkEnd w:id="13"/>
      <w:bookmarkEnd w:id="14"/>
      <w:bookmarkEnd w:id="15"/>
      <w:bookmarkEnd w:id="16"/>
      <w:bookmarkEnd w:id="17"/>
    </w:p>
    <w:sectPr w:rsidR="009C5A8A" w:rsidRPr="002C436E"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B942" w14:textId="77777777" w:rsidR="009022B7" w:rsidRDefault="009022B7" w:rsidP="00A95E0D">
      <w:pPr>
        <w:spacing w:before="0" w:after="0"/>
      </w:pPr>
      <w:r>
        <w:separator/>
      </w:r>
    </w:p>
  </w:endnote>
  <w:endnote w:type="continuationSeparator" w:id="0">
    <w:p w14:paraId="782753F3" w14:textId="77777777" w:rsidR="009022B7" w:rsidRDefault="009022B7" w:rsidP="00A95E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6A02" w14:textId="15602C8B" w:rsidR="00A95E0D" w:rsidRPr="006F488E" w:rsidRDefault="00A95E0D"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sidR="00D32784">
      <w:rPr>
        <w:rFonts w:cs="Calibri"/>
        <w:sz w:val="20"/>
      </w:rPr>
      <w:t xml:space="preserve"> </w:t>
    </w:r>
    <w:r w:rsidRPr="006F488E">
      <w:rPr>
        <w:rFonts w:cs="Calibri"/>
        <w:sz w:val="20"/>
      </w:rPr>
      <w:t>Website: www.ogtr.gov.au</w:t>
    </w:r>
  </w:p>
  <w:p w14:paraId="548CEAF6" w14:textId="259994E8" w:rsidR="00A95E0D" w:rsidRPr="00A95E0D" w:rsidRDefault="00A95E0D" w:rsidP="00A95E0D">
    <w:pPr>
      <w:jc w:val="center"/>
      <w:rPr>
        <w:rFonts w:cs="Calibri"/>
      </w:rPr>
    </w:pPr>
    <w:r w:rsidRPr="006F488E">
      <w:rPr>
        <w:rFonts w:cs="Calibri"/>
        <w:sz w:val="20"/>
      </w:rPr>
      <w:t>Telephone: 1800 181 030</w:t>
    </w:r>
    <w:r w:rsidRPr="006F488E">
      <w:rPr>
        <w:rFonts w:cs="Calibri"/>
        <w:sz w:val="20"/>
      </w:rPr>
      <w:tab/>
    </w:r>
    <w:r w:rsidR="00D32784">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2E67" w14:textId="77777777" w:rsidR="009022B7" w:rsidRDefault="009022B7" w:rsidP="00A95E0D">
      <w:pPr>
        <w:spacing w:before="0" w:after="0"/>
      </w:pPr>
      <w:r>
        <w:separator/>
      </w:r>
    </w:p>
  </w:footnote>
  <w:footnote w:type="continuationSeparator" w:id="0">
    <w:p w14:paraId="768BDF42" w14:textId="77777777" w:rsidR="009022B7" w:rsidRDefault="009022B7" w:rsidP="00A95E0D">
      <w:pPr>
        <w:spacing w:before="0" w:after="0"/>
      </w:pPr>
      <w:r>
        <w:continuationSeparator/>
      </w:r>
    </w:p>
  </w:footnote>
  <w:footnote w:id="1">
    <w:p w14:paraId="1FE2A26F" w14:textId="77777777" w:rsidR="0009725A" w:rsidRPr="00A339B8" w:rsidRDefault="0009725A" w:rsidP="0009725A">
      <w:pPr>
        <w:pStyle w:val="FootnoteText"/>
        <w:rPr>
          <w:rFonts w:asciiTheme="minorHAnsi" w:hAnsiTheme="minorHAnsi" w:cstheme="minorHAnsi"/>
        </w:rPr>
      </w:pPr>
      <w:r>
        <w:rPr>
          <w:rStyle w:val="FootnoteReference"/>
        </w:rPr>
        <w:footnoteRef/>
      </w:r>
      <w:r>
        <w:t xml:space="preserve"> </w:t>
      </w:r>
      <w:r w:rsidRPr="00A339B8">
        <w:rPr>
          <w:rFonts w:asciiTheme="minorHAnsi" w:hAnsiTheme="minorHAnsi" w:cstheme="minorHAnsi"/>
        </w:rPr>
        <w:t>The term ‘line’ is used to denote plants derived from a single plant containing a specific genetic modification resulting from a single transformation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C959" w14:textId="62E17D89" w:rsidR="00A95E0D" w:rsidRDefault="00A95E0D">
    <w:pPr>
      <w:pStyle w:val="Header"/>
    </w:pPr>
    <w:r>
      <w:rPr>
        <w:noProof/>
      </w:rPr>
      <w:drawing>
        <wp:inline distT="0" distB="0" distL="0" distR="0" wp14:anchorId="0F26C441" wp14:editId="5D43ACE1">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51525A"/>
    <w:multiLevelType w:val="hybridMultilevel"/>
    <w:tmpl w:val="2C10AF88"/>
    <w:lvl w:ilvl="0" w:tplc="6F6CF40A">
      <w:start w:val="1"/>
      <w:numFmt w:val="bullet"/>
      <w:pStyle w:val="List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607CB7"/>
    <w:multiLevelType w:val="hybridMultilevel"/>
    <w:tmpl w:val="1C84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0204176">
    <w:abstractNumId w:val="1"/>
  </w:num>
  <w:num w:numId="2" w16cid:durableId="1679231852">
    <w:abstractNumId w:val="2"/>
  </w:num>
  <w:num w:numId="3" w16cid:durableId="118790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D"/>
    <w:rsid w:val="0009725A"/>
    <w:rsid w:val="000D0D5D"/>
    <w:rsid w:val="00144C82"/>
    <w:rsid w:val="00167011"/>
    <w:rsid w:val="00181E44"/>
    <w:rsid w:val="001D4020"/>
    <w:rsid w:val="002506D5"/>
    <w:rsid w:val="002C436E"/>
    <w:rsid w:val="00397979"/>
    <w:rsid w:val="0049256D"/>
    <w:rsid w:val="00781417"/>
    <w:rsid w:val="007E08AA"/>
    <w:rsid w:val="009022B7"/>
    <w:rsid w:val="00923906"/>
    <w:rsid w:val="009C5A8A"/>
    <w:rsid w:val="00A22B8C"/>
    <w:rsid w:val="00A40670"/>
    <w:rsid w:val="00A95E0D"/>
    <w:rsid w:val="00AD60BD"/>
    <w:rsid w:val="00B12A30"/>
    <w:rsid w:val="00D32784"/>
    <w:rsid w:val="00DE26FC"/>
    <w:rsid w:val="00E24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8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0D"/>
    <w:pPr>
      <w:spacing w:before="120" w:after="120" w:line="240" w:lineRule="auto"/>
    </w:pPr>
    <w:rPr>
      <w:rFonts w:ascii="Calibri" w:hAnsi="Calibri"/>
    </w:rPr>
  </w:style>
  <w:style w:type="paragraph" w:styleId="Heading1">
    <w:name w:val="heading 1"/>
    <w:basedOn w:val="Normal"/>
    <w:next w:val="Normal"/>
    <w:link w:val="Heading1Char"/>
    <w:qFormat/>
    <w:rsid w:val="00A95E0D"/>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7E0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E0D"/>
    <w:pPr>
      <w:tabs>
        <w:tab w:val="center" w:pos="4513"/>
        <w:tab w:val="right" w:pos="9026"/>
      </w:tabs>
      <w:spacing w:after="0"/>
    </w:pPr>
  </w:style>
  <w:style w:type="character" w:customStyle="1" w:styleId="HeaderChar">
    <w:name w:val="Header Char"/>
    <w:basedOn w:val="DefaultParagraphFont"/>
    <w:link w:val="Header"/>
    <w:uiPriority w:val="99"/>
    <w:rsid w:val="00A95E0D"/>
  </w:style>
  <w:style w:type="paragraph" w:styleId="Footer">
    <w:name w:val="footer"/>
    <w:basedOn w:val="Normal"/>
    <w:link w:val="FooterChar"/>
    <w:uiPriority w:val="99"/>
    <w:unhideWhenUsed/>
    <w:rsid w:val="00A95E0D"/>
    <w:pPr>
      <w:tabs>
        <w:tab w:val="center" w:pos="4513"/>
        <w:tab w:val="right" w:pos="9026"/>
      </w:tabs>
      <w:spacing w:after="0"/>
    </w:pPr>
  </w:style>
  <w:style w:type="character" w:customStyle="1" w:styleId="FooterChar">
    <w:name w:val="Footer Char"/>
    <w:basedOn w:val="DefaultParagraphFont"/>
    <w:link w:val="Footer"/>
    <w:uiPriority w:val="99"/>
    <w:rsid w:val="00A95E0D"/>
  </w:style>
  <w:style w:type="character" w:customStyle="1" w:styleId="Heading1Char">
    <w:name w:val="Heading 1 Char"/>
    <w:basedOn w:val="DefaultParagraphFont"/>
    <w:link w:val="Heading1"/>
    <w:rsid w:val="00A95E0D"/>
    <w:rPr>
      <w:rFonts w:ascii="Calibri" w:eastAsiaTheme="majorEastAsia" w:hAnsi="Calibri" w:cstheme="majorBidi"/>
      <w:b/>
      <w:sz w:val="36"/>
      <w:szCs w:val="32"/>
    </w:rPr>
  </w:style>
  <w:style w:type="paragraph" w:customStyle="1" w:styleId="ListBullet1">
    <w:name w:val="List Bullet1"/>
    <w:basedOn w:val="Normal"/>
    <w:qFormat/>
    <w:rsid w:val="00A95E0D"/>
    <w:pPr>
      <w:numPr>
        <w:numId w:val="1"/>
      </w:numPr>
      <w:spacing w:before="60" w:after="60" w:line="240" w:lineRule="atLeast"/>
      <w:ind w:left="714" w:hanging="357"/>
    </w:pPr>
  </w:style>
  <w:style w:type="paragraph" w:customStyle="1" w:styleId="RIGHTLIST">
    <w:name w:val="RIGHTLIST"/>
    <w:basedOn w:val="LEFTLIST"/>
    <w:link w:val="RIGHTLISTChar"/>
    <w:rsid w:val="00A95E0D"/>
    <w:rPr>
      <w:rFonts w:ascii="Times New Roman" w:hAnsi="Times New Roman" w:cs="Times New Roman"/>
      <w:b w:val="0"/>
      <w:bCs w:val="0"/>
    </w:rPr>
  </w:style>
  <w:style w:type="paragraph" w:customStyle="1" w:styleId="LEFTLIST">
    <w:name w:val="LEFTLIST"/>
    <w:basedOn w:val="Heading1"/>
    <w:rsid w:val="00A95E0D"/>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Heading2Char">
    <w:name w:val="Heading 2 Char"/>
    <w:basedOn w:val="DefaultParagraphFont"/>
    <w:link w:val="Heading2"/>
    <w:uiPriority w:val="9"/>
    <w:semiHidden/>
    <w:rsid w:val="007E08A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7E08AA"/>
    <w:rPr>
      <w:u w:val="single"/>
    </w:rPr>
  </w:style>
  <w:style w:type="character" w:customStyle="1" w:styleId="RIGHTLISTChar">
    <w:name w:val="RIGHTLIST Char"/>
    <w:basedOn w:val="DefaultParagraphFont"/>
    <w:link w:val="RIGHTLIST"/>
    <w:rsid w:val="007E08AA"/>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144C82"/>
    <w:rPr>
      <w:color w:val="954F72" w:themeColor="followedHyperlink"/>
      <w:u w:val="single"/>
    </w:rPr>
  </w:style>
  <w:style w:type="paragraph" w:styleId="ListParagraph">
    <w:name w:val="List Paragraph"/>
    <w:basedOn w:val="Normal"/>
    <w:link w:val="ListParagraphChar"/>
    <w:uiPriority w:val="34"/>
    <w:qFormat/>
    <w:rsid w:val="0009725A"/>
    <w:pPr>
      <w:ind w:left="720"/>
      <w:contextualSpacing/>
    </w:pPr>
    <w:rPr>
      <w:rFonts w:eastAsiaTheme="minorEastAsia" w:cs="Times New Roman"/>
      <w:szCs w:val="24"/>
    </w:rPr>
  </w:style>
  <w:style w:type="paragraph" w:styleId="FootnoteText">
    <w:name w:val="footnote text"/>
    <w:basedOn w:val="Normal"/>
    <w:link w:val="FootnoteTextChar"/>
    <w:uiPriority w:val="99"/>
    <w:rsid w:val="0009725A"/>
    <w:rPr>
      <w:rFonts w:eastAsiaTheme="minorEastAsia" w:cs="Times New Roman"/>
      <w:sz w:val="20"/>
      <w:szCs w:val="20"/>
      <w:lang w:eastAsia="en-AU"/>
    </w:rPr>
  </w:style>
  <w:style w:type="character" w:customStyle="1" w:styleId="FootnoteTextChar">
    <w:name w:val="Footnote Text Char"/>
    <w:basedOn w:val="DefaultParagraphFont"/>
    <w:link w:val="FootnoteText"/>
    <w:uiPriority w:val="99"/>
    <w:rsid w:val="0009725A"/>
    <w:rPr>
      <w:rFonts w:ascii="Calibri" w:eastAsiaTheme="minorEastAsia" w:hAnsi="Calibri" w:cs="Times New Roman"/>
      <w:sz w:val="20"/>
      <w:szCs w:val="20"/>
      <w:lang w:eastAsia="en-AU"/>
    </w:rPr>
  </w:style>
  <w:style w:type="character" w:styleId="FootnoteReference">
    <w:name w:val="footnote reference"/>
    <w:rsid w:val="0009725A"/>
    <w:rPr>
      <w:vertAlign w:val="superscript"/>
    </w:rPr>
  </w:style>
  <w:style w:type="character" w:customStyle="1" w:styleId="ListParagraphChar">
    <w:name w:val="List Paragraph Char"/>
    <w:basedOn w:val="DefaultParagraphFont"/>
    <w:link w:val="ListParagraph"/>
    <w:uiPriority w:val="34"/>
    <w:rsid w:val="0009725A"/>
    <w:rPr>
      <w:rFonts w:ascii="Calibri" w:eastAsiaTheme="minorEastAsia" w:hAnsi="Calibri" w:cs="Times New Roman"/>
      <w:szCs w:val="24"/>
    </w:rPr>
  </w:style>
  <w:style w:type="paragraph" w:customStyle="1" w:styleId="Para">
    <w:name w:val="Para"/>
    <w:basedOn w:val="Normal"/>
    <w:link w:val="ParaCharChar"/>
    <w:rsid w:val="0009725A"/>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09725A"/>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201 - Summary of Risk Assessment and Risk Management Plan</dc:title>
  <dc:subject/>
  <dc:creator/>
  <cp:keywords/>
  <dc:description/>
  <cp:lastModifiedBy/>
  <cp:revision>1</cp:revision>
  <dcterms:created xsi:type="dcterms:W3CDTF">2024-04-10T23:51:00Z</dcterms:created>
  <dcterms:modified xsi:type="dcterms:W3CDTF">2024-04-10T23:51:00Z</dcterms:modified>
</cp:coreProperties>
</file>