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E578" w14:textId="6E203921" w:rsidR="004F476C" w:rsidRDefault="004F476C" w:rsidP="004F476C">
      <w:pPr>
        <w:pStyle w:val="Heading1"/>
        <w:spacing w:before="480"/>
        <w:rPr>
          <w:rFonts w:ascii="Calibri" w:hAnsi="Calibri"/>
          <w:szCs w:val="28"/>
        </w:rPr>
      </w:pPr>
    </w:p>
    <w:p w14:paraId="3A73A0AA" w14:textId="0E8F68B2" w:rsidR="004F476C" w:rsidRPr="004F476C" w:rsidRDefault="004F476C" w:rsidP="004F476C">
      <w:pPr>
        <w:spacing w:before="240" w:after="120"/>
        <w:jc w:val="center"/>
        <w:rPr>
          <w:rFonts w:ascii="Calibri" w:hAnsi="Calibri" w:cs="Arial"/>
          <w:b/>
          <w:bCs/>
          <w:kern w:val="28"/>
          <w:sz w:val="28"/>
          <w:szCs w:val="28"/>
          <w:lang w:val="en-US" w:eastAsia="en-US"/>
        </w:rPr>
      </w:pPr>
      <w:r w:rsidRPr="004F476C">
        <w:rPr>
          <w:rFonts w:ascii="Calibri" w:hAnsi="Calibri" w:cs="Arial"/>
          <w:b/>
          <w:bCs/>
          <w:kern w:val="28"/>
          <w:sz w:val="28"/>
          <w:szCs w:val="28"/>
          <w:lang w:val="en-US" w:eastAsia="en-US"/>
        </w:rPr>
        <w:t xml:space="preserve">Invitation to comment on the proposed commercial release </w:t>
      </w:r>
      <w:r w:rsidRPr="004F476C">
        <w:rPr>
          <w:rFonts w:ascii="Calibri" w:hAnsi="Calibri" w:cs="Arial"/>
          <w:b/>
          <w:bCs/>
          <w:kern w:val="28"/>
          <w:sz w:val="28"/>
          <w:szCs w:val="28"/>
          <w:lang w:val="en-US" w:eastAsia="en-US"/>
        </w:rPr>
        <w:br/>
        <w:t xml:space="preserve">of genetically modified banana </w:t>
      </w:r>
      <w:proofErr w:type="gramStart"/>
      <w:r w:rsidRPr="004F476C">
        <w:rPr>
          <w:rFonts w:ascii="Calibri" w:hAnsi="Calibri" w:cs="Arial"/>
          <w:b/>
          <w:bCs/>
          <w:kern w:val="28"/>
          <w:sz w:val="28"/>
          <w:szCs w:val="28"/>
          <w:lang w:val="en-US" w:eastAsia="en-US"/>
        </w:rPr>
        <w:t>plants</w:t>
      </w:r>
      <w:proofErr w:type="gramEnd"/>
    </w:p>
    <w:p w14:paraId="2590795A" w14:textId="7D1DEEB3" w:rsidR="008B1B0C" w:rsidRPr="007D5915" w:rsidRDefault="0099638F" w:rsidP="007D5915">
      <w:pPr>
        <w:spacing w:before="240" w:after="120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t>A</w:t>
      </w:r>
      <w:r w:rsidR="008B1B0C" w:rsidRPr="007D5915">
        <w:rPr>
          <w:rFonts w:ascii="Calibri" w:hAnsi="Calibri" w:cs="Calibri"/>
          <w:b/>
          <w:bCs/>
          <w:color w:val="000000" w:themeColor="text1"/>
          <w:szCs w:val="24"/>
        </w:rPr>
        <w:t xml:space="preserve">pplication for cultivation of the GM banana </w:t>
      </w:r>
      <w:proofErr w:type="gramStart"/>
      <w:r w:rsidR="008B1B0C" w:rsidRPr="007D5915">
        <w:rPr>
          <w:rFonts w:ascii="Calibri" w:hAnsi="Calibri" w:cs="Calibri"/>
          <w:b/>
          <w:bCs/>
          <w:color w:val="000000" w:themeColor="text1"/>
          <w:szCs w:val="24"/>
        </w:rPr>
        <w:t>plants</w:t>
      </w:r>
      <w:proofErr w:type="gramEnd"/>
    </w:p>
    <w:p w14:paraId="533000D4" w14:textId="48D5CCC0" w:rsidR="00841367" w:rsidRDefault="007F1C50" w:rsidP="00E763F5">
      <w:pPr>
        <w:pStyle w:val="Para"/>
        <w:spacing w:before="240"/>
        <w:rPr>
          <w:rFonts w:ascii="Calibri" w:hAnsi="Calibri" w:cs="Calibri"/>
          <w:sz w:val="22"/>
        </w:rPr>
      </w:pPr>
      <w:r w:rsidRPr="007A236F">
        <w:rPr>
          <w:rFonts w:asciiTheme="minorHAnsi" w:hAnsiTheme="minorHAnsi"/>
          <w:color w:val="000000" w:themeColor="text1"/>
          <w:sz w:val="22"/>
          <w:szCs w:val="22"/>
        </w:rPr>
        <w:t xml:space="preserve">The Office of the </w:t>
      </w:r>
      <w:r w:rsidRPr="005112A5">
        <w:rPr>
          <w:rFonts w:asciiTheme="minorHAnsi" w:hAnsiTheme="minorHAnsi"/>
          <w:sz w:val="22"/>
          <w:szCs w:val="22"/>
        </w:rPr>
        <w:t xml:space="preserve">Gene Technology Regulator (OGTR) has received a licence application (DIR </w:t>
      </w:r>
      <w:r w:rsidR="008E3EB1">
        <w:rPr>
          <w:rFonts w:asciiTheme="minorHAnsi" w:hAnsiTheme="minorHAnsi"/>
          <w:sz w:val="22"/>
          <w:szCs w:val="22"/>
        </w:rPr>
        <w:t>199</w:t>
      </w:r>
      <w:r w:rsidRPr="005112A5">
        <w:rPr>
          <w:rFonts w:asciiTheme="minorHAnsi" w:hAnsiTheme="minorHAnsi"/>
          <w:sz w:val="22"/>
          <w:szCs w:val="22"/>
        </w:rPr>
        <w:t xml:space="preserve">) from </w:t>
      </w:r>
      <w:r w:rsidR="008D0F6B" w:rsidRPr="005112A5">
        <w:rPr>
          <w:rFonts w:asciiTheme="minorHAnsi" w:hAnsiTheme="minorHAnsi" w:cs="Arial"/>
          <w:noProof/>
          <w:sz w:val="22"/>
          <w:szCs w:val="22"/>
        </w:rPr>
        <w:t>Queensland University of Technology (QUT)</w:t>
      </w:r>
      <w:r w:rsidR="00043C3F" w:rsidRPr="005112A5">
        <w:rPr>
          <w:rFonts w:asciiTheme="minorHAnsi" w:hAnsiTheme="minorHAnsi" w:cs="Arial"/>
          <w:noProof/>
          <w:sz w:val="22"/>
          <w:szCs w:val="22"/>
        </w:rPr>
        <w:t xml:space="preserve"> for commercial cultivation of genetically modified (GM) banana</w:t>
      </w:r>
      <w:r w:rsidR="0071123B" w:rsidRPr="005112A5">
        <w:rPr>
          <w:rFonts w:asciiTheme="minorHAnsi" w:hAnsiTheme="minorHAnsi" w:cs="Arial"/>
          <w:noProof/>
          <w:sz w:val="22"/>
          <w:szCs w:val="22"/>
        </w:rPr>
        <w:t xml:space="preserve"> plants</w:t>
      </w:r>
      <w:r w:rsidRPr="005112A5">
        <w:rPr>
          <w:rFonts w:asciiTheme="minorHAnsi" w:hAnsiTheme="minorHAnsi"/>
          <w:sz w:val="22"/>
          <w:szCs w:val="22"/>
        </w:rPr>
        <w:t xml:space="preserve">. </w:t>
      </w:r>
      <w:r w:rsidR="00841367" w:rsidRPr="005112A5">
        <w:rPr>
          <w:rFonts w:ascii="Calibri" w:hAnsi="Calibri" w:cs="Calibri"/>
          <w:sz w:val="22"/>
        </w:rPr>
        <w:t xml:space="preserve">The GM banana plants have been modified for </w:t>
      </w:r>
      <w:r w:rsidR="00DE0FFF">
        <w:rPr>
          <w:rFonts w:ascii="Calibri" w:hAnsi="Calibri" w:cs="Calibri"/>
          <w:sz w:val="22"/>
        </w:rPr>
        <w:t xml:space="preserve">disease </w:t>
      </w:r>
      <w:r w:rsidR="00841367" w:rsidRPr="005112A5">
        <w:rPr>
          <w:rFonts w:ascii="Calibri" w:hAnsi="Calibri" w:cs="Calibri"/>
          <w:sz w:val="22"/>
        </w:rPr>
        <w:t xml:space="preserve">resistance </w:t>
      </w:r>
      <w:proofErr w:type="gramStart"/>
      <w:r w:rsidR="00DE0FFF">
        <w:rPr>
          <w:rFonts w:ascii="Calibri" w:hAnsi="Calibri" w:cs="Calibri"/>
          <w:sz w:val="22"/>
        </w:rPr>
        <w:t>and</w:t>
      </w:r>
      <w:r w:rsidR="004502F6" w:rsidRPr="005112A5">
        <w:rPr>
          <w:rFonts w:ascii="Calibri" w:hAnsi="Calibri" w:cs="Calibri"/>
          <w:sz w:val="22"/>
        </w:rPr>
        <w:t xml:space="preserve"> also</w:t>
      </w:r>
      <w:proofErr w:type="gramEnd"/>
      <w:r w:rsidR="004502F6" w:rsidRPr="005112A5">
        <w:rPr>
          <w:rFonts w:ascii="Calibri" w:hAnsi="Calibri" w:cs="Calibri"/>
          <w:sz w:val="22"/>
        </w:rPr>
        <w:t xml:space="preserve"> contain a</w:t>
      </w:r>
      <w:r w:rsidR="0071123B" w:rsidRPr="005112A5">
        <w:rPr>
          <w:rFonts w:ascii="Calibri" w:hAnsi="Calibri" w:cs="Calibri"/>
          <w:sz w:val="22"/>
        </w:rPr>
        <w:t>n antibiotic</w:t>
      </w:r>
      <w:r w:rsidR="004502F6" w:rsidRPr="005112A5">
        <w:rPr>
          <w:rFonts w:ascii="Calibri" w:hAnsi="Calibri" w:cs="Calibri"/>
          <w:sz w:val="22"/>
        </w:rPr>
        <w:t xml:space="preserve"> marker gene that was used for the selection of plants during research. </w:t>
      </w:r>
    </w:p>
    <w:p w14:paraId="21A99021" w14:textId="01B697B4" w:rsidR="008B1B0C" w:rsidRPr="007D5915" w:rsidRDefault="0099638F" w:rsidP="008B1B0C">
      <w:pPr>
        <w:spacing w:before="240" w:after="120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t>Separate f</w:t>
      </w:r>
      <w:r w:rsidR="008B1B0C" w:rsidRPr="008B1B0C">
        <w:rPr>
          <w:rFonts w:ascii="Calibri" w:hAnsi="Calibri" w:cs="Calibri"/>
          <w:b/>
          <w:bCs/>
          <w:color w:val="000000" w:themeColor="text1"/>
          <w:szCs w:val="24"/>
        </w:rPr>
        <w:t>ood approval process</w:t>
      </w:r>
    </w:p>
    <w:p w14:paraId="10D77BD5" w14:textId="0F05CE4B" w:rsidR="004502F6" w:rsidRPr="005112A5" w:rsidRDefault="006A19C8" w:rsidP="00CF25C4">
      <w:pPr>
        <w:autoSpaceDE w:val="0"/>
        <w:autoSpaceDN w:val="0"/>
        <w:adjustRightInd w:val="0"/>
        <w:spacing w:before="60" w:after="100"/>
        <w:rPr>
          <w:rFonts w:ascii="Calibri" w:hAnsi="Calibri" w:cs="Calibri"/>
          <w:sz w:val="22"/>
        </w:rPr>
      </w:pPr>
      <w:r w:rsidRPr="005112A5">
        <w:rPr>
          <w:rFonts w:ascii="Calibri" w:hAnsi="Calibri"/>
          <w:sz w:val="22"/>
          <w:szCs w:val="22"/>
        </w:rPr>
        <w:t xml:space="preserve">QUT has also applied to Food Standards Australia New Zealand (FSANZ) for the fruit and other products of this GM banana to be permitted for sale as food. </w:t>
      </w:r>
      <w:r w:rsidR="00563B49" w:rsidRPr="005112A5">
        <w:rPr>
          <w:rFonts w:ascii="Calibri" w:hAnsi="Calibri"/>
          <w:sz w:val="22"/>
          <w:szCs w:val="22"/>
        </w:rPr>
        <w:t xml:space="preserve">FSANZ </w:t>
      </w:r>
      <w:r w:rsidR="004F476C">
        <w:rPr>
          <w:rFonts w:ascii="Calibri" w:hAnsi="Calibri"/>
          <w:sz w:val="22"/>
          <w:szCs w:val="22"/>
        </w:rPr>
        <w:t xml:space="preserve">is currently undertaking a </w:t>
      </w:r>
      <w:r w:rsidR="00563B49" w:rsidRPr="005112A5">
        <w:rPr>
          <w:rFonts w:ascii="Calibri" w:hAnsi="Calibri"/>
          <w:sz w:val="22"/>
          <w:szCs w:val="22"/>
        </w:rPr>
        <w:t>public consultation on their safety assessment</w:t>
      </w:r>
      <w:r w:rsidR="004F476C">
        <w:rPr>
          <w:rFonts w:ascii="Calibri" w:hAnsi="Calibri"/>
          <w:sz w:val="22"/>
          <w:szCs w:val="22"/>
        </w:rPr>
        <w:t>, including labelling requirements</w:t>
      </w:r>
      <w:r w:rsidRPr="005112A5">
        <w:rPr>
          <w:rFonts w:asciiTheme="minorHAnsi" w:hAnsiTheme="minorHAnsi"/>
          <w:sz w:val="22"/>
          <w:szCs w:val="22"/>
        </w:rPr>
        <w:t>.</w:t>
      </w:r>
      <w:r w:rsidR="004F476C">
        <w:rPr>
          <w:rFonts w:asciiTheme="minorHAnsi" w:hAnsiTheme="minorHAnsi"/>
          <w:sz w:val="22"/>
          <w:szCs w:val="22"/>
        </w:rPr>
        <w:t xml:space="preserve"> </w:t>
      </w:r>
      <w:r w:rsidR="00466DBE">
        <w:rPr>
          <w:rFonts w:asciiTheme="minorHAnsi" w:hAnsiTheme="minorHAnsi"/>
          <w:sz w:val="22"/>
          <w:szCs w:val="22"/>
        </w:rPr>
        <w:t>T</w:t>
      </w:r>
      <w:r w:rsidR="003C0755">
        <w:rPr>
          <w:rFonts w:asciiTheme="minorHAnsi" w:hAnsiTheme="minorHAnsi"/>
          <w:sz w:val="22"/>
          <w:szCs w:val="22"/>
        </w:rPr>
        <w:t>he FSANZ</w:t>
      </w:r>
      <w:r w:rsidR="004F476C">
        <w:rPr>
          <w:rFonts w:asciiTheme="minorHAnsi" w:hAnsiTheme="minorHAnsi"/>
          <w:sz w:val="22"/>
          <w:szCs w:val="22"/>
        </w:rPr>
        <w:t xml:space="preserve"> website</w:t>
      </w:r>
      <w:r w:rsidR="00466DBE">
        <w:rPr>
          <w:rFonts w:asciiTheme="minorHAnsi" w:hAnsiTheme="minorHAnsi"/>
          <w:sz w:val="22"/>
          <w:szCs w:val="22"/>
        </w:rPr>
        <w:t xml:space="preserve"> has more information</w:t>
      </w:r>
      <w:r w:rsidR="004F476C">
        <w:rPr>
          <w:rFonts w:asciiTheme="minorHAnsi" w:hAnsiTheme="minorHAnsi"/>
          <w:sz w:val="22"/>
          <w:szCs w:val="22"/>
        </w:rPr>
        <w:t xml:space="preserve"> on this food application, </w:t>
      </w:r>
      <w:hyperlink r:id="rId7" w:history="1">
        <w:r w:rsidR="004F476C" w:rsidRPr="00C0573A">
          <w:rPr>
            <w:rStyle w:val="Hyperlink"/>
            <w:rFonts w:asciiTheme="minorHAnsi" w:hAnsiTheme="minorHAnsi"/>
            <w:sz w:val="22"/>
            <w:szCs w:val="22"/>
          </w:rPr>
          <w:t>A1274</w:t>
        </w:r>
      </w:hyperlink>
      <w:r w:rsidR="004F476C">
        <w:rPr>
          <w:rFonts w:asciiTheme="minorHAnsi" w:hAnsiTheme="minorHAnsi"/>
          <w:sz w:val="22"/>
          <w:szCs w:val="22"/>
        </w:rPr>
        <w:t>.</w:t>
      </w:r>
    </w:p>
    <w:p w14:paraId="70DF1012" w14:textId="404EB163" w:rsidR="00724724" w:rsidRPr="007D5915" w:rsidRDefault="00323331" w:rsidP="008B1B0C">
      <w:pPr>
        <w:spacing w:before="240" w:after="120"/>
        <w:rPr>
          <w:rFonts w:ascii="Calibri" w:hAnsi="Calibri" w:cs="Calibri"/>
          <w:b/>
          <w:bCs/>
          <w:color w:val="000000" w:themeColor="text1"/>
          <w:szCs w:val="24"/>
        </w:rPr>
      </w:pPr>
      <w:r w:rsidRPr="00B07820">
        <w:rPr>
          <w:rFonts w:ascii="Calibri" w:hAnsi="Calibri" w:cs="Calibri"/>
          <w:b/>
          <w:bCs/>
          <w:color w:val="000000" w:themeColor="text1"/>
          <w:szCs w:val="24"/>
        </w:rPr>
        <w:t xml:space="preserve">Steps in the decision-making process </w:t>
      </w:r>
      <w:r w:rsidR="00841367">
        <w:rPr>
          <w:rFonts w:ascii="Calibri" w:hAnsi="Calibri" w:cs="Calibri"/>
          <w:b/>
          <w:bCs/>
          <w:color w:val="000000" w:themeColor="text1"/>
          <w:szCs w:val="24"/>
        </w:rPr>
        <w:t>for</w:t>
      </w:r>
      <w:r w:rsidR="005112A5" w:rsidRPr="00B07820">
        <w:rPr>
          <w:rFonts w:ascii="Calibri" w:hAnsi="Calibri" w:cs="Calibri"/>
          <w:b/>
          <w:bCs/>
          <w:color w:val="000000" w:themeColor="text1"/>
          <w:szCs w:val="24"/>
        </w:rPr>
        <w:t xml:space="preserve"> cultivation of the GM banana </w:t>
      </w:r>
      <w:proofErr w:type="gramStart"/>
      <w:r w:rsidR="005112A5" w:rsidRPr="00B07820">
        <w:rPr>
          <w:rFonts w:ascii="Calibri" w:hAnsi="Calibri" w:cs="Calibri"/>
          <w:b/>
          <w:bCs/>
          <w:color w:val="000000" w:themeColor="text1"/>
          <w:szCs w:val="24"/>
        </w:rPr>
        <w:t>plants</w:t>
      </w:r>
      <w:proofErr w:type="gramEnd"/>
    </w:p>
    <w:p w14:paraId="5ADD3B34" w14:textId="2279788C" w:rsidR="00E86457" w:rsidRDefault="00724724" w:rsidP="007F1C50">
      <w:pPr>
        <w:spacing w:before="120" w:after="120"/>
        <w:rPr>
          <w:rFonts w:ascii="Calibri" w:hAnsi="Calibri" w:cs="Calibri"/>
          <w:color w:val="000000" w:themeColor="text1"/>
          <w:sz w:val="22"/>
          <w:szCs w:val="22"/>
        </w:rPr>
      </w:pPr>
      <w:r w:rsidRPr="005112A5">
        <w:rPr>
          <w:rFonts w:ascii="Calibri" w:hAnsi="Calibri" w:cs="Calibri"/>
          <w:b/>
          <w:bCs/>
          <w:color w:val="000000" w:themeColor="text1"/>
          <w:sz w:val="22"/>
          <w:szCs w:val="22"/>
        </w:rPr>
        <w:t>Step</w:t>
      </w:r>
      <w:r w:rsidR="00466DBE"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 w:rsidRPr="005112A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1</w:t>
      </w:r>
      <w:r w:rsidR="00466D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2</w:t>
      </w:r>
      <w:r w:rsidR="00466DBE">
        <w:rPr>
          <w:rFonts w:ascii="Calibri" w:hAnsi="Calibri" w:cs="Calibri"/>
          <w:color w:val="000000" w:themeColor="text1"/>
          <w:sz w:val="22"/>
          <w:szCs w:val="22"/>
        </w:rPr>
        <w:t xml:space="preserve"> have been completed: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4318D">
        <w:rPr>
          <w:rFonts w:ascii="Calibri" w:hAnsi="Calibri" w:cs="Calibri"/>
          <w:color w:val="000000" w:themeColor="text1"/>
          <w:sz w:val="22"/>
          <w:szCs w:val="22"/>
        </w:rPr>
        <w:t>Initially</w:t>
      </w:r>
      <w:r w:rsidR="00C0573A">
        <w:rPr>
          <w:rFonts w:ascii="Calibri" w:hAnsi="Calibri" w:cs="Calibri"/>
          <w:color w:val="000000" w:themeColor="text1"/>
          <w:sz w:val="22"/>
          <w:szCs w:val="22"/>
        </w:rPr>
        <w:t>, t</w:t>
      </w:r>
      <w:r w:rsidR="007D5915">
        <w:rPr>
          <w:rFonts w:ascii="Calibri" w:hAnsi="Calibri" w:cs="Calibri"/>
          <w:color w:val="000000" w:themeColor="text1"/>
          <w:sz w:val="22"/>
          <w:szCs w:val="22"/>
        </w:rPr>
        <w:t xml:space="preserve">he Regulator </w:t>
      </w:r>
      <w:r w:rsidR="00C0573A">
        <w:rPr>
          <w:rFonts w:ascii="Calibri" w:hAnsi="Calibri" w:cs="Calibri"/>
          <w:color w:val="000000" w:themeColor="text1"/>
          <w:sz w:val="22"/>
          <w:szCs w:val="22"/>
        </w:rPr>
        <w:t>sought</w:t>
      </w:r>
      <w:r w:rsidR="007D5915">
        <w:rPr>
          <w:rFonts w:ascii="Calibri" w:hAnsi="Calibri" w:cs="Calibri"/>
          <w:color w:val="000000" w:themeColor="text1"/>
          <w:sz w:val="22"/>
          <w:szCs w:val="22"/>
        </w:rPr>
        <w:t xml:space="preserve"> advice on this application from </w:t>
      </w:r>
      <w:r w:rsidRPr="007A236F">
        <w:rPr>
          <w:rFonts w:ascii="Calibri" w:hAnsi="Calibri" w:cs="Calibri"/>
          <w:color w:val="000000" w:themeColor="text1"/>
          <w:sz w:val="22"/>
          <w:szCs w:val="22"/>
        </w:rPr>
        <w:t>experts, agencies and authorities, and local councils.</w:t>
      </w:r>
      <w:r w:rsidR="0032333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C74A4">
        <w:rPr>
          <w:rFonts w:ascii="Calibri" w:hAnsi="Calibri" w:cs="Calibri"/>
          <w:color w:val="000000" w:themeColor="text1"/>
          <w:sz w:val="22"/>
          <w:szCs w:val="22"/>
        </w:rPr>
        <w:t>Subsequently, t</w:t>
      </w:r>
      <w:r w:rsidR="00466DBE">
        <w:rPr>
          <w:rFonts w:ascii="Calibri" w:hAnsi="Calibri" w:cs="Calibri"/>
          <w:color w:val="000000" w:themeColor="text1"/>
          <w:sz w:val="22"/>
          <w:szCs w:val="22"/>
        </w:rPr>
        <w:t>his advice was considered in the preparation of</w:t>
      </w:r>
      <w:r w:rsidR="007F1C50" w:rsidRPr="007A236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C74A4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7F1C50" w:rsidRPr="007A236F">
        <w:rPr>
          <w:rFonts w:ascii="Calibri" w:hAnsi="Calibri" w:cs="Calibri"/>
          <w:color w:val="000000" w:themeColor="text1"/>
          <w:sz w:val="22"/>
          <w:szCs w:val="22"/>
        </w:rPr>
        <w:t xml:space="preserve"> Risk Assessment and Risk Management Plan</w:t>
      </w:r>
      <w:r w:rsidR="001376DF">
        <w:rPr>
          <w:rFonts w:ascii="Calibri" w:hAnsi="Calibri" w:cs="Calibri"/>
          <w:color w:val="000000" w:themeColor="text1"/>
          <w:sz w:val="22"/>
          <w:szCs w:val="22"/>
        </w:rPr>
        <w:t xml:space="preserve"> (RARMP)</w:t>
      </w:r>
      <w:r w:rsidR="007F1C50" w:rsidRPr="007A236F">
        <w:rPr>
          <w:rFonts w:ascii="Calibri" w:hAnsi="Calibri" w:cs="Calibri"/>
          <w:color w:val="000000" w:themeColor="text1"/>
          <w:sz w:val="22"/>
          <w:szCs w:val="22"/>
        </w:rPr>
        <w:t xml:space="preserve"> for the application.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02"/>
      </w:tblGrid>
      <w:tr w:rsidR="003C0755" w14:paraId="7BCB1FFB" w14:textId="77777777" w:rsidTr="00DE0FFF">
        <w:tc>
          <w:tcPr>
            <w:tcW w:w="9402" w:type="dxa"/>
            <w:shd w:val="clear" w:color="auto" w:fill="D9D9D9" w:themeFill="background1" w:themeFillShade="D9"/>
          </w:tcPr>
          <w:p w14:paraId="308AEB64" w14:textId="58D32A30" w:rsidR="003C0755" w:rsidRDefault="003C0755" w:rsidP="00D103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373FE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Step 3.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The</w:t>
            </w:r>
            <w:r w:rsidRPr="005611A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</w:t>
            </w:r>
            <w:r w:rsidRPr="005611AD">
              <w:rPr>
                <w:rFonts w:asciiTheme="minorHAnsi" w:hAnsiTheme="minorHAnsi"/>
                <w:b/>
                <w:bCs/>
                <w:sz w:val="22"/>
                <w:szCs w:val="22"/>
              </w:rPr>
              <w:t>ublic consultation on the RARMP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is currently open and will close on </w:t>
            </w:r>
            <w:r w:rsidR="008D03AA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D03AA">
              <w:rPr>
                <w:rFonts w:asciiTheme="minorHAnsi" w:hAnsiTheme="minorHAnsi"/>
                <w:b/>
                <w:bCs/>
                <w:sz w:val="22"/>
                <w:szCs w:val="22"/>
              </w:rPr>
              <w:t>November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2023</w:t>
            </w:r>
            <w:r w:rsidRPr="005611AD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1049D9F8" w14:textId="725194BE" w:rsidR="00BC74A4" w:rsidRDefault="003C0755" w:rsidP="00DE0FFF">
            <w:pPr>
              <w:pStyle w:val="Para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You can access the RARMP and associated documents on our DIR-199 </w:t>
            </w:r>
            <w:hyperlink r:id="rId8" w:history="1">
              <w:r w:rsidRPr="005611A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web</w:t>
              </w:r>
              <w:r w:rsidR="003B7B4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page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. We</w:t>
            </w:r>
            <w:r w:rsidRPr="005611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5611AD">
              <w:rPr>
                <w:rFonts w:asciiTheme="minorHAnsi" w:hAnsiTheme="minorHAnsi"/>
                <w:sz w:val="22"/>
                <w:szCs w:val="22"/>
              </w:rPr>
              <w:t>seek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Pr="005611AD">
              <w:rPr>
                <w:rFonts w:asciiTheme="minorHAnsi" w:hAnsiTheme="minorHAnsi"/>
                <w:sz w:val="22"/>
                <w:szCs w:val="22"/>
              </w:rPr>
              <w:t xml:space="preserve"> your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written </w:t>
            </w:r>
            <w:r w:rsidRPr="005611AD">
              <w:rPr>
                <w:rFonts w:asciiTheme="minorHAnsi" w:hAnsiTheme="minorHAnsi"/>
                <w:sz w:val="22"/>
                <w:szCs w:val="22"/>
              </w:rPr>
              <w:t xml:space="preserve">comments on issues relating to the protection of human health and safety and the environment. </w:t>
            </w:r>
            <w:r w:rsidR="00D103F6" w:rsidRPr="005112A5">
              <w:rPr>
                <w:rFonts w:asciiTheme="minorHAnsi" w:hAnsiTheme="minorHAnsi"/>
                <w:sz w:val="22"/>
                <w:szCs w:val="22"/>
              </w:rPr>
              <w:t>If you have any questions or would like to receive a copy of the full application</w:t>
            </w:r>
            <w:r w:rsidR="00D32449">
              <w:rPr>
                <w:rFonts w:asciiTheme="minorHAnsi" w:hAnsiTheme="minorHAnsi"/>
                <w:sz w:val="22"/>
                <w:szCs w:val="22"/>
              </w:rPr>
              <w:t xml:space="preserve"> or a hard copy of the RARMP</w:t>
            </w:r>
            <w:r w:rsidR="00D103F6" w:rsidRPr="005112A5">
              <w:rPr>
                <w:rFonts w:asciiTheme="minorHAnsi" w:hAnsiTheme="minorHAnsi"/>
                <w:sz w:val="22"/>
                <w:szCs w:val="22"/>
              </w:rPr>
              <w:t xml:space="preserve">, please contact </w:t>
            </w:r>
            <w:r w:rsidR="00466DBE">
              <w:rPr>
                <w:rFonts w:asciiTheme="minorHAnsi" w:hAnsiTheme="minorHAnsi"/>
                <w:sz w:val="22"/>
                <w:szCs w:val="22"/>
              </w:rPr>
              <w:t>us</w:t>
            </w:r>
            <w:r w:rsidR="00D103F6" w:rsidRPr="005112A5">
              <w:rPr>
                <w:rFonts w:asciiTheme="minorHAnsi" w:hAnsiTheme="minorHAnsi"/>
                <w:sz w:val="22"/>
                <w:szCs w:val="22"/>
              </w:rPr>
              <w:t xml:space="preserve"> and quote the reference number</w:t>
            </w:r>
            <w:r w:rsidR="00D103F6" w:rsidRPr="005112A5">
              <w:rPr>
                <w:rFonts w:ascii="Calibri" w:hAnsi="Calibri"/>
                <w:sz w:val="22"/>
                <w:szCs w:val="22"/>
              </w:rPr>
              <w:t xml:space="preserve"> DIR</w:t>
            </w:r>
            <w:r w:rsidR="00D103F6">
              <w:rPr>
                <w:rFonts w:ascii="Calibri" w:hAnsi="Calibri"/>
                <w:sz w:val="22"/>
                <w:szCs w:val="22"/>
              </w:rPr>
              <w:t>-199</w:t>
            </w:r>
            <w:r w:rsidR="00D103F6" w:rsidRPr="005112A5">
              <w:rPr>
                <w:rFonts w:ascii="Calibri" w:hAnsi="Calibri"/>
                <w:sz w:val="22"/>
                <w:szCs w:val="22"/>
              </w:rPr>
              <w:t>.</w:t>
            </w:r>
            <w:r w:rsidR="00D103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1931">
              <w:rPr>
                <w:rFonts w:ascii="Calibri" w:hAnsi="Calibri"/>
                <w:sz w:val="22"/>
                <w:szCs w:val="22"/>
              </w:rPr>
              <w:t>For contact details, see below.</w:t>
            </w:r>
          </w:p>
          <w:p w14:paraId="2F9ED7D7" w14:textId="17E3914C" w:rsidR="003C0755" w:rsidRPr="003C0755" w:rsidRDefault="003C0755" w:rsidP="00DE0FFF">
            <w:pPr>
              <w:pStyle w:val="Para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 that e</w:t>
            </w:r>
            <w:r w:rsidRPr="004502F6">
              <w:rPr>
                <w:rFonts w:asciiTheme="minorHAnsi" w:hAnsiTheme="minorHAnsi"/>
                <w:sz w:val="22"/>
                <w:szCs w:val="22"/>
              </w:rPr>
              <w:t xml:space="preserve">xperts, </w:t>
            </w:r>
            <w:proofErr w:type="gramStart"/>
            <w:r w:rsidRPr="004502F6">
              <w:rPr>
                <w:rFonts w:asciiTheme="minorHAnsi" w:hAnsiTheme="minorHAnsi"/>
                <w:sz w:val="22"/>
                <w:szCs w:val="22"/>
              </w:rPr>
              <w:t>agencies</w:t>
            </w:r>
            <w:proofErr w:type="gramEnd"/>
            <w:r w:rsidRPr="004502F6">
              <w:rPr>
                <w:rFonts w:asciiTheme="minorHAnsi" w:hAnsiTheme="minorHAnsi"/>
                <w:sz w:val="22"/>
                <w:szCs w:val="22"/>
              </w:rPr>
              <w:t xml:space="preserve"> and authorities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have also been asked for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further </w:t>
            </w:r>
            <w:r w:rsidRPr="00373FE0">
              <w:rPr>
                <w:rFonts w:asciiTheme="minorHAnsi" w:hAnsiTheme="minorHAnsi"/>
                <w:bCs/>
                <w:sz w:val="22"/>
                <w:szCs w:val="22"/>
              </w:rPr>
              <w:t>advice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23C3E285" w14:textId="61A24625" w:rsidR="007F36A9" w:rsidRDefault="00724724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373FE0">
        <w:rPr>
          <w:rFonts w:asciiTheme="minorHAnsi" w:hAnsiTheme="minorHAnsi"/>
          <w:b/>
          <w:bCs/>
          <w:sz w:val="22"/>
          <w:szCs w:val="22"/>
        </w:rPr>
        <w:t>Step 4.</w:t>
      </w:r>
      <w:r>
        <w:rPr>
          <w:rFonts w:asciiTheme="minorHAnsi" w:hAnsiTheme="minorHAnsi"/>
          <w:sz w:val="22"/>
          <w:szCs w:val="22"/>
        </w:rPr>
        <w:t xml:space="preserve"> The RARMP will be </w:t>
      </w:r>
      <w:r w:rsidR="00323331">
        <w:rPr>
          <w:rFonts w:asciiTheme="minorHAnsi" w:hAnsiTheme="minorHAnsi"/>
          <w:sz w:val="22"/>
          <w:szCs w:val="22"/>
        </w:rPr>
        <w:t>finalised,</w:t>
      </w:r>
      <w:r>
        <w:rPr>
          <w:rFonts w:asciiTheme="minorHAnsi" w:hAnsiTheme="minorHAnsi"/>
          <w:sz w:val="22"/>
          <w:szCs w:val="22"/>
        </w:rPr>
        <w:t xml:space="preserve"> </w:t>
      </w:r>
      <w:r w:rsidR="007F36A9">
        <w:rPr>
          <w:rFonts w:asciiTheme="minorHAnsi" w:hAnsiTheme="minorHAnsi"/>
          <w:sz w:val="22"/>
          <w:szCs w:val="22"/>
        </w:rPr>
        <w:t xml:space="preserve">taking into consideration the comments received </w:t>
      </w:r>
      <w:r w:rsidR="000B29C9">
        <w:rPr>
          <w:rFonts w:asciiTheme="minorHAnsi" w:hAnsiTheme="minorHAnsi"/>
          <w:sz w:val="22"/>
          <w:szCs w:val="22"/>
        </w:rPr>
        <w:t>in</w:t>
      </w:r>
      <w:r w:rsidR="007F36A9">
        <w:rPr>
          <w:rFonts w:asciiTheme="minorHAnsi" w:hAnsiTheme="minorHAnsi"/>
          <w:sz w:val="22"/>
          <w:szCs w:val="22"/>
        </w:rPr>
        <w:t xml:space="preserve"> </w:t>
      </w:r>
      <w:r w:rsidR="00DA06F2">
        <w:rPr>
          <w:rFonts w:asciiTheme="minorHAnsi" w:hAnsiTheme="minorHAnsi"/>
          <w:sz w:val="22"/>
          <w:szCs w:val="22"/>
        </w:rPr>
        <w:t>Step 3</w:t>
      </w:r>
      <w:r w:rsidR="007F36A9">
        <w:rPr>
          <w:rFonts w:asciiTheme="minorHAnsi" w:hAnsiTheme="minorHAnsi"/>
          <w:sz w:val="22"/>
          <w:szCs w:val="22"/>
        </w:rPr>
        <w:t>.</w:t>
      </w:r>
    </w:p>
    <w:p w14:paraId="61B0E10C" w14:textId="41B155C6" w:rsidR="00724724" w:rsidRPr="005112A5" w:rsidRDefault="007F36A9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373FE0">
        <w:rPr>
          <w:rFonts w:asciiTheme="minorHAnsi" w:hAnsiTheme="minorHAnsi"/>
          <w:b/>
          <w:bCs/>
          <w:sz w:val="22"/>
          <w:szCs w:val="22"/>
        </w:rPr>
        <w:t>Step 5.</w:t>
      </w:r>
      <w:r>
        <w:rPr>
          <w:rFonts w:asciiTheme="minorHAnsi" w:hAnsiTheme="minorHAnsi"/>
          <w:sz w:val="22"/>
          <w:szCs w:val="22"/>
        </w:rPr>
        <w:t xml:space="preserve"> T</w:t>
      </w:r>
      <w:r w:rsidR="00724724">
        <w:rPr>
          <w:rFonts w:asciiTheme="minorHAnsi" w:hAnsiTheme="minorHAnsi"/>
          <w:sz w:val="22"/>
          <w:szCs w:val="22"/>
        </w:rPr>
        <w:t xml:space="preserve">he Regulator must decide </w:t>
      </w:r>
      <w:proofErr w:type="gramStart"/>
      <w:r w:rsidR="00724724">
        <w:rPr>
          <w:rFonts w:asciiTheme="minorHAnsi" w:hAnsiTheme="minorHAnsi"/>
          <w:sz w:val="22"/>
          <w:szCs w:val="22"/>
        </w:rPr>
        <w:t>whether or not</w:t>
      </w:r>
      <w:proofErr w:type="gramEnd"/>
      <w:r w:rsidR="00724724">
        <w:rPr>
          <w:rFonts w:asciiTheme="minorHAnsi" w:hAnsiTheme="minorHAnsi"/>
          <w:sz w:val="22"/>
          <w:szCs w:val="22"/>
        </w:rPr>
        <w:t xml:space="preserve"> to issue a licence</w:t>
      </w:r>
      <w:r w:rsidR="00323331">
        <w:rPr>
          <w:rFonts w:asciiTheme="minorHAnsi" w:hAnsiTheme="minorHAnsi"/>
          <w:sz w:val="22"/>
          <w:szCs w:val="22"/>
        </w:rPr>
        <w:t xml:space="preserve"> </w:t>
      </w:r>
      <w:r w:rsidR="00724724">
        <w:rPr>
          <w:rFonts w:asciiTheme="minorHAnsi" w:hAnsiTheme="minorHAnsi"/>
          <w:sz w:val="22"/>
          <w:szCs w:val="22"/>
        </w:rPr>
        <w:t>by</w:t>
      </w:r>
      <w:r w:rsidR="000B29C9">
        <w:rPr>
          <w:rFonts w:asciiTheme="minorHAnsi" w:hAnsiTheme="minorHAnsi"/>
          <w:sz w:val="22"/>
          <w:szCs w:val="22"/>
        </w:rPr>
        <w:t xml:space="preserve"> the legislat</w:t>
      </w:r>
      <w:r w:rsidR="00373FE0">
        <w:rPr>
          <w:rFonts w:asciiTheme="minorHAnsi" w:hAnsiTheme="minorHAnsi"/>
          <w:sz w:val="22"/>
          <w:szCs w:val="22"/>
        </w:rPr>
        <w:t>ive</w:t>
      </w:r>
      <w:r w:rsidR="000B29C9">
        <w:rPr>
          <w:rFonts w:asciiTheme="minorHAnsi" w:hAnsiTheme="minorHAnsi"/>
          <w:sz w:val="22"/>
          <w:szCs w:val="22"/>
        </w:rPr>
        <w:t xml:space="preserve"> due date</w:t>
      </w:r>
      <w:r w:rsidR="00724724">
        <w:rPr>
          <w:rFonts w:asciiTheme="minorHAnsi" w:hAnsiTheme="minorHAnsi"/>
          <w:sz w:val="22"/>
          <w:szCs w:val="22"/>
        </w:rPr>
        <w:t xml:space="preserve">. </w:t>
      </w:r>
      <w:r w:rsidR="00323331">
        <w:rPr>
          <w:rFonts w:asciiTheme="minorHAnsi" w:hAnsiTheme="minorHAnsi"/>
          <w:sz w:val="22"/>
          <w:szCs w:val="22"/>
        </w:rPr>
        <w:t>The licence decision will be publicly notified</w:t>
      </w:r>
      <w:r w:rsidR="004D7F1C">
        <w:rPr>
          <w:rFonts w:asciiTheme="minorHAnsi" w:hAnsiTheme="minorHAnsi"/>
          <w:sz w:val="22"/>
          <w:szCs w:val="22"/>
        </w:rPr>
        <w:t>,</w:t>
      </w:r>
      <w:r w:rsidR="00323331">
        <w:rPr>
          <w:rFonts w:asciiTheme="minorHAnsi" w:hAnsiTheme="minorHAnsi"/>
          <w:sz w:val="22"/>
          <w:szCs w:val="22"/>
        </w:rPr>
        <w:t xml:space="preserve"> and the GMO Record updated, including our website.</w:t>
      </w:r>
      <w:r w:rsidR="004604A1" w:rsidRPr="004604A1">
        <w:rPr>
          <w:rFonts w:asciiTheme="minorHAnsi" w:hAnsiTheme="minorHAnsi"/>
          <w:sz w:val="22"/>
          <w:szCs w:val="22"/>
        </w:rPr>
        <w:t xml:space="preserve"> If you have </w:t>
      </w:r>
      <w:hyperlink r:id="rId9" w:history="1">
        <w:r w:rsidR="004604A1" w:rsidRPr="004604A1">
          <w:rPr>
            <w:rStyle w:val="Hyperlink"/>
            <w:rFonts w:asciiTheme="minorHAnsi" w:hAnsiTheme="minorHAnsi"/>
            <w:sz w:val="22"/>
            <w:szCs w:val="22"/>
          </w:rPr>
          <w:t>subscribed</w:t>
        </w:r>
      </w:hyperlink>
      <w:r w:rsidR="004604A1" w:rsidRPr="004604A1">
        <w:rPr>
          <w:rFonts w:asciiTheme="minorHAnsi" w:hAnsiTheme="minorHAnsi"/>
          <w:sz w:val="22"/>
          <w:szCs w:val="22"/>
        </w:rPr>
        <w:t xml:space="preserve"> to receive our updates, we will automatically send you </w:t>
      </w:r>
      <w:r w:rsidR="004604A1">
        <w:rPr>
          <w:rFonts w:asciiTheme="minorHAnsi" w:hAnsiTheme="minorHAnsi"/>
          <w:sz w:val="22"/>
          <w:szCs w:val="22"/>
        </w:rPr>
        <w:t>a notification once a licence decision was made</w:t>
      </w:r>
      <w:r w:rsidR="004604A1" w:rsidRPr="004604A1">
        <w:rPr>
          <w:rFonts w:asciiTheme="minorHAnsi" w:hAnsiTheme="minorHAnsi"/>
          <w:sz w:val="22"/>
          <w:szCs w:val="22"/>
        </w:rPr>
        <w:t>.</w:t>
      </w:r>
    </w:p>
    <w:p w14:paraId="3F2824E6" w14:textId="77777777" w:rsidR="007F1C50" w:rsidRPr="004502F6" w:rsidRDefault="007F1C50" w:rsidP="00BC74A4">
      <w:pPr>
        <w:tabs>
          <w:tab w:val="left" w:pos="567"/>
          <w:tab w:val="center" w:pos="4253"/>
          <w:tab w:val="right" w:pos="8505"/>
        </w:tabs>
        <w:spacing w:before="12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10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1B77B212" w:rsidR="007F1C50" w:rsidRPr="004502F6" w:rsidRDefault="000461C8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11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="007F1C50"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DE0FFF">
      <w:pPr>
        <w:spacing w:before="24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013EC9AF" w14:textId="5BA821BB" w:rsidR="00003743" w:rsidRPr="008D4612" w:rsidRDefault="00F737CF" w:rsidP="008B1B0C">
      <w:pPr>
        <w:tabs>
          <w:tab w:val="left" w:pos="5670"/>
          <w:tab w:val="left" w:pos="6946"/>
          <w:tab w:val="left" w:pos="7655"/>
        </w:tabs>
      </w:pPr>
      <w:r>
        <w:rPr>
          <w:rFonts w:ascii="Calibri" w:hAnsi="Calibri" w:cs="Arial"/>
          <w:sz w:val="22"/>
          <w:szCs w:val="22"/>
        </w:rPr>
        <w:t>25</w:t>
      </w:r>
      <w:r w:rsidR="004604A1">
        <w:rPr>
          <w:rFonts w:ascii="Calibri" w:hAnsi="Calibri" w:cs="Arial"/>
          <w:sz w:val="22"/>
          <w:szCs w:val="22"/>
        </w:rPr>
        <w:t xml:space="preserve"> September</w:t>
      </w:r>
      <w:r w:rsidR="004502F6" w:rsidRPr="008D4612">
        <w:rPr>
          <w:rFonts w:ascii="Calibri" w:hAnsi="Calibri" w:cs="Arial"/>
          <w:sz w:val="22"/>
          <w:szCs w:val="22"/>
        </w:rPr>
        <w:t xml:space="preserve"> 20</w:t>
      </w:r>
      <w:r w:rsidR="00852BB4" w:rsidRPr="008D4612">
        <w:rPr>
          <w:rFonts w:ascii="Calibri" w:hAnsi="Calibri" w:cs="Arial"/>
          <w:sz w:val="22"/>
          <w:szCs w:val="22"/>
        </w:rPr>
        <w:t>23</w:t>
      </w:r>
    </w:p>
    <w:sectPr w:rsidR="00003743" w:rsidRPr="008D4612" w:rsidSect="0029074B">
      <w:headerReference w:type="default" r:id="rId12"/>
      <w:headerReference w:type="first" r:id="rId13"/>
      <w:footerReference w:type="first" r:id="rId14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468B" w14:textId="77777777" w:rsidR="000A5168" w:rsidRDefault="000A5168">
      <w:r>
        <w:separator/>
      </w:r>
    </w:p>
  </w:endnote>
  <w:endnote w:type="continuationSeparator" w:id="0">
    <w:p w14:paraId="447A9529" w14:textId="77777777" w:rsidR="000A5168" w:rsidRDefault="000A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7419EF" w:rsidRDefault="000461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DD1D" w14:textId="77777777" w:rsidR="000A5168" w:rsidRDefault="000A5168">
      <w:r>
        <w:separator/>
      </w:r>
    </w:p>
  </w:footnote>
  <w:footnote w:type="continuationSeparator" w:id="0">
    <w:p w14:paraId="2542CDD2" w14:textId="77777777" w:rsidR="000A5168" w:rsidRDefault="000A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7419EF" w:rsidRDefault="000461C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7419E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26BEE"/>
    <w:rsid w:val="00043C3F"/>
    <w:rsid w:val="000461C8"/>
    <w:rsid w:val="000542A1"/>
    <w:rsid w:val="000622F7"/>
    <w:rsid w:val="00067456"/>
    <w:rsid w:val="000955C0"/>
    <w:rsid w:val="000A5168"/>
    <w:rsid w:val="000B29C9"/>
    <w:rsid w:val="000D24FE"/>
    <w:rsid w:val="000D4BE2"/>
    <w:rsid w:val="00117A0A"/>
    <w:rsid w:val="00121E92"/>
    <w:rsid w:val="00126960"/>
    <w:rsid w:val="001376DF"/>
    <w:rsid w:val="00137B8E"/>
    <w:rsid w:val="0014318D"/>
    <w:rsid w:val="00161682"/>
    <w:rsid w:val="00177964"/>
    <w:rsid w:val="00190B0D"/>
    <w:rsid w:val="001A45D2"/>
    <w:rsid w:val="001B3443"/>
    <w:rsid w:val="001E4565"/>
    <w:rsid w:val="00221931"/>
    <w:rsid w:val="002243C6"/>
    <w:rsid w:val="00270F02"/>
    <w:rsid w:val="002B1081"/>
    <w:rsid w:val="002B43D9"/>
    <w:rsid w:val="002B50F1"/>
    <w:rsid w:val="002F3AE3"/>
    <w:rsid w:val="0030568A"/>
    <w:rsid w:val="0030786C"/>
    <w:rsid w:val="00323331"/>
    <w:rsid w:val="00373FE0"/>
    <w:rsid w:val="00387111"/>
    <w:rsid w:val="003913D3"/>
    <w:rsid w:val="00396E0F"/>
    <w:rsid w:val="003B7268"/>
    <w:rsid w:val="003B7B41"/>
    <w:rsid w:val="003C0755"/>
    <w:rsid w:val="003D17F9"/>
    <w:rsid w:val="00430C88"/>
    <w:rsid w:val="0044599B"/>
    <w:rsid w:val="004502F6"/>
    <w:rsid w:val="004604A1"/>
    <w:rsid w:val="00466DBE"/>
    <w:rsid w:val="004709F4"/>
    <w:rsid w:val="004867E2"/>
    <w:rsid w:val="004A4B44"/>
    <w:rsid w:val="004D7F1C"/>
    <w:rsid w:val="004E6AC5"/>
    <w:rsid w:val="004F0208"/>
    <w:rsid w:val="004F476C"/>
    <w:rsid w:val="005112A5"/>
    <w:rsid w:val="00547DB8"/>
    <w:rsid w:val="005611AD"/>
    <w:rsid w:val="00562FD0"/>
    <w:rsid w:val="00563B49"/>
    <w:rsid w:val="00563C06"/>
    <w:rsid w:val="005933E7"/>
    <w:rsid w:val="005E35A0"/>
    <w:rsid w:val="0065245B"/>
    <w:rsid w:val="006A19C8"/>
    <w:rsid w:val="006D716E"/>
    <w:rsid w:val="0071123B"/>
    <w:rsid w:val="00724724"/>
    <w:rsid w:val="00727757"/>
    <w:rsid w:val="00743607"/>
    <w:rsid w:val="00746E9D"/>
    <w:rsid w:val="00770E86"/>
    <w:rsid w:val="007A236F"/>
    <w:rsid w:val="007A634C"/>
    <w:rsid w:val="007D5915"/>
    <w:rsid w:val="007F1C50"/>
    <w:rsid w:val="007F36A9"/>
    <w:rsid w:val="008264EB"/>
    <w:rsid w:val="00833221"/>
    <w:rsid w:val="00841367"/>
    <w:rsid w:val="00851614"/>
    <w:rsid w:val="00852BB4"/>
    <w:rsid w:val="008B1B0C"/>
    <w:rsid w:val="008D03AA"/>
    <w:rsid w:val="008D0F6B"/>
    <w:rsid w:val="008D34D4"/>
    <w:rsid w:val="008D4612"/>
    <w:rsid w:val="008E3EB1"/>
    <w:rsid w:val="008E601C"/>
    <w:rsid w:val="0092301E"/>
    <w:rsid w:val="009446A4"/>
    <w:rsid w:val="00964DF2"/>
    <w:rsid w:val="0099638F"/>
    <w:rsid w:val="009D6974"/>
    <w:rsid w:val="009D746C"/>
    <w:rsid w:val="009E4E5D"/>
    <w:rsid w:val="00A068DE"/>
    <w:rsid w:val="00A36576"/>
    <w:rsid w:val="00A44E27"/>
    <w:rsid w:val="00A4512D"/>
    <w:rsid w:val="00A705AF"/>
    <w:rsid w:val="00A82ACF"/>
    <w:rsid w:val="00A86246"/>
    <w:rsid w:val="00A932EA"/>
    <w:rsid w:val="00AB734E"/>
    <w:rsid w:val="00AB7584"/>
    <w:rsid w:val="00AD74B1"/>
    <w:rsid w:val="00AE4523"/>
    <w:rsid w:val="00B026B3"/>
    <w:rsid w:val="00B037BC"/>
    <w:rsid w:val="00B07820"/>
    <w:rsid w:val="00B369E0"/>
    <w:rsid w:val="00B42851"/>
    <w:rsid w:val="00B622A1"/>
    <w:rsid w:val="00B944B8"/>
    <w:rsid w:val="00B94D0E"/>
    <w:rsid w:val="00BC74A4"/>
    <w:rsid w:val="00BE28ED"/>
    <w:rsid w:val="00C0573A"/>
    <w:rsid w:val="00C4283D"/>
    <w:rsid w:val="00C5167D"/>
    <w:rsid w:val="00C7495C"/>
    <w:rsid w:val="00CB5B1A"/>
    <w:rsid w:val="00CD73AB"/>
    <w:rsid w:val="00CE4107"/>
    <w:rsid w:val="00CE60C5"/>
    <w:rsid w:val="00CF25C4"/>
    <w:rsid w:val="00D103F6"/>
    <w:rsid w:val="00D32449"/>
    <w:rsid w:val="00D52FE1"/>
    <w:rsid w:val="00D5405A"/>
    <w:rsid w:val="00D54812"/>
    <w:rsid w:val="00D70034"/>
    <w:rsid w:val="00DA06F2"/>
    <w:rsid w:val="00DC50C6"/>
    <w:rsid w:val="00DE0FFF"/>
    <w:rsid w:val="00DE328A"/>
    <w:rsid w:val="00E34FA6"/>
    <w:rsid w:val="00E42580"/>
    <w:rsid w:val="00E70043"/>
    <w:rsid w:val="00E763F5"/>
    <w:rsid w:val="00E86457"/>
    <w:rsid w:val="00EA10A4"/>
    <w:rsid w:val="00EB7FC1"/>
    <w:rsid w:val="00EC1576"/>
    <w:rsid w:val="00EC4F22"/>
    <w:rsid w:val="00EC6787"/>
    <w:rsid w:val="00ED0A5B"/>
    <w:rsid w:val="00EF694B"/>
    <w:rsid w:val="00F53E5F"/>
    <w:rsid w:val="00F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table" w:styleId="TableGrid">
    <w:name w:val="Table Grid"/>
    <w:basedOn w:val="TableNormal"/>
    <w:rsid w:val="003C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B7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9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foodstandards.gov.au/code/applications/Pages/A1274---Food-derived-from-disease-resistant-banana-line-QCAV-4-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gtr.gov.a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about-ogtr/contact-and-subscribe/subscribe-ogtr-new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598B-8305-4657-A146-9375B613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199 - Invitation to comment</dc:title>
  <dc:creator/>
  <cp:lastModifiedBy/>
  <cp:revision>1</cp:revision>
  <dcterms:created xsi:type="dcterms:W3CDTF">2023-09-19T06:18:00Z</dcterms:created>
  <dcterms:modified xsi:type="dcterms:W3CDTF">2023-09-19T06:18:00Z</dcterms:modified>
</cp:coreProperties>
</file>