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79D7" w14:textId="632814F4" w:rsidR="001D2F5F" w:rsidRPr="001D2F5F" w:rsidRDefault="001D2F5F" w:rsidP="00053BE3">
      <w:pPr>
        <w:spacing w:before="240"/>
        <w:jc w:val="right"/>
      </w:pPr>
      <w:bookmarkStart w:id="0" w:name="_Toc355007993"/>
      <w:bookmarkStart w:id="1" w:name="_Toc103861935"/>
      <w:bookmarkStart w:id="2" w:name="_Toc209859545"/>
      <w:bookmarkStart w:id="3" w:name="_Toc236620543"/>
      <w:bookmarkStart w:id="4" w:name="_Toc259790166"/>
      <w:bookmarkStart w:id="5" w:name="_Toc198434571"/>
      <w:bookmarkStart w:id="6" w:name="_Toc167164262"/>
      <w:bookmarkStart w:id="7" w:name="_Toc174765844"/>
      <w:r>
        <w:tab/>
      </w:r>
      <w:r>
        <w:tab/>
      </w:r>
      <w:r>
        <w:tab/>
      </w:r>
      <w:r>
        <w:tab/>
      </w:r>
    </w:p>
    <w:p w14:paraId="69834F25" w14:textId="2ADED4CD" w:rsidR="001D2F5F" w:rsidRPr="00E06304" w:rsidRDefault="001D2F5F" w:rsidP="001D2F5F">
      <w:pPr>
        <w:pStyle w:val="Heading1"/>
        <w:spacing w:before="120" w:after="120"/>
        <w:jc w:val="center"/>
        <w:rPr>
          <w:szCs w:val="36"/>
        </w:rPr>
      </w:pPr>
      <w:r w:rsidRPr="00E06304">
        <w:rPr>
          <w:szCs w:val="36"/>
        </w:rPr>
        <w:t>Summary of the Risk Assessment and Risk Management Plan</w:t>
      </w:r>
      <w:bookmarkEnd w:id="0"/>
      <w:bookmarkEnd w:id="1"/>
    </w:p>
    <w:p w14:paraId="6D8020D2" w14:textId="77777777" w:rsidR="001D2F5F" w:rsidRPr="001D2F5F" w:rsidRDefault="001D2F5F" w:rsidP="001D2F5F">
      <w:pPr>
        <w:spacing w:before="120" w:after="120"/>
        <w:jc w:val="center"/>
        <w:rPr>
          <w:rFonts w:cs="Arial"/>
          <w:b/>
          <w:sz w:val="32"/>
          <w:szCs w:val="32"/>
          <w:lang w:eastAsia="en-AU"/>
        </w:rPr>
      </w:pPr>
      <w:r w:rsidRPr="001D2F5F">
        <w:rPr>
          <w:rFonts w:cs="Arial"/>
          <w:b/>
          <w:sz w:val="32"/>
          <w:szCs w:val="32"/>
          <w:lang w:eastAsia="en-AU"/>
        </w:rPr>
        <w:t>for</w:t>
      </w:r>
    </w:p>
    <w:p w14:paraId="67780515" w14:textId="54641317" w:rsidR="001D2F5F" w:rsidRPr="00E06304" w:rsidRDefault="001D2F5F" w:rsidP="001D2F5F">
      <w:pPr>
        <w:spacing w:before="120" w:after="120"/>
        <w:jc w:val="center"/>
        <w:rPr>
          <w:rFonts w:cs="Arial"/>
          <w:b/>
          <w:bCs/>
          <w:sz w:val="36"/>
          <w:szCs w:val="36"/>
        </w:rPr>
      </w:pPr>
      <w:r w:rsidRPr="00E06304">
        <w:rPr>
          <w:rFonts w:cs="Arial"/>
          <w:b/>
          <w:sz w:val="36"/>
          <w:szCs w:val="36"/>
        </w:rPr>
        <w:t>Licence Application No. DIR 1</w:t>
      </w:r>
      <w:r w:rsidR="00053BE3">
        <w:rPr>
          <w:rFonts w:cs="Arial"/>
          <w:b/>
          <w:sz w:val="36"/>
          <w:szCs w:val="36"/>
        </w:rPr>
        <w:t>9</w:t>
      </w:r>
      <w:r w:rsidR="00182564">
        <w:rPr>
          <w:rFonts w:cs="Arial"/>
          <w:b/>
          <w:sz w:val="36"/>
          <w:szCs w:val="36"/>
        </w:rPr>
        <w:t>1</w:t>
      </w:r>
    </w:p>
    <w:p w14:paraId="59AFDCF8" w14:textId="77777777" w:rsidR="00182564" w:rsidRPr="00182564" w:rsidRDefault="00182564" w:rsidP="00182564">
      <w:pPr>
        <w:keepNext/>
        <w:tabs>
          <w:tab w:val="left" w:pos="1418"/>
        </w:tabs>
        <w:spacing w:before="240" w:after="60"/>
        <w:ind w:left="1418" w:hanging="1418"/>
        <w:outlineLvl w:val="1"/>
        <w:rPr>
          <w:rFonts w:eastAsia="Times New Roman"/>
          <w:b/>
          <w:i/>
          <w:sz w:val="28"/>
          <w:szCs w:val="28"/>
        </w:rPr>
      </w:pPr>
      <w:bookmarkStart w:id="8" w:name="_Toc122430625"/>
      <w:bookmarkEnd w:id="2"/>
      <w:bookmarkEnd w:id="3"/>
      <w:bookmarkEnd w:id="4"/>
      <w:bookmarkEnd w:id="5"/>
      <w:bookmarkEnd w:id="6"/>
      <w:bookmarkEnd w:id="7"/>
      <w:r w:rsidRPr="00182564">
        <w:rPr>
          <w:rFonts w:eastAsia="Times New Roman"/>
          <w:b/>
          <w:i/>
          <w:sz w:val="28"/>
          <w:szCs w:val="28"/>
        </w:rPr>
        <w:t>Decision</w:t>
      </w:r>
      <w:bookmarkEnd w:id="8"/>
    </w:p>
    <w:p w14:paraId="4ABCE944" w14:textId="77777777" w:rsidR="00182564" w:rsidRPr="00182564" w:rsidRDefault="00182564" w:rsidP="00182564">
      <w:pPr>
        <w:spacing w:before="120" w:after="120"/>
        <w:rPr>
          <w:rFonts w:eastAsia="Times New Roman"/>
          <w:lang w:eastAsia="en-AU"/>
        </w:rPr>
      </w:pPr>
      <w:r w:rsidRPr="00182564">
        <w:rPr>
          <w:rFonts w:eastAsia="Times New Roman"/>
          <w:lang w:eastAsia="en-AU"/>
        </w:rPr>
        <w:t xml:space="preserve">The Gene Technology Regulator (the Regulator) has decided to issue a licence for this application for intentional, commercial-scale import and distribution of genetically modified (GM) chrysanthemum cut flowers. A Risk Assessment and Risk Management Plan (RARMP) for this application was prepared by the Regulator in accordance with the requirements of the </w:t>
      </w:r>
      <w:r w:rsidRPr="00182564">
        <w:rPr>
          <w:rFonts w:eastAsia="Times New Roman"/>
          <w:i/>
          <w:iCs/>
          <w:lang w:eastAsia="en-AU"/>
        </w:rPr>
        <w:t>Gene Technology Act 2000</w:t>
      </w:r>
      <w:r w:rsidRPr="00182564">
        <w:rPr>
          <w:rFonts w:eastAsia="Times New Roman"/>
          <w:lang w:eastAsia="en-AU"/>
        </w:rP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are imposed to ensure that there is ongoing oversight of the release.</w:t>
      </w:r>
    </w:p>
    <w:p w14:paraId="4C4DA101" w14:textId="77777777" w:rsidR="00182564" w:rsidRPr="00182564" w:rsidRDefault="00182564" w:rsidP="00182564">
      <w:pPr>
        <w:keepNext/>
        <w:tabs>
          <w:tab w:val="left" w:pos="1418"/>
        </w:tabs>
        <w:spacing w:before="240" w:after="60"/>
        <w:ind w:left="1418" w:hanging="1418"/>
        <w:outlineLvl w:val="1"/>
        <w:rPr>
          <w:rFonts w:eastAsia="Times New Roman"/>
          <w:b/>
          <w:i/>
          <w:sz w:val="28"/>
          <w:szCs w:val="28"/>
          <w:lang w:eastAsia="en-AU"/>
        </w:rPr>
      </w:pPr>
      <w:bookmarkStart w:id="9" w:name="_Toc342042135"/>
      <w:bookmarkStart w:id="10" w:name="_Toc122430626"/>
      <w:bookmarkStart w:id="11" w:name="_Toc291151777"/>
      <w:bookmarkStart w:id="12" w:name="_Toc274904727"/>
      <w:bookmarkStart w:id="13" w:name="_Toc209859548"/>
      <w:r w:rsidRPr="00182564">
        <w:rPr>
          <w:rFonts w:eastAsia="Times New Roman"/>
          <w:b/>
          <w:i/>
          <w:sz w:val="28"/>
          <w:szCs w:val="28"/>
          <w:lang w:eastAsia="en-AU"/>
        </w:rPr>
        <w:t>The application</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263"/>
        <w:gridCol w:w="7343"/>
      </w:tblGrid>
      <w:tr w:rsidR="00182564" w:rsidRPr="00182564" w14:paraId="389279FB" w14:textId="77777777" w:rsidTr="001760AE">
        <w:trPr>
          <w:cantSplit/>
        </w:trPr>
        <w:tc>
          <w:tcPr>
            <w:tcW w:w="2263" w:type="dxa"/>
            <w:tcBorders>
              <w:top w:val="single" w:sz="4" w:space="0" w:color="auto"/>
              <w:left w:val="single" w:sz="4" w:space="0" w:color="auto"/>
              <w:bottom w:val="single" w:sz="4" w:space="0" w:color="auto"/>
              <w:right w:val="single" w:sz="4" w:space="0" w:color="auto"/>
            </w:tcBorders>
            <w:hideMark/>
          </w:tcPr>
          <w:p w14:paraId="59269242" w14:textId="77777777" w:rsidR="00182564" w:rsidRPr="00182564" w:rsidRDefault="00182564" w:rsidP="00182564">
            <w:pPr>
              <w:spacing w:before="60" w:after="60"/>
              <w:rPr>
                <w:rFonts w:eastAsia="Times New Roman"/>
                <w:lang w:eastAsia="en-AU"/>
              </w:rPr>
            </w:pPr>
            <w:r w:rsidRPr="00182564">
              <w:rPr>
                <w:rFonts w:eastAsia="Times New Roman"/>
                <w:lang w:eastAsia="en-AU"/>
              </w:rPr>
              <w:t>Application number</w:t>
            </w:r>
          </w:p>
        </w:tc>
        <w:tc>
          <w:tcPr>
            <w:tcW w:w="7343" w:type="dxa"/>
            <w:tcBorders>
              <w:top w:val="single" w:sz="4" w:space="0" w:color="auto"/>
              <w:left w:val="single" w:sz="4" w:space="0" w:color="auto"/>
              <w:bottom w:val="single" w:sz="4" w:space="0" w:color="auto"/>
              <w:right w:val="single" w:sz="4" w:space="0" w:color="auto"/>
            </w:tcBorders>
            <w:hideMark/>
          </w:tcPr>
          <w:p w14:paraId="37C5C139" w14:textId="77777777" w:rsidR="00182564" w:rsidRPr="00182564" w:rsidRDefault="00182564" w:rsidP="00182564">
            <w:pPr>
              <w:spacing w:before="60" w:after="60"/>
              <w:rPr>
                <w:rFonts w:eastAsia="Times New Roman"/>
                <w:lang w:eastAsia="en-AU"/>
              </w:rPr>
            </w:pPr>
            <w:r w:rsidRPr="00182564">
              <w:rPr>
                <w:rFonts w:eastAsia="Times New Roman"/>
                <w:lang w:eastAsia="en-AU"/>
              </w:rPr>
              <w:t>DIR 191</w:t>
            </w:r>
          </w:p>
        </w:tc>
      </w:tr>
      <w:tr w:rsidR="00182564" w:rsidRPr="00182564" w14:paraId="6F877EDA" w14:textId="77777777" w:rsidTr="001760AE">
        <w:trPr>
          <w:cantSplit/>
        </w:trPr>
        <w:tc>
          <w:tcPr>
            <w:tcW w:w="2263" w:type="dxa"/>
            <w:tcBorders>
              <w:top w:val="single" w:sz="4" w:space="0" w:color="auto"/>
              <w:left w:val="single" w:sz="4" w:space="0" w:color="auto"/>
              <w:bottom w:val="single" w:sz="4" w:space="0" w:color="auto"/>
              <w:right w:val="single" w:sz="4" w:space="0" w:color="auto"/>
            </w:tcBorders>
            <w:hideMark/>
          </w:tcPr>
          <w:p w14:paraId="665E5697" w14:textId="77777777" w:rsidR="00182564" w:rsidRPr="00182564" w:rsidRDefault="00182564" w:rsidP="00182564">
            <w:pPr>
              <w:spacing w:before="60" w:after="60"/>
              <w:rPr>
                <w:rFonts w:eastAsia="Times New Roman"/>
                <w:lang w:eastAsia="en-AU"/>
              </w:rPr>
            </w:pPr>
            <w:r w:rsidRPr="00182564">
              <w:rPr>
                <w:rFonts w:eastAsia="Times New Roman"/>
                <w:lang w:eastAsia="en-AU"/>
              </w:rPr>
              <w:t>Applicant</w:t>
            </w:r>
          </w:p>
        </w:tc>
        <w:tc>
          <w:tcPr>
            <w:tcW w:w="7343" w:type="dxa"/>
            <w:tcBorders>
              <w:top w:val="single" w:sz="4" w:space="0" w:color="auto"/>
              <w:left w:val="single" w:sz="4" w:space="0" w:color="auto"/>
              <w:bottom w:val="single" w:sz="4" w:space="0" w:color="auto"/>
              <w:right w:val="single" w:sz="4" w:space="0" w:color="auto"/>
            </w:tcBorders>
            <w:hideMark/>
          </w:tcPr>
          <w:p w14:paraId="4C2CD8D7" w14:textId="77777777" w:rsidR="00182564" w:rsidRPr="00182564" w:rsidRDefault="00182564" w:rsidP="00182564">
            <w:pPr>
              <w:spacing w:before="60" w:after="60"/>
              <w:rPr>
                <w:rFonts w:eastAsia="Times New Roman"/>
                <w:lang w:eastAsia="en-AU"/>
              </w:rPr>
            </w:pPr>
            <w:r w:rsidRPr="00182564">
              <w:rPr>
                <w:rFonts w:eastAsia="Times New Roman"/>
                <w:lang w:eastAsia="en-AU"/>
              </w:rPr>
              <w:t>International Flower Developments Pty Ltd</w:t>
            </w:r>
          </w:p>
        </w:tc>
      </w:tr>
      <w:tr w:rsidR="00182564" w:rsidRPr="00182564" w14:paraId="09F55F10" w14:textId="77777777" w:rsidTr="001760AE">
        <w:trPr>
          <w:cantSplit/>
        </w:trPr>
        <w:tc>
          <w:tcPr>
            <w:tcW w:w="2263" w:type="dxa"/>
            <w:tcBorders>
              <w:top w:val="single" w:sz="4" w:space="0" w:color="auto"/>
              <w:left w:val="single" w:sz="4" w:space="0" w:color="auto"/>
              <w:bottom w:val="single" w:sz="4" w:space="0" w:color="auto"/>
              <w:right w:val="single" w:sz="4" w:space="0" w:color="auto"/>
            </w:tcBorders>
            <w:hideMark/>
          </w:tcPr>
          <w:p w14:paraId="3C1A6DBA" w14:textId="77777777" w:rsidR="00182564" w:rsidRPr="00182564" w:rsidRDefault="00182564" w:rsidP="00182564">
            <w:pPr>
              <w:spacing w:before="60" w:after="60"/>
              <w:rPr>
                <w:rFonts w:eastAsia="Times New Roman"/>
                <w:lang w:eastAsia="en-AU"/>
              </w:rPr>
            </w:pPr>
            <w:r w:rsidRPr="00182564">
              <w:rPr>
                <w:rFonts w:eastAsia="Times New Roman"/>
                <w:lang w:eastAsia="en-AU"/>
              </w:rPr>
              <w:t>Project title</w:t>
            </w:r>
          </w:p>
        </w:tc>
        <w:tc>
          <w:tcPr>
            <w:tcW w:w="7343" w:type="dxa"/>
            <w:tcBorders>
              <w:top w:val="single" w:sz="4" w:space="0" w:color="auto"/>
              <w:left w:val="single" w:sz="4" w:space="0" w:color="auto"/>
              <w:bottom w:val="single" w:sz="4" w:space="0" w:color="auto"/>
              <w:right w:val="single" w:sz="4" w:space="0" w:color="auto"/>
            </w:tcBorders>
            <w:hideMark/>
          </w:tcPr>
          <w:p w14:paraId="5CF04E36" w14:textId="77777777" w:rsidR="00182564" w:rsidRPr="00182564" w:rsidRDefault="00182564" w:rsidP="00182564">
            <w:pPr>
              <w:spacing w:before="60" w:after="60"/>
              <w:rPr>
                <w:rFonts w:eastAsia="Times New Roman"/>
                <w:lang w:eastAsia="en-AU"/>
              </w:rPr>
            </w:pPr>
            <w:r w:rsidRPr="00182564">
              <w:rPr>
                <w:rFonts w:eastAsia="Times New Roman"/>
                <w:lang w:eastAsia="en-AU"/>
              </w:rPr>
              <w:t>Commercial import and distribution of chrysanthemum genetically modified for altered flower colour</w:t>
            </w:r>
            <w:r w:rsidRPr="00182564">
              <w:rPr>
                <w:rFonts w:eastAsia="Times New Roman"/>
                <w:vertAlign w:val="superscript"/>
                <w:lang w:eastAsia="en-AU"/>
              </w:rPr>
              <w:footnoteReference w:id="1"/>
            </w:r>
          </w:p>
        </w:tc>
      </w:tr>
      <w:tr w:rsidR="00182564" w:rsidRPr="00182564" w14:paraId="1820B8C2" w14:textId="77777777" w:rsidTr="001760AE">
        <w:trPr>
          <w:cantSplit/>
        </w:trPr>
        <w:tc>
          <w:tcPr>
            <w:tcW w:w="2263" w:type="dxa"/>
            <w:tcBorders>
              <w:top w:val="single" w:sz="4" w:space="0" w:color="auto"/>
              <w:left w:val="single" w:sz="4" w:space="0" w:color="auto"/>
              <w:bottom w:val="single" w:sz="4" w:space="0" w:color="auto"/>
              <w:right w:val="single" w:sz="4" w:space="0" w:color="auto"/>
            </w:tcBorders>
            <w:hideMark/>
          </w:tcPr>
          <w:p w14:paraId="254C9C71" w14:textId="77777777" w:rsidR="00182564" w:rsidRPr="00182564" w:rsidRDefault="00182564" w:rsidP="00182564">
            <w:pPr>
              <w:spacing w:before="60" w:after="60"/>
              <w:rPr>
                <w:rFonts w:eastAsia="Times New Roman"/>
                <w:lang w:eastAsia="en-AU"/>
              </w:rPr>
            </w:pPr>
            <w:r w:rsidRPr="00182564">
              <w:rPr>
                <w:rFonts w:eastAsia="Times New Roman"/>
                <w:lang w:eastAsia="en-AU"/>
              </w:rPr>
              <w:t>Parent organism</w:t>
            </w:r>
          </w:p>
        </w:tc>
        <w:tc>
          <w:tcPr>
            <w:tcW w:w="7343" w:type="dxa"/>
            <w:tcBorders>
              <w:top w:val="single" w:sz="4" w:space="0" w:color="auto"/>
              <w:left w:val="single" w:sz="4" w:space="0" w:color="auto"/>
              <w:bottom w:val="single" w:sz="4" w:space="0" w:color="auto"/>
              <w:right w:val="single" w:sz="4" w:space="0" w:color="auto"/>
            </w:tcBorders>
            <w:hideMark/>
          </w:tcPr>
          <w:p w14:paraId="071A544D" w14:textId="77777777" w:rsidR="00182564" w:rsidRPr="00182564" w:rsidRDefault="00182564" w:rsidP="00182564">
            <w:pPr>
              <w:spacing w:before="60" w:after="60"/>
              <w:rPr>
                <w:rFonts w:eastAsia="Times New Roman"/>
                <w:lang w:eastAsia="en-AU"/>
              </w:rPr>
            </w:pPr>
            <w:r w:rsidRPr="00182564">
              <w:rPr>
                <w:rFonts w:eastAsia="Times New Roman"/>
                <w:lang w:eastAsia="en-AU"/>
              </w:rPr>
              <w:t>Chrysanthemum (</w:t>
            </w:r>
            <w:r w:rsidRPr="00182564">
              <w:rPr>
                <w:rFonts w:eastAsia="Times New Roman"/>
                <w:i/>
                <w:iCs/>
                <w:lang w:eastAsia="en-AU"/>
              </w:rPr>
              <w:t>Chrysanthemum</w:t>
            </w:r>
            <w:r w:rsidRPr="00182564">
              <w:rPr>
                <w:rFonts w:eastAsia="Times New Roman"/>
                <w:lang w:eastAsia="en-AU"/>
              </w:rPr>
              <w:t xml:space="preserve"> x </w:t>
            </w:r>
            <w:r w:rsidRPr="00182564">
              <w:rPr>
                <w:rFonts w:eastAsia="Times New Roman"/>
                <w:i/>
                <w:iCs/>
                <w:lang w:eastAsia="en-AU"/>
              </w:rPr>
              <w:t>morifolium</w:t>
            </w:r>
            <w:r w:rsidRPr="00182564">
              <w:rPr>
                <w:rFonts w:eastAsia="Times New Roman"/>
                <w:lang w:eastAsia="en-AU"/>
              </w:rPr>
              <w:t>)</w:t>
            </w:r>
          </w:p>
        </w:tc>
      </w:tr>
      <w:tr w:rsidR="00182564" w:rsidRPr="00182564" w14:paraId="11B82DC3" w14:textId="77777777" w:rsidTr="001760AE">
        <w:trPr>
          <w:cantSplit/>
        </w:trPr>
        <w:tc>
          <w:tcPr>
            <w:tcW w:w="2263" w:type="dxa"/>
            <w:tcBorders>
              <w:top w:val="single" w:sz="4" w:space="0" w:color="auto"/>
              <w:left w:val="single" w:sz="4" w:space="0" w:color="auto"/>
              <w:bottom w:val="single" w:sz="4" w:space="0" w:color="auto"/>
              <w:right w:val="single" w:sz="4" w:space="0" w:color="auto"/>
            </w:tcBorders>
            <w:hideMark/>
          </w:tcPr>
          <w:p w14:paraId="3A5CB974" w14:textId="77777777" w:rsidR="00182564" w:rsidRPr="00182564" w:rsidRDefault="00182564" w:rsidP="00182564">
            <w:pPr>
              <w:spacing w:before="60" w:after="60"/>
              <w:rPr>
                <w:rFonts w:eastAsia="Times New Roman"/>
                <w:lang w:eastAsia="en-AU"/>
              </w:rPr>
            </w:pPr>
            <w:r w:rsidRPr="00182564">
              <w:rPr>
                <w:rFonts w:eastAsia="Times New Roman"/>
                <w:lang w:eastAsia="en-AU"/>
              </w:rPr>
              <w:t>Introduced genes and modified traits</w:t>
            </w:r>
          </w:p>
        </w:tc>
        <w:tc>
          <w:tcPr>
            <w:tcW w:w="7343" w:type="dxa"/>
            <w:tcBorders>
              <w:top w:val="single" w:sz="4" w:space="0" w:color="auto"/>
              <w:left w:val="single" w:sz="4" w:space="0" w:color="auto"/>
              <w:bottom w:val="single" w:sz="4" w:space="0" w:color="auto"/>
              <w:right w:val="single" w:sz="4" w:space="0" w:color="auto"/>
            </w:tcBorders>
            <w:hideMark/>
          </w:tcPr>
          <w:p w14:paraId="12435BDA" w14:textId="77777777" w:rsidR="00182564" w:rsidRPr="00182564" w:rsidRDefault="00182564" w:rsidP="00182564">
            <w:pPr>
              <w:widowControl w:val="0"/>
              <w:spacing w:before="60" w:after="60"/>
              <w:rPr>
                <w:rFonts w:eastAsia="Times New Roman" w:cs="Calibri"/>
                <w:bCs/>
                <w:szCs w:val="22"/>
                <w:lang w:eastAsia="en-AU"/>
              </w:rPr>
            </w:pPr>
            <w:r w:rsidRPr="00182564">
              <w:rPr>
                <w:rFonts w:eastAsia="Times New Roman" w:cs="Calibri"/>
                <w:bCs/>
                <w:szCs w:val="22"/>
                <w:lang w:eastAsia="en-AU"/>
              </w:rPr>
              <w:t>Two genes conferring blue or violet flower colour:</w:t>
            </w:r>
          </w:p>
          <w:p w14:paraId="3D278353" w14:textId="77777777" w:rsidR="00182564" w:rsidRPr="00182564" w:rsidRDefault="00182564" w:rsidP="00182564">
            <w:pPr>
              <w:widowControl w:val="0"/>
              <w:numPr>
                <w:ilvl w:val="0"/>
                <w:numId w:val="3"/>
              </w:numPr>
              <w:tabs>
                <w:tab w:val="right" w:leader="dot" w:pos="9356"/>
              </w:tabs>
              <w:spacing w:before="60" w:after="60"/>
              <w:rPr>
                <w:rFonts w:eastAsia="Times New Roman"/>
                <w:szCs w:val="22"/>
                <w:lang w:eastAsia="en-AU"/>
              </w:rPr>
            </w:pPr>
            <w:r w:rsidRPr="00182564">
              <w:rPr>
                <w:rFonts w:eastAsia="Times New Roman"/>
                <w:i/>
                <w:szCs w:val="22"/>
                <w:lang w:eastAsia="en-AU"/>
              </w:rPr>
              <w:t>F3’5’H</w:t>
            </w:r>
            <w:r w:rsidRPr="00182564">
              <w:rPr>
                <w:rFonts w:eastAsia="Times New Roman"/>
                <w:szCs w:val="22"/>
                <w:lang w:eastAsia="en-AU"/>
              </w:rPr>
              <w:t xml:space="preserve"> - flavonoid 3’,5’-hydroxylase gene from </w:t>
            </w:r>
            <w:r w:rsidRPr="00182564">
              <w:rPr>
                <w:rFonts w:eastAsia="Times New Roman"/>
                <w:i/>
                <w:szCs w:val="22"/>
                <w:lang w:eastAsia="en-AU"/>
              </w:rPr>
              <w:t>Campanula medium</w:t>
            </w:r>
          </w:p>
          <w:p w14:paraId="2FE5EBC8" w14:textId="77777777" w:rsidR="00182564" w:rsidRPr="00182564" w:rsidRDefault="00182564" w:rsidP="00182564">
            <w:pPr>
              <w:widowControl w:val="0"/>
              <w:numPr>
                <w:ilvl w:val="0"/>
                <w:numId w:val="3"/>
              </w:numPr>
              <w:tabs>
                <w:tab w:val="right" w:leader="dot" w:pos="9356"/>
              </w:tabs>
              <w:spacing w:before="60" w:after="60"/>
              <w:rPr>
                <w:rFonts w:eastAsia="Times New Roman"/>
                <w:szCs w:val="22"/>
                <w:lang w:eastAsia="en-AU"/>
              </w:rPr>
            </w:pPr>
            <w:r w:rsidRPr="00182564">
              <w:rPr>
                <w:rFonts w:eastAsia="Times New Roman"/>
                <w:i/>
                <w:szCs w:val="22"/>
                <w:lang w:eastAsia="en-AU"/>
              </w:rPr>
              <w:t>A3’5’GT -</w:t>
            </w:r>
            <w:r w:rsidRPr="00182564">
              <w:rPr>
                <w:rFonts w:eastAsia="Times New Roman"/>
                <w:szCs w:val="22"/>
                <w:lang w:eastAsia="en-AU"/>
              </w:rPr>
              <w:t xml:space="preserve"> anthocyanin 3’,5’-glucosyltransferase gene from </w:t>
            </w:r>
            <w:proofErr w:type="spellStart"/>
            <w:r w:rsidRPr="00182564">
              <w:rPr>
                <w:rFonts w:eastAsia="Times New Roman"/>
                <w:i/>
                <w:szCs w:val="22"/>
                <w:lang w:eastAsia="en-AU"/>
              </w:rPr>
              <w:t>Clitoria</w:t>
            </w:r>
            <w:proofErr w:type="spellEnd"/>
            <w:r w:rsidRPr="00182564">
              <w:rPr>
                <w:rFonts w:eastAsia="Times New Roman"/>
                <w:i/>
                <w:szCs w:val="22"/>
                <w:lang w:eastAsia="en-AU"/>
              </w:rPr>
              <w:t xml:space="preserve"> </w:t>
            </w:r>
            <w:proofErr w:type="spellStart"/>
            <w:r w:rsidRPr="00182564">
              <w:rPr>
                <w:rFonts w:eastAsia="Times New Roman"/>
                <w:i/>
                <w:szCs w:val="22"/>
                <w:lang w:eastAsia="en-AU"/>
              </w:rPr>
              <w:t>ternatea</w:t>
            </w:r>
            <w:proofErr w:type="spellEnd"/>
          </w:p>
          <w:p w14:paraId="22932F53" w14:textId="77777777" w:rsidR="00182564" w:rsidRPr="00182564" w:rsidRDefault="00182564" w:rsidP="00182564">
            <w:pPr>
              <w:widowControl w:val="0"/>
              <w:spacing w:before="60" w:after="60"/>
              <w:rPr>
                <w:rFonts w:eastAsia="Times New Roman" w:cs="Calibri"/>
                <w:bCs/>
                <w:szCs w:val="22"/>
                <w:lang w:eastAsia="en-AU"/>
              </w:rPr>
            </w:pPr>
            <w:r w:rsidRPr="00182564">
              <w:rPr>
                <w:rFonts w:eastAsia="Times New Roman" w:cs="Calibri"/>
                <w:bCs/>
                <w:szCs w:val="22"/>
                <w:lang w:eastAsia="en-AU"/>
              </w:rPr>
              <w:t>One selectable marker gene:</w:t>
            </w:r>
          </w:p>
          <w:p w14:paraId="038B4A90" w14:textId="77777777" w:rsidR="00182564" w:rsidRPr="00182564" w:rsidRDefault="00182564" w:rsidP="00182564">
            <w:pPr>
              <w:widowControl w:val="0"/>
              <w:numPr>
                <w:ilvl w:val="0"/>
                <w:numId w:val="3"/>
              </w:numPr>
              <w:spacing w:before="60" w:after="60"/>
              <w:rPr>
                <w:rFonts w:eastAsia="Times New Roman" w:cs="Calibri"/>
                <w:szCs w:val="22"/>
                <w:lang w:eastAsia="en-AU"/>
              </w:rPr>
            </w:pPr>
            <w:proofErr w:type="spellStart"/>
            <w:r w:rsidRPr="00182564">
              <w:rPr>
                <w:rFonts w:eastAsia="Times New Roman" w:cs="Calibri"/>
                <w:i/>
                <w:szCs w:val="22"/>
                <w:lang w:eastAsia="en-AU"/>
              </w:rPr>
              <w:t>nptII</w:t>
            </w:r>
            <w:proofErr w:type="spellEnd"/>
            <w:r w:rsidRPr="00182564">
              <w:rPr>
                <w:rFonts w:eastAsia="Times New Roman" w:cs="Calibri"/>
                <w:i/>
                <w:szCs w:val="22"/>
                <w:lang w:eastAsia="en-AU"/>
              </w:rPr>
              <w:t xml:space="preserve"> </w:t>
            </w:r>
            <w:r w:rsidRPr="00182564">
              <w:rPr>
                <w:rFonts w:eastAsia="Times New Roman" w:cs="Calibri"/>
                <w:iCs/>
                <w:szCs w:val="22"/>
                <w:lang w:eastAsia="en-AU"/>
              </w:rPr>
              <w:t>– antibiotic resistance gene from</w:t>
            </w:r>
            <w:r w:rsidRPr="00182564">
              <w:rPr>
                <w:rFonts w:eastAsia="Times New Roman" w:cs="Calibri"/>
                <w:i/>
                <w:szCs w:val="22"/>
                <w:lang w:eastAsia="en-AU"/>
              </w:rPr>
              <w:t xml:space="preserve"> Escherichia coli</w:t>
            </w:r>
          </w:p>
        </w:tc>
      </w:tr>
      <w:tr w:rsidR="00182564" w:rsidRPr="00182564" w14:paraId="27B6774B" w14:textId="77777777" w:rsidTr="001760AE">
        <w:trPr>
          <w:cantSplit/>
        </w:trPr>
        <w:tc>
          <w:tcPr>
            <w:tcW w:w="2263" w:type="dxa"/>
            <w:tcBorders>
              <w:top w:val="single" w:sz="4" w:space="0" w:color="auto"/>
              <w:left w:val="single" w:sz="4" w:space="0" w:color="auto"/>
              <w:bottom w:val="single" w:sz="4" w:space="0" w:color="auto"/>
              <w:right w:val="single" w:sz="4" w:space="0" w:color="auto"/>
            </w:tcBorders>
            <w:hideMark/>
          </w:tcPr>
          <w:p w14:paraId="61C05533" w14:textId="77777777" w:rsidR="00182564" w:rsidRPr="00182564" w:rsidRDefault="00182564" w:rsidP="00182564">
            <w:pPr>
              <w:spacing w:before="60" w:after="60"/>
              <w:rPr>
                <w:rFonts w:eastAsia="Times New Roman"/>
                <w:lang w:eastAsia="en-AU"/>
              </w:rPr>
            </w:pPr>
            <w:r w:rsidRPr="00182564">
              <w:rPr>
                <w:rFonts w:eastAsia="Times New Roman"/>
                <w:lang w:eastAsia="en-AU"/>
              </w:rPr>
              <w:t>Proposed locations</w:t>
            </w:r>
          </w:p>
        </w:tc>
        <w:tc>
          <w:tcPr>
            <w:tcW w:w="7343" w:type="dxa"/>
            <w:tcBorders>
              <w:top w:val="single" w:sz="4" w:space="0" w:color="auto"/>
              <w:left w:val="single" w:sz="4" w:space="0" w:color="auto"/>
              <w:bottom w:val="single" w:sz="4" w:space="0" w:color="auto"/>
              <w:right w:val="single" w:sz="4" w:space="0" w:color="auto"/>
            </w:tcBorders>
            <w:hideMark/>
          </w:tcPr>
          <w:p w14:paraId="2A916AAF" w14:textId="77777777" w:rsidR="00182564" w:rsidRPr="00182564" w:rsidRDefault="00182564" w:rsidP="00182564">
            <w:pPr>
              <w:spacing w:before="60" w:after="60"/>
              <w:rPr>
                <w:rFonts w:eastAsia="Times New Roman"/>
                <w:lang w:eastAsia="en-AU"/>
              </w:rPr>
            </w:pPr>
            <w:r w:rsidRPr="00182564">
              <w:rPr>
                <w:rFonts w:eastAsia="Times New Roman"/>
                <w:lang w:eastAsia="en-AU"/>
              </w:rPr>
              <w:t>Australia-wide</w:t>
            </w:r>
          </w:p>
        </w:tc>
      </w:tr>
      <w:tr w:rsidR="00182564" w:rsidRPr="00182564" w14:paraId="32010529" w14:textId="77777777" w:rsidTr="001760AE">
        <w:trPr>
          <w:cantSplit/>
        </w:trPr>
        <w:tc>
          <w:tcPr>
            <w:tcW w:w="2263" w:type="dxa"/>
            <w:tcBorders>
              <w:top w:val="single" w:sz="4" w:space="0" w:color="auto"/>
              <w:left w:val="single" w:sz="4" w:space="0" w:color="auto"/>
              <w:bottom w:val="single" w:sz="4" w:space="0" w:color="auto"/>
              <w:right w:val="single" w:sz="4" w:space="0" w:color="auto"/>
            </w:tcBorders>
            <w:hideMark/>
          </w:tcPr>
          <w:p w14:paraId="1E0B492C" w14:textId="77777777" w:rsidR="00182564" w:rsidRPr="00182564" w:rsidRDefault="00182564" w:rsidP="00182564">
            <w:pPr>
              <w:spacing w:before="60" w:after="60"/>
              <w:rPr>
                <w:rFonts w:eastAsia="Times New Roman"/>
                <w:lang w:eastAsia="en-AU"/>
              </w:rPr>
            </w:pPr>
            <w:r w:rsidRPr="00182564">
              <w:rPr>
                <w:rFonts w:eastAsia="Times New Roman"/>
                <w:lang w:eastAsia="en-AU"/>
              </w:rPr>
              <w:t xml:space="preserve">Primary purpose </w:t>
            </w:r>
          </w:p>
        </w:tc>
        <w:tc>
          <w:tcPr>
            <w:tcW w:w="7343" w:type="dxa"/>
            <w:tcBorders>
              <w:top w:val="single" w:sz="4" w:space="0" w:color="auto"/>
              <w:left w:val="single" w:sz="4" w:space="0" w:color="auto"/>
              <w:bottom w:val="single" w:sz="4" w:space="0" w:color="auto"/>
              <w:right w:val="single" w:sz="4" w:space="0" w:color="auto"/>
            </w:tcBorders>
            <w:hideMark/>
          </w:tcPr>
          <w:p w14:paraId="3202D70E" w14:textId="77777777" w:rsidR="00182564" w:rsidRPr="00182564" w:rsidRDefault="00182564" w:rsidP="00182564">
            <w:pPr>
              <w:spacing w:before="60" w:after="60"/>
              <w:rPr>
                <w:rFonts w:eastAsia="Times New Roman"/>
                <w:lang w:eastAsia="en-AU"/>
              </w:rPr>
            </w:pPr>
            <w:r w:rsidRPr="00182564">
              <w:rPr>
                <w:rFonts w:eastAsia="Times New Roman" w:cs="Calibri"/>
                <w:lang w:eastAsia="en-AU"/>
              </w:rPr>
              <w:t>Commercial import and distribution of cut flowers of GM chrysanthemum for ornamental use</w:t>
            </w:r>
          </w:p>
        </w:tc>
      </w:tr>
    </w:tbl>
    <w:p w14:paraId="6C2FBDE6" w14:textId="77777777" w:rsidR="00182564" w:rsidRPr="00182564" w:rsidRDefault="00182564" w:rsidP="00182564">
      <w:pPr>
        <w:keepNext/>
        <w:tabs>
          <w:tab w:val="left" w:pos="1418"/>
        </w:tabs>
        <w:spacing w:before="240" w:after="60"/>
        <w:ind w:left="1418" w:hanging="1418"/>
        <w:outlineLvl w:val="1"/>
        <w:rPr>
          <w:rFonts w:eastAsia="Times New Roman"/>
          <w:b/>
          <w:i/>
          <w:sz w:val="28"/>
          <w:szCs w:val="28"/>
          <w:lang w:eastAsia="en-AU"/>
        </w:rPr>
      </w:pPr>
      <w:bookmarkStart w:id="14" w:name="_Toc342042136"/>
      <w:bookmarkStart w:id="15" w:name="_Toc122430627"/>
      <w:r w:rsidRPr="00182564">
        <w:rPr>
          <w:rFonts w:eastAsia="Times New Roman"/>
          <w:b/>
          <w:i/>
          <w:sz w:val="28"/>
          <w:szCs w:val="28"/>
          <w:lang w:eastAsia="en-AU"/>
        </w:rPr>
        <w:t>Risk assessment</w:t>
      </w:r>
      <w:bookmarkEnd w:id="11"/>
      <w:bookmarkEnd w:id="12"/>
      <w:bookmarkEnd w:id="13"/>
      <w:bookmarkEnd w:id="14"/>
      <w:bookmarkEnd w:id="15"/>
    </w:p>
    <w:p w14:paraId="7E950FBF" w14:textId="77777777" w:rsidR="00182564" w:rsidRPr="00182564" w:rsidRDefault="00182564" w:rsidP="00182564">
      <w:pPr>
        <w:spacing w:before="120" w:after="120"/>
        <w:rPr>
          <w:rFonts w:eastAsia="Times New Roman"/>
          <w:bCs/>
          <w:lang w:eastAsia="en-AU"/>
        </w:rPr>
      </w:pPr>
      <w:r w:rsidRPr="00182564">
        <w:rPr>
          <w:rFonts w:eastAsia="Times New Roman"/>
          <w:lang w:eastAsia="en-AU"/>
        </w:rPr>
        <w:t xml:space="preserve">The risk assessment concludes that risks to the health and safety of people or the environment from the proposed dealings, either in the short or long term, are </w:t>
      </w:r>
      <w:r w:rsidRPr="00182564">
        <w:rPr>
          <w:rFonts w:eastAsia="Times New Roman"/>
          <w:bCs/>
          <w:lang w:eastAsia="en-AU"/>
        </w:rPr>
        <w:t>negligible</w:t>
      </w:r>
      <w:r w:rsidRPr="00182564">
        <w:rPr>
          <w:rFonts w:eastAsia="Times New Roman"/>
          <w:lang w:eastAsia="en-AU"/>
        </w:rPr>
        <w:t>. N</w:t>
      </w:r>
      <w:r w:rsidRPr="00182564">
        <w:rPr>
          <w:rFonts w:eastAsia="Times New Roman"/>
          <w:bCs/>
          <w:lang w:eastAsia="en-AU"/>
        </w:rPr>
        <w:t>o specific risk treatment measures are required to manage these negligible risks.</w:t>
      </w:r>
    </w:p>
    <w:p w14:paraId="378A0182" w14:textId="77777777" w:rsidR="00182564" w:rsidRPr="00182564" w:rsidRDefault="00182564" w:rsidP="00182564">
      <w:pPr>
        <w:spacing w:before="120" w:after="120"/>
        <w:rPr>
          <w:rFonts w:eastAsia="Times New Roman"/>
          <w:lang w:eastAsia="en-AU"/>
        </w:rPr>
      </w:pPr>
      <w:r w:rsidRPr="00182564">
        <w:rPr>
          <w:rFonts w:eastAsia="Times New Roman"/>
          <w:lang w:eastAsia="en-AU"/>
        </w:rPr>
        <w:lastRenderedPageBreak/>
        <w:t xml:space="preserve">The risk assessment process considers how the genetic modification and activities conducted with the GMO might lead to harm to people or the environment. Risks are characterised in relation to both the seriousness and likelihood of harm, </w:t>
      </w:r>
      <w:proofErr w:type="gramStart"/>
      <w:r w:rsidRPr="00182564">
        <w:rPr>
          <w:rFonts w:eastAsia="Times New Roman"/>
          <w:lang w:eastAsia="en-AU"/>
        </w:rPr>
        <w:t>taking into account</w:t>
      </w:r>
      <w:proofErr w:type="gramEnd"/>
      <w:r w:rsidRPr="00182564">
        <w:rPr>
          <w:rFonts w:eastAsia="Times New Roman"/>
          <w:lang w:eastAsia="en-AU"/>
        </w:rPr>
        <w:t xml:space="preserve"> information in the application, relevant previous approvals, current scientific knowledge and advice received from a wide range of experts, agencies and authorities consulted on the preparation of the RARMP. Both the </w:t>
      </w:r>
      <w:proofErr w:type="gramStart"/>
      <w:r w:rsidRPr="00182564">
        <w:rPr>
          <w:rFonts w:eastAsia="Times New Roman"/>
          <w:lang w:eastAsia="en-AU"/>
        </w:rPr>
        <w:t>short and long term</w:t>
      </w:r>
      <w:proofErr w:type="gramEnd"/>
      <w:r w:rsidRPr="00182564">
        <w:rPr>
          <w:rFonts w:eastAsia="Times New Roman"/>
          <w:lang w:eastAsia="en-AU"/>
        </w:rPr>
        <w:t xml:space="preserve"> risks are considered.</w:t>
      </w:r>
    </w:p>
    <w:p w14:paraId="44689A17" w14:textId="77777777" w:rsidR="00182564" w:rsidRPr="00182564" w:rsidRDefault="00182564" w:rsidP="00182564">
      <w:pPr>
        <w:spacing w:before="120" w:after="120"/>
        <w:rPr>
          <w:rFonts w:eastAsia="Times New Roman"/>
          <w:lang w:eastAsia="en-AU"/>
        </w:rPr>
      </w:pPr>
      <w:r w:rsidRPr="00182564">
        <w:rPr>
          <w:rFonts w:eastAsia="Times New Roman"/>
          <w:lang w:eastAsia="en-AU"/>
        </w:rPr>
        <w:t>Credible pathways to potential harm that were considered included exposure of people or animals to the GM chrysanthemum cut flowers, transfer of the introduced genetic material to sexually compatible plants, and accidental or deliberate propagation of the GM chrysanthemums. The potential harms considered were increased toxicity, allergenicity or weediness of the GM chrysanthemums compared to unmodified plants.</w:t>
      </w:r>
    </w:p>
    <w:p w14:paraId="7BEC313B" w14:textId="77777777" w:rsidR="00182564" w:rsidRPr="00182564" w:rsidRDefault="00182564" w:rsidP="00182564">
      <w:pPr>
        <w:spacing w:before="120" w:after="120"/>
        <w:rPr>
          <w:rFonts w:eastAsia="Times New Roman"/>
          <w:lang w:eastAsia="en-AU"/>
        </w:rPr>
      </w:pPr>
      <w:r w:rsidRPr="00182564">
        <w:rPr>
          <w:rFonts w:eastAsia="Times New Roman"/>
          <w:lang w:eastAsia="en-AU"/>
        </w:rPr>
        <w:t>The principal reasons for the conclusion of negligible risks are that the GM chrysanthemums will not be used in commercial human food or animal feed, pollinators would have little access to pollen from the GM chrysanthemum cut flowers, imported chrysanthemum cut flowers must be devitalised, the introduced proteins and their pigment products are not expected to be toxic or allergenic, and chrysanthemums have very low potential to survive outside cultivation.</w:t>
      </w:r>
    </w:p>
    <w:p w14:paraId="2F298C36" w14:textId="77777777" w:rsidR="00182564" w:rsidRPr="00182564" w:rsidRDefault="00182564" w:rsidP="00182564">
      <w:pPr>
        <w:keepNext/>
        <w:tabs>
          <w:tab w:val="left" w:pos="1418"/>
        </w:tabs>
        <w:spacing w:before="240" w:after="60"/>
        <w:ind w:left="1418" w:hanging="1418"/>
        <w:outlineLvl w:val="1"/>
        <w:rPr>
          <w:rFonts w:eastAsia="Times New Roman"/>
          <w:b/>
          <w:i/>
          <w:sz w:val="28"/>
          <w:szCs w:val="28"/>
          <w:lang w:eastAsia="en-AU"/>
        </w:rPr>
      </w:pPr>
      <w:bookmarkStart w:id="16" w:name="_Toc122430628"/>
      <w:r w:rsidRPr="00182564">
        <w:rPr>
          <w:rFonts w:eastAsia="Times New Roman"/>
          <w:b/>
          <w:i/>
          <w:sz w:val="28"/>
          <w:szCs w:val="28"/>
          <w:lang w:eastAsia="en-AU"/>
        </w:rPr>
        <w:t>Risk ma</w:t>
      </w:r>
      <w:bookmarkStart w:id="17" w:name="_Toc209859549"/>
      <w:bookmarkStart w:id="18" w:name="_Toc342042137"/>
      <w:bookmarkStart w:id="19" w:name="_Toc291151778"/>
      <w:bookmarkStart w:id="20" w:name="_Toc274904728"/>
      <w:r w:rsidRPr="00182564">
        <w:rPr>
          <w:rFonts w:eastAsia="Times New Roman"/>
          <w:b/>
          <w:i/>
          <w:sz w:val="28"/>
          <w:szCs w:val="28"/>
          <w:lang w:eastAsia="en-AU"/>
        </w:rPr>
        <w:t>nagement</w:t>
      </w:r>
      <w:bookmarkEnd w:id="16"/>
      <w:bookmarkEnd w:id="17"/>
      <w:bookmarkEnd w:id="18"/>
      <w:bookmarkEnd w:id="19"/>
      <w:bookmarkEnd w:id="20"/>
    </w:p>
    <w:p w14:paraId="67F4BD1F" w14:textId="77777777" w:rsidR="00182564" w:rsidRPr="00182564" w:rsidRDefault="00182564" w:rsidP="00182564">
      <w:pPr>
        <w:spacing w:before="120" w:after="120"/>
        <w:rPr>
          <w:rFonts w:eastAsia="Times New Roman"/>
          <w:bCs/>
          <w:lang w:eastAsia="en-AU"/>
        </w:rPr>
      </w:pPr>
      <w:r w:rsidRPr="00182564">
        <w:rPr>
          <w:rFonts w:eastAsia="Times New Roman"/>
          <w:lang w:eastAsia="en-AU"/>
        </w:rPr>
        <w:t xml:space="preserve">The risk management plan concludes that risks from the proposed dealings can be managed </w:t>
      </w:r>
      <w:proofErr w:type="gramStart"/>
      <w:r w:rsidRPr="00182564">
        <w:rPr>
          <w:rFonts w:eastAsia="Times New Roman"/>
          <w:lang w:eastAsia="en-AU"/>
        </w:rPr>
        <w:t>so as to</w:t>
      </w:r>
      <w:proofErr w:type="gramEnd"/>
      <w:r w:rsidRPr="00182564">
        <w:rPr>
          <w:rFonts w:eastAsia="Times New Roman"/>
          <w:lang w:eastAsia="en-AU"/>
        </w:rPr>
        <w:t xml:space="preserve"> protect people and the environment by imposing general conditions to ensure that there is ongoing oversight of the release.</w:t>
      </w:r>
    </w:p>
    <w:p w14:paraId="33082F5F" w14:textId="77777777" w:rsidR="00182564" w:rsidRPr="00182564" w:rsidRDefault="00182564" w:rsidP="00182564">
      <w:pPr>
        <w:spacing w:before="120" w:after="120"/>
        <w:rPr>
          <w:rFonts w:eastAsia="Times New Roman"/>
          <w:lang w:eastAsia="en-AU"/>
        </w:rPr>
      </w:pPr>
      <w:r w:rsidRPr="00182564">
        <w:rPr>
          <w:rFonts w:eastAsia="Times New Roman"/>
          <w:lang w:eastAsia="en-AU"/>
        </w:rP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5C0E1292" w14:textId="77777777" w:rsidR="00182564" w:rsidRPr="00182564" w:rsidRDefault="00182564" w:rsidP="00182564">
      <w:pPr>
        <w:spacing w:before="120" w:after="120"/>
        <w:rPr>
          <w:rFonts w:eastAsia="Times New Roman"/>
          <w:lang w:eastAsia="en-AU"/>
        </w:rPr>
      </w:pPr>
      <w:bookmarkStart w:id="21" w:name="_Toc342042138"/>
      <w:bookmarkStart w:id="22" w:name="_Toc291151780"/>
      <w:bookmarkStart w:id="23" w:name="_Toc274904730"/>
      <w:bookmarkStart w:id="24" w:name="_Toc209859551"/>
      <w:r w:rsidRPr="00182564">
        <w:rPr>
          <w:rFonts w:eastAsia="Times New Roman"/>
          <w:lang w:eastAsia="en-AU"/>
        </w:rPr>
        <w:t xml:space="preserve">As the level of risk is assessed as negligible, specific risk treatment is not required. However, the Regulator has imposed licence conditions regarding post-release review (PRR) to ensure that there is ongoing oversight of the release and to allow the collection of information to verify the findings of the RARMP. The licence also contains </w:t>
      </w:r>
      <w:proofErr w:type="gramStart"/>
      <w:r w:rsidRPr="00182564">
        <w:rPr>
          <w:rFonts w:eastAsia="Times New Roman"/>
          <w:lang w:eastAsia="en-AU"/>
        </w:rPr>
        <w:t>a number of</w:t>
      </w:r>
      <w:proofErr w:type="gramEnd"/>
      <w:r w:rsidRPr="00182564">
        <w:rPr>
          <w:rFonts w:eastAsia="Times New Roman"/>
          <w:lang w:eastAsia="en-AU"/>
        </w:rPr>
        <w:t xml:space="preserve"> general conditions relating to ongoing licence holder suitability, auditing and monitoring, and reporting requirements, which include an obligation to report any unintended effects.</w:t>
      </w:r>
      <w:bookmarkEnd w:id="21"/>
      <w:bookmarkEnd w:id="22"/>
      <w:bookmarkEnd w:id="23"/>
      <w:bookmarkEnd w:id="24"/>
    </w:p>
    <w:p w14:paraId="67386805" w14:textId="77777777" w:rsidR="001D2F5F" w:rsidRDefault="001D2F5F"/>
    <w:sectPr w:rsidR="001D2F5F" w:rsidSect="001D2F5F">
      <w:foot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BB59" w14:textId="77777777" w:rsidR="003A4467" w:rsidRDefault="003A4467" w:rsidP="001D2F5F">
      <w:r>
        <w:separator/>
      </w:r>
    </w:p>
  </w:endnote>
  <w:endnote w:type="continuationSeparator" w:id="0">
    <w:p w14:paraId="28D4B2DE" w14:textId="77777777" w:rsidR="003A4467" w:rsidRDefault="003A4467" w:rsidP="001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729A" w14:textId="101BA1F8" w:rsidR="001D2F5F" w:rsidRPr="005F6834" w:rsidRDefault="001D2F5F" w:rsidP="001D2F5F">
    <w:pPr>
      <w:pBdr>
        <w:top w:val="single" w:sz="4" w:space="1" w:color="auto"/>
      </w:pBdr>
      <w:jc w:val="center"/>
      <w:rPr>
        <w:rFonts w:asciiTheme="minorHAnsi" w:hAnsiTheme="minorHAnsi" w:cstheme="minorHAnsi"/>
        <w:sz w:val="20"/>
        <w:szCs w:val="22"/>
      </w:rPr>
    </w:pPr>
    <w:r w:rsidRPr="005F6834">
      <w:rPr>
        <w:rFonts w:asciiTheme="minorHAnsi" w:hAnsiTheme="minorHAnsi" w:cstheme="minorHAnsi"/>
        <w:sz w:val="20"/>
        <w:szCs w:val="22"/>
      </w:rPr>
      <w:t>Address: MDP 54 GPO Box 9848, Canberra ACT 2601</w:t>
    </w:r>
    <w:r w:rsidRPr="005F6834">
      <w:rPr>
        <w:rFonts w:asciiTheme="minorHAnsi" w:hAnsiTheme="minorHAnsi" w:cstheme="minorHAnsi"/>
        <w:sz w:val="20"/>
        <w:szCs w:val="22"/>
      </w:rPr>
      <w:tab/>
      <w:t>Website: www.ogtr.gov.au</w:t>
    </w:r>
  </w:p>
  <w:p w14:paraId="1AF446CD" w14:textId="0AF2B608" w:rsidR="001D2F5F" w:rsidRPr="001D2F5F" w:rsidRDefault="001D2F5F" w:rsidP="001D2F5F">
    <w:pPr>
      <w:jc w:val="center"/>
      <w:rPr>
        <w:rFonts w:asciiTheme="minorHAnsi" w:hAnsiTheme="minorHAnsi" w:cstheme="minorHAnsi"/>
      </w:rPr>
    </w:pPr>
    <w:r w:rsidRPr="005F6834">
      <w:rPr>
        <w:rFonts w:asciiTheme="minorHAnsi" w:hAnsiTheme="minorHAnsi" w:cstheme="minorHAnsi"/>
        <w:sz w:val="20"/>
        <w:szCs w:val="22"/>
      </w:rPr>
      <w:t>Telephone: 1800 181 030</w:t>
    </w:r>
    <w:r w:rsidRPr="005F6834">
      <w:rPr>
        <w:rFonts w:asciiTheme="minorHAnsi" w:hAnsiTheme="minorHAnsi" w:cstheme="minorHAnsi"/>
        <w:sz w:val="20"/>
        <w:szCs w:val="22"/>
      </w:rPr>
      <w:tab/>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B4FF" w14:textId="77777777" w:rsidR="003A4467" w:rsidRDefault="003A4467" w:rsidP="001D2F5F">
      <w:r>
        <w:separator/>
      </w:r>
    </w:p>
  </w:footnote>
  <w:footnote w:type="continuationSeparator" w:id="0">
    <w:p w14:paraId="5CC5A39C" w14:textId="77777777" w:rsidR="003A4467" w:rsidRDefault="003A4467" w:rsidP="001D2F5F">
      <w:r>
        <w:continuationSeparator/>
      </w:r>
    </w:p>
  </w:footnote>
  <w:footnote w:id="1">
    <w:p w14:paraId="22EB5AAF" w14:textId="77777777" w:rsidR="00182564" w:rsidRPr="007E32E3" w:rsidRDefault="00182564" w:rsidP="00182564">
      <w:pPr>
        <w:pStyle w:val="FootnoteText"/>
        <w:spacing w:before="60"/>
      </w:pPr>
      <w:r w:rsidRPr="00182564">
        <w:rPr>
          <w:rStyle w:val="FootnoteReference"/>
        </w:rPr>
        <w:footnoteRef/>
      </w:r>
      <w:r w:rsidRPr="00B64F0D">
        <w:t xml:space="preserve"> </w:t>
      </w:r>
      <w:r w:rsidRPr="0019256A">
        <w:t>The title of the licence application submitted by International Flower Developments Pty Ltd is “Application for commercial import of flowers of five genetically modified chrysanthemum varieties; 2B, 3C, 4A, 5A and 8D”.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F0E7" w14:textId="5EF72A32" w:rsidR="00053BE3" w:rsidRDefault="00053BE3">
    <w:pPr>
      <w:pStyle w:val="Header"/>
    </w:pPr>
    <w:r>
      <w:rPr>
        <w:noProof/>
      </w:rPr>
      <w:drawing>
        <wp:inline distT="0" distB="0" distL="0" distR="0" wp14:anchorId="0FCBE438" wp14:editId="1BFEE467">
          <wp:extent cx="3348000" cy="767451"/>
          <wp:effectExtent l="0" t="0" r="508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000" cy="767451"/>
                  </a:xfrm>
                  <a:prstGeom prst="rect">
                    <a:avLst/>
                  </a:prstGeom>
                </pic:spPr>
              </pic:pic>
            </a:graphicData>
          </a:graphic>
        </wp:inline>
      </w:drawing>
    </w:r>
  </w:p>
  <w:p w14:paraId="4B1A99EE" w14:textId="7C350668" w:rsidR="005E0CC7" w:rsidRDefault="00182564" w:rsidP="005E0CC7">
    <w:pPr>
      <w:pStyle w:val="Header"/>
      <w:jc w:val="right"/>
    </w:pPr>
    <w:r>
      <w:t>February</w:t>
    </w:r>
    <w:r w:rsidR="005E0CC7" w:rsidRPr="005E0CC7">
      <w:t xml:space="preserve">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5F"/>
    <w:rsid w:val="00053BE3"/>
    <w:rsid w:val="000D26D9"/>
    <w:rsid w:val="00182564"/>
    <w:rsid w:val="001D2F5F"/>
    <w:rsid w:val="003A4467"/>
    <w:rsid w:val="005E0CC7"/>
    <w:rsid w:val="007E688F"/>
    <w:rsid w:val="00916AD9"/>
    <w:rsid w:val="009A69F0"/>
    <w:rsid w:val="00A71BD1"/>
    <w:rsid w:val="00CD0F83"/>
    <w:rsid w:val="00E55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5C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2F5F"/>
    <w:pPr>
      <w:spacing w:after="0" w:line="240" w:lineRule="auto"/>
    </w:pPr>
    <w:rPr>
      <w:rFonts w:ascii="Calibri" w:eastAsiaTheme="minorEastAsia" w:hAnsi="Calibri" w:cs="Times New Roman"/>
      <w:szCs w:val="24"/>
    </w:rPr>
  </w:style>
  <w:style w:type="paragraph" w:styleId="Heading1">
    <w:name w:val="heading 1"/>
    <w:basedOn w:val="Normal"/>
    <w:next w:val="Normal"/>
    <w:link w:val="Heading1Char"/>
    <w:qFormat/>
    <w:rsid w:val="001D2F5F"/>
    <w:pPr>
      <w:keepNext/>
      <w:spacing w:before="240" w:after="60"/>
      <w:outlineLvl w:val="0"/>
    </w:pPr>
    <w:rPr>
      <w:rFonts w:cs="Arial"/>
      <w:b/>
      <w:bCs/>
      <w:kern w:val="28"/>
      <w:sz w:val="36"/>
      <w:szCs w:val="32"/>
    </w:rPr>
  </w:style>
  <w:style w:type="paragraph" w:styleId="Heading2">
    <w:name w:val="heading 2"/>
    <w:basedOn w:val="Normal"/>
    <w:next w:val="Normal"/>
    <w:link w:val="Heading2Char"/>
    <w:uiPriority w:val="9"/>
    <w:semiHidden/>
    <w:unhideWhenUsed/>
    <w:qFormat/>
    <w:rsid w:val="00053B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F5F"/>
    <w:rPr>
      <w:rFonts w:ascii="Calibri" w:eastAsiaTheme="minorEastAsia" w:hAnsi="Calibri" w:cs="Arial"/>
      <w:b/>
      <w:bCs/>
      <w:kern w:val="28"/>
      <w:sz w:val="36"/>
      <w:szCs w:val="32"/>
    </w:rPr>
  </w:style>
  <w:style w:type="paragraph" w:customStyle="1" w:styleId="RIGHTLIST">
    <w:name w:val="RIGHTLIST"/>
    <w:basedOn w:val="Normal"/>
    <w:rsid w:val="001D2F5F"/>
    <w:pPr>
      <w:keepNext/>
      <w:tabs>
        <w:tab w:val="right" w:leader="dot" w:pos="9356"/>
      </w:tabs>
      <w:spacing w:before="80" w:after="40"/>
    </w:pPr>
    <w:rPr>
      <w:rFonts w:ascii="Times New Roman" w:eastAsia="Times New Roman" w:hAnsi="Times New Roman"/>
      <w:szCs w:val="22"/>
      <w:lang w:eastAsia="en-AU"/>
    </w:rPr>
  </w:style>
  <w:style w:type="paragraph" w:customStyle="1" w:styleId="LEFTLIST">
    <w:name w:val="LEFTLIST"/>
    <w:basedOn w:val="Heading1"/>
    <w:rsid w:val="001D2F5F"/>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styleId="Header">
    <w:name w:val="header"/>
    <w:basedOn w:val="Normal"/>
    <w:link w:val="HeaderChar"/>
    <w:uiPriority w:val="99"/>
    <w:unhideWhenUsed/>
    <w:rsid w:val="001D2F5F"/>
    <w:pPr>
      <w:tabs>
        <w:tab w:val="center" w:pos="4513"/>
        <w:tab w:val="right" w:pos="9026"/>
      </w:tabs>
    </w:pPr>
  </w:style>
  <w:style w:type="character" w:customStyle="1" w:styleId="HeaderChar">
    <w:name w:val="Header Char"/>
    <w:basedOn w:val="DefaultParagraphFont"/>
    <w:link w:val="Header"/>
    <w:uiPriority w:val="99"/>
    <w:rsid w:val="001D2F5F"/>
    <w:rPr>
      <w:rFonts w:ascii="Calibri" w:eastAsiaTheme="minorEastAsia" w:hAnsi="Calibri" w:cs="Times New Roman"/>
      <w:szCs w:val="24"/>
    </w:rPr>
  </w:style>
  <w:style w:type="paragraph" w:styleId="Footer">
    <w:name w:val="footer"/>
    <w:basedOn w:val="Normal"/>
    <w:link w:val="FooterChar"/>
    <w:uiPriority w:val="99"/>
    <w:unhideWhenUsed/>
    <w:rsid w:val="001D2F5F"/>
    <w:pPr>
      <w:tabs>
        <w:tab w:val="center" w:pos="4513"/>
        <w:tab w:val="right" w:pos="9026"/>
      </w:tabs>
    </w:pPr>
  </w:style>
  <w:style w:type="character" w:customStyle="1" w:styleId="FooterChar">
    <w:name w:val="Footer Char"/>
    <w:basedOn w:val="DefaultParagraphFont"/>
    <w:link w:val="Footer"/>
    <w:uiPriority w:val="99"/>
    <w:rsid w:val="001D2F5F"/>
    <w:rPr>
      <w:rFonts w:ascii="Calibri" w:eastAsiaTheme="minorEastAsia" w:hAnsi="Calibri" w:cs="Times New Roman"/>
      <w:szCs w:val="24"/>
    </w:rPr>
  </w:style>
  <w:style w:type="character" w:customStyle="1" w:styleId="Heading2Char">
    <w:name w:val="Heading 2 Char"/>
    <w:basedOn w:val="DefaultParagraphFont"/>
    <w:link w:val="Heading2"/>
    <w:uiPriority w:val="9"/>
    <w:semiHidden/>
    <w:rsid w:val="00053BE3"/>
    <w:rPr>
      <w:rFonts w:asciiTheme="majorHAnsi" w:eastAsiaTheme="majorEastAsia" w:hAnsiTheme="majorHAnsi" w:cstheme="majorBidi"/>
      <w:color w:val="2F5496" w:themeColor="accent1" w:themeShade="BF"/>
      <w:sz w:val="26"/>
      <w:szCs w:val="26"/>
    </w:rPr>
  </w:style>
  <w:style w:type="character" w:styleId="FootnoteReference">
    <w:name w:val="footnote reference"/>
    <w:rsid w:val="00053BE3"/>
    <w:rPr>
      <w:vertAlign w:val="superscript"/>
    </w:rPr>
  </w:style>
  <w:style w:type="character" w:customStyle="1" w:styleId="ListParagraphChar">
    <w:name w:val="List Paragraph Char"/>
    <w:basedOn w:val="DefaultParagraphFont"/>
    <w:link w:val="ListParagraph"/>
    <w:uiPriority w:val="34"/>
    <w:rsid w:val="00053BE3"/>
    <w:rPr>
      <w:rFonts w:ascii="Calibri" w:hAnsi="Calibri"/>
      <w:szCs w:val="24"/>
    </w:rPr>
  </w:style>
  <w:style w:type="paragraph" w:styleId="ListParagraph">
    <w:name w:val="List Paragraph"/>
    <w:basedOn w:val="Normal"/>
    <w:link w:val="ListParagraphChar"/>
    <w:uiPriority w:val="34"/>
    <w:qFormat/>
    <w:rsid w:val="00053BE3"/>
    <w:pPr>
      <w:spacing w:before="120" w:after="120"/>
      <w:ind w:left="720"/>
    </w:pPr>
    <w:rPr>
      <w:rFonts w:eastAsiaTheme="minorHAnsi" w:cstheme="minorBidi"/>
    </w:rPr>
  </w:style>
  <w:style w:type="paragraph" w:styleId="FootnoteText">
    <w:name w:val="footnote text"/>
    <w:basedOn w:val="Normal"/>
    <w:link w:val="FootnoteTextChar"/>
    <w:rsid w:val="00053BE3"/>
    <w:rPr>
      <w:rFonts w:eastAsia="Times New Roman"/>
      <w:sz w:val="20"/>
      <w:szCs w:val="20"/>
      <w:lang w:eastAsia="en-AU"/>
    </w:rPr>
  </w:style>
  <w:style w:type="character" w:customStyle="1" w:styleId="FootnoteTextChar">
    <w:name w:val="Footnote Text Char"/>
    <w:basedOn w:val="DefaultParagraphFont"/>
    <w:link w:val="FootnoteText"/>
    <w:rsid w:val="00053BE3"/>
    <w:rPr>
      <w:rFonts w:ascii="Calibri" w:eastAsia="Times New Roman" w:hAnsi="Calibri"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191 - Summary of Risk Assessment and Risk Management Plan</dc:title>
  <dc:subject/>
  <dc:creator/>
  <cp:keywords/>
  <dc:description/>
  <cp:lastModifiedBy/>
  <cp:revision>1</cp:revision>
  <dcterms:created xsi:type="dcterms:W3CDTF">2023-02-07T22:49:00Z</dcterms:created>
  <dcterms:modified xsi:type="dcterms:W3CDTF">2023-02-07T22:49:00Z</dcterms:modified>
</cp:coreProperties>
</file>