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CA6E" w14:textId="0830EA1C" w:rsidR="00E65BD3" w:rsidRDefault="00C57187" w:rsidP="00605FE8">
      <w:pPr>
        <w:spacing w:before="240" w:after="120" w:line="0" w:lineRule="atLeast"/>
        <w:jc w:val="center"/>
        <w:rPr>
          <w:rFonts w:ascii="Arial" w:eastAsiaTheme="minorHAnsi" w:hAnsi="Arial"/>
          <w:b/>
          <w:sz w:val="28"/>
        </w:rPr>
      </w:pPr>
      <w:r>
        <w:rPr>
          <w:rFonts w:ascii="Arial" w:eastAsiaTheme="minorHAnsi" w:hAnsi="Arial"/>
          <w:b/>
          <w:sz w:val="28"/>
        </w:rPr>
        <w:t xml:space="preserve">Guidance </w:t>
      </w:r>
      <w:r w:rsidR="003E422E">
        <w:rPr>
          <w:rFonts w:ascii="Arial" w:eastAsiaTheme="minorHAnsi" w:hAnsi="Arial"/>
          <w:b/>
          <w:sz w:val="28"/>
        </w:rPr>
        <w:t>for conducting</w:t>
      </w:r>
      <w:r>
        <w:rPr>
          <w:rFonts w:ascii="Arial" w:eastAsiaTheme="minorHAnsi" w:hAnsi="Arial"/>
          <w:b/>
          <w:sz w:val="28"/>
        </w:rPr>
        <w:t xml:space="preserve"> </w:t>
      </w:r>
      <w:r w:rsidR="00BC14E2">
        <w:rPr>
          <w:rFonts w:ascii="Arial" w:eastAsiaTheme="minorHAnsi" w:hAnsi="Arial"/>
          <w:b/>
          <w:sz w:val="28"/>
        </w:rPr>
        <w:t xml:space="preserve">human </w:t>
      </w:r>
      <w:r>
        <w:rPr>
          <w:rFonts w:ascii="Arial" w:eastAsiaTheme="minorHAnsi" w:hAnsi="Arial"/>
          <w:b/>
          <w:sz w:val="28"/>
        </w:rPr>
        <w:t>clinical trials involving GMOs</w:t>
      </w:r>
    </w:p>
    <w:p w14:paraId="6ECEA61F" w14:textId="24DAED17" w:rsidR="00C70A69" w:rsidRPr="00F10B5E" w:rsidRDefault="00C70A69" w:rsidP="00605FE8">
      <w:pPr>
        <w:spacing w:line="0" w:lineRule="atLeast"/>
        <w:jc w:val="center"/>
        <w:rPr>
          <w:rFonts w:eastAsiaTheme="minorHAnsi"/>
          <w:b/>
          <w:bCs/>
          <w:i/>
          <w:iCs/>
          <w:sz w:val="24"/>
          <w:szCs w:val="28"/>
        </w:rPr>
      </w:pPr>
      <w:r w:rsidRPr="00F10B5E">
        <w:rPr>
          <w:rFonts w:eastAsiaTheme="minorHAnsi"/>
          <w:b/>
          <w:bCs/>
          <w:sz w:val="24"/>
          <w:szCs w:val="28"/>
        </w:rPr>
        <w:t xml:space="preserve">Requirements under the </w:t>
      </w:r>
      <w:r w:rsidRPr="00F10B5E">
        <w:rPr>
          <w:rFonts w:eastAsiaTheme="minorHAnsi"/>
          <w:b/>
          <w:bCs/>
          <w:i/>
          <w:iCs/>
          <w:sz w:val="24"/>
          <w:szCs w:val="28"/>
        </w:rPr>
        <w:t>Gene Technology Act 2000</w:t>
      </w:r>
    </w:p>
    <w:p w14:paraId="4FC7A00B" w14:textId="1DD8FD19" w:rsidR="00645080" w:rsidRPr="00A13FB0" w:rsidRDefault="000C4441" w:rsidP="003E422E">
      <w:pPr>
        <w:spacing w:before="120" w:after="120"/>
        <w:rPr>
          <w:rFonts w:eastAsiaTheme="minorHAnsi"/>
        </w:rPr>
      </w:pPr>
      <w:r w:rsidRPr="00A13FB0">
        <w:rPr>
          <w:rFonts w:eastAsiaTheme="minorHAnsi"/>
        </w:rPr>
        <w:t xml:space="preserve">This </w:t>
      </w:r>
      <w:r w:rsidR="005D5287" w:rsidRPr="00A13FB0">
        <w:rPr>
          <w:rFonts w:eastAsiaTheme="minorHAnsi"/>
        </w:rPr>
        <w:t>guidance</w:t>
      </w:r>
      <w:r w:rsidR="00DB5C97" w:rsidRPr="00A13FB0">
        <w:rPr>
          <w:rFonts w:eastAsiaTheme="minorHAnsi"/>
        </w:rPr>
        <w:t xml:space="preserve"> provide</w:t>
      </w:r>
      <w:r w:rsidRPr="00A13FB0">
        <w:rPr>
          <w:rFonts w:eastAsiaTheme="minorHAnsi"/>
        </w:rPr>
        <w:t>s</w:t>
      </w:r>
      <w:r w:rsidR="00DB5C97" w:rsidRPr="00A13FB0">
        <w:rPr>
          <w:rFonts w:eastAsiaTheme="minorHAnsi"/>
        </w:rPr>
        <w:t xml:space="preserve"> </w:t>
      </w:r>
      <w:r w:rsidR="005D5287" w:rsidRPr="00A13FB0">
        <w:rPr>
          <w:rFonts w:eastAsiaTheme="minorHAnsi"/>
        </w:rPr>
        <w:t>basic information</w:t>
      </w:r>
      <w:r w:rsidR="009A6774" w:rsidRPr="00A13FB0">
        <w:rPr>
          <w:rFonts w:eastAsiaTheme="minorHAnsi"/>
        </w:rPr>
        <w:t xml:space="preserve"> </w:t>
      </w:r>
      <w:r w:rsidR="00DA4764" w:rsidRPr="00A13FB0">
        <w:rPr>
          <w:rFonts w:eastAsiaTheme="minorHAnsi"/>
        </w:rPr>
        <w:t xml:space="preserve">to organisations wishing to conduct </w:t>
      </w:r>
      <w:r w:rsidR="00122966" w:rsidRPr="00A13FB0">
        <w:rPr>
          <w:rFonts w:eastAsiaTheme="minorHAnsi"/>
        </w:rPr>
        <w:t xml:space="preserve">human </w:t>
      </w:r>
      <w:r w:rsidR="00DA4764" w:rsidRPr="00A13FB0">
        <w:rPr>
          <w:rFonts w:eastAsiaTheme="minorHAnsi"/>
        </w:rPr>
        <w:t>clinical trial</w:t>
      </w:r>
      <w:r w:rsidR="005E6102">
        <w:rPr>
          <w:rFonts w:eastAsiaTheme="minorHAnsi"/>
        </w:rPr>
        <w:t>s</w:t>
      </w:r>
      <w:r w:rsidR="005E6102" w:rsidRPr="005E6102">
        <w:rPr>
          <w:rFonts w:eastAsiaTheme="minorHAnsi"/>
        </w:rPr>
        <w:t xml:space="preserve"> </w:t>
      </w:r>
      <w:r w:rsidR="005E6102" w:rsidRPr="00A13FB0">
        <w:rPr>
          <w:rFonts w:eastAsiaTheme="minorHAnsi"/>
        </w:rPr>
        <w:t xml:space="preserve">in Australia </w:t>
      </w:r>
      <w:r w:rsidR="00C16FF7">
        <w:rPr>
          <w:rFonts w:eastAsiaTheme="minorHAnsi"/>
        </w:rPr>
        <w:t>with</w:t>
      </w:r>
      <w:r w:rsidR="00C16FF7" w:rsidRPr="00A13FB0">
        <w:rPr>
          <w:rFonts w:eastAsiaTheme="minorHAnsi"/>
        </w:rPr>
        <w:t xml:space="preserve"> </w:t>
      </w:r>
      <w:r w:rsidR="001A3ACC" w:rsidRPr="00A13FB0">
        <w:rPr>
          <w:rFonts w:eastAsiaTheme="minorHAnsi"/>
        </w:rPr>
        <w:t xml:space="preserve">an </w:t>
      </w:r>
      <w:r w:rsidR="00440FFB">
        <w:rPr>
          <w:rFonts w:eastAsiaTheme="minorHAnsi"/>
        </w:rPr>
        <w:t>investigational</w:t>
      </w:r>
      <w:r w:rsidR="00440FFB" w:rsidRPr="00A13FB0">
        <w:rPr>
          <w:rFonts w:eastAsiaTheme="minorHAnsi"/>
        </w:rPr>
        <w:t xml:space="preserve"> </w:t>
      </w:r>
      <w:r w:rsidR="001A3ACC" w:rsidRPr="00A13FB0">
        <w:rPr>
          <w:rFonts w:eastAsiaTheme="minorHAnsi"/>
        </w:rPr>
        <w:t xml:space="preserve">product </w:t>
      </w:r>
      <w:r w:rsidR="00311D7D">
        <w:rPr>
          <w:rFonts w:eastAsiaTheme="minorHAnsi"/>
        </w:rPr>
        <w:t xml:space="preserve">(IP) </w:t>
      </w:r>
      <w:r w:rsidR="001A3ACC" w:rsidRPr="00A13FB0">
        <w:rPr>
          <w:rFonts w:eastAsiaTheme="minorHAnsi"/>
        </w:rPr>
        <w:t>that</w:t>
      </w:r>
      <w:r w:rsidR="00594C5C">
        <w:rPr>
          <w:rFonts w:eastAsiaTheme="minorHAnsi"/>
        </w:rPr>
        <w:t xml:space="preserve"> is, or</w:t>
      </w:r>
      <w:r w:rsidR="001A3ACC" w:rsidRPr="00A13FB0">
        <w:rPr>
          <w:rFonts w:eastAsiaTheme="minorHAnsi"/>
        </w:rPr>
        <w:t xml:space="preserve"> contains</w:t>
      </w:r>
      <w:r w:rsidR="00594C5C">
        <w:rPr>
          <w:rFonts w:eastAsiaTheme="minorHAnsi"/>
        </w:rPr>
        <w:t>,</w:t>
      </w:r>
      <w:r w:rsidR="00DA4764" w:rsidRPr="00A13FB0">
        <w:rPr>
          <w:rFonts w:eastAsiaTheme="minorHAnsi"/>
        </w:rPr>
        <w:t xml:space="preserve"> a genetically modified organism (</w:t>
      </w:r>
      <w:r w:rsidR="005E6102">
        <w:rPr>
          <w:rFonts w:eastAsiaTheme="minorHAnsi"/>
        </w:rPr>
        <w:t>GMO)</w:t>
      </w:r>
      <w:r w:rsidR="00DA4764" w:rsidRPr="00A13FB0">
        <w:rPr>
          <w:rFonts w:eastAsiaTheme="minorHAnsi"/>
        </w:rPr>
        <w:t xml:space="preserve">. </w:t>
      </w:r>
      <w:r w:rsidR="00645080">
        <w:rPr>
          <w:rFonts w:eastAsiaTheme="minorHAnsi"/>
        </w:rPr>
        <w:t xml:space="preserve">Such trials involve </w:t>
      </w:r>
      <w:hyperlink r:id="rId8" w:anchor="all-dealings-require-approval" w:history="1">
        <w:r w:rsidR="00645080" w:rsidRPr="00080CBF">
          <w:rPr>
            <w:rStyle w:val="Hyperlink"/>
            <w:rFonts w:eastAsiaTheme="minorHAnsi"/>
          </w:rPr>
          <w:t>dealings with GMOs</w:t>
        </w:r>
      </w:hyperlink>
      <w:r w:rsidR="00645080">
        <w:rPr>
          <w:rFonts w:eastAsiaTheme="minorHAnsi"/>
        </w:rPr>
        <w:t xml:space="preserve"> and these </w:t>
      </w:r>
      <w:r w:rsidR="0038026C">
        <w:rPr>
          <w:rFonts w:eastAsiaTheme="minorHAnsi"/>
        </w:rPr>
        <w:t xml:space="preserve">activities </w:t>
      </w:r>
      <w:r w:rsidR="00645080">
        <w:rPr>
          <w:rFonts w:eastAsiaTheme="minorHAnsi"/>
        </w:rPr>
        <w:t xml:space="preserve">are regulated </w:t>
      </w:r>
      <w:r w:rsidR="00645080" w:rsidRPr="00A13FB0">
        <w:rPr>
          <w:rFonts w:eastAsiaTheme="minorHAnsi"/>
        </w:rPr>
        <w:t xml:space="preserve">under the </w:t>
      </w:r>
      <w:r w:rsidR="00645080" w:rsidRPr="00A13FB0">
        <w:rPr>
          <w:rFonts w:eastAsiaTheme="minorHAnsi"/>
          <w:i/>
        </w:rPr>
        <w:t xml:space="preserve">Gene Technology Act 2000 </w:t>
      </w:r>
      <w:r w:rsidR="00645080" w:rsidRPr="00051457">
        <w:rPr>
          <w:rFonts w:eastAsiaTheme="minorHAnsi"/>
        </w:rPr>
        <w:t xml:space="preserve">(the GT Act) </w:t>
      </w:r>
      <w:r w:rsidR="00645080" w:rsidRPr="00A13FB0">
        <w:rPr>
          <w:rFonts w:eastAsiaTheme="minorHAnsi"/>
        </w:rPr>
        <w:t>and the Gene Technology Regulations 2001</w:t>
      </w:r>
      <w:r w:rsidR="00645080">
        <w:rPr>
          <w:rFonts w:eastAsiaTheme="minorHAnsi"/>
        </w:rPr>
        <w:t>.</w:t>
      </w:r>
      <w:r w:rsidR="008E244B">
        <w:rPr>
          <w:rFonts w:eastAsiaTheme="minorHAnsi"/>
        </w:rPr>
        <w:t xml:space="preserve"> </w:t>
      </w:r>
      <w:r w:rsidR="00645080">
        <w:rPr>
          <w:rFonts w:eastAsiaTheme="minorHAnsi"/>
        </w:rPr>
        <w:t>Th</w:t>
      </w:r>
      <w:r w:rsidR="00594C5C">
        <w:rPr>
          <w:rFonts w:eastAsiaTheme="minorHAnsi"/>
        </w:rPr>
        <w:t>is</w:t>
      </w:r>
      <w:r w:rsidR="00645080">
        <w:rPr>
          <w:rFonts w:eastAsiaTheme="minorHAnsi"/>
        </w:rPr>
        <w:t xml:space="preserve"> r</w:t>
      </w:r>
      <w:r w:rsidR="00DB5C97" w:rsidRPr="00A13FB0">
        <w:rPr>
          <w:rFonts w:eastAsiaTheme="minorHAnsi"/>
        </w:rPr>
        <w:t xml:space="preserve">egulatory </w:t>
      </w:r>
      <w:r w:rsidR="00594C5C">
        <w:rPr>
          <w:rFonts w:eastAsiaTheme="minorHAnsi"/>
        </w:rPr>
        <w:t>scheme is</w:t>
      </w:r>
      <w:r w:rsidR="004A48AE" w:rsidRPr="00A13FB0">
        <w:rPr>
          <w:rFonts w:eastAsiaTheme="minorHAnsi"/>
        </w:rPr>
        <w:t xml:space="preserve"> administered by the Gene Technology Regulator (the Regulator), </w:t>
      </w:r>
      <w:r w:rsidR="0021247B">
        <w:rPr>
          <w:rFonts w:eastAsiaTheme="minorHAnsi"/>
        </w:rPr>
        <w:t xml:space="preserve">who is </w:t>
      </w:r>
      <w:r w:rsidR="004A48AE" w:rsidRPr="00A13FB0">
        <w:rPr>
          <w:rFonts w:eastAsiaTheme="minorHAnsi"/>
        </w:rPr>
        <w:t>supported by the Office of the Gene Technology Regulator (OGTR).</w:t>
      </w:r>
      <w:r w:rsidR="008719F3" w:rsidRPr="00A13FB0">
        <w:rPr>
          <w:rFonts w:eastAsiaTheme="minorHAnsi"/>
        </w:rPr>
        <w:t xml:space="preserve"> </w:t>
      </w:r>
      <w:r w:rsidR="00080CBF">
        <w:rPr>
          <w:rFonts w:eastAsiaTheme="minorHAnsi"/>
        </w:rPr>
        <w:t>Conducting dealings</w:t>
      </w:r>
      <w:r w:rsidR="00594C5C">
        <w:rPr>
          <w:rFonts w:eastAsiaTheme="minorHAnsi"/>
        </w:rPr>
        <w:t xml:space="preserve"> without appropriate authorisation under the GT Act</w:t>
      </w:r>
      <w:r w:rsidR="00080CBF">
        <w:rPr>
          <w:rFonts w:eastAsiaTheme="minorHAnsi"/>
        </w:rPr>
        <w:t xml:space="preserve"> is an offence</w:t>
      </w:r>
      <w:r w:rsidR="00224CCA">
        <w:rPr>
          <w:rFonts w:eastAsiaTheme="minorHAnsi"/>
        </w:rPr>
        <w:t>,</w:t>
      </w:r>
      <w:r w:rsidR="00080CBF">
        <w:rPr>
          <w:rFonts w:eastAsiaTheme="minorHAnsi"/>
        </w:rPr>
        <w:t xml:space="preserve"> that is subject to penalties.</w:t>
      </w:r>
    </w:p>
    <w:p w14:paraId="0476D32A" w14:textId="66B2E62E" w:rsidR="00EB252F" w:rsidRPr="00A13FB0" w:rsidRDefault="00EB252F" w:rsidP="003E422E">
      <w:pPr>
        <w:spacing w:before="120" w:after="120"/>
        <w:rPr>
          <w:rFonts w:eastAsiaTheme="minorHAnsi"/>
        </w:rPr>
      </w:pPr>
      <w:r>
        <w:rPr>
          <w:rFonts w:eastAsiaTheme="minorHAnsi"/>
        </w:rPr>
        <w:t>Th</w:t>
      </w:r>
      <w:r w:rsidR="00080CBF">
        <w:rPr>
          <w:rFonts w:eastAsiaTheme="minorHAnsi"/>
        </w:rPr>
        <w:t xml:space="preserve">e advice in this document is </w:t>
      </w:r>
      <w:r>
        <w:rPr>
          <w:rFonts w:eastAsiaTheme="minorHAnsi"/>
        </w:rPr>
        <w:t xml:space="preserve">based on </w:t>
      </w:r>
      <w:r w:rsidR="00594C5C" w:rsidRPr="00594C5C">
        <w:rPr>
          <w:rFonts w:eastAsiaTheme="minorHAnsi"/>
        </w:rPr>
        <w:t xml:space="preserve">current regulatory requirements, which may change </w:t>
      </w:r>
      <w:r w:rsidR="00594C5C">
        <w:rPr>
          <w:rFonts w:eastAsiaTheme="minorHAnsi"/>
        </w:rPr>
        <w:t xml:space="preserve">in the future </w:t>
      </w:r>
      <w:r w:rsidR="00594C5C" w:rsidRPr="00594C5C">
        <w:rPr>
          <w:rFonts w:eastAsiaTheme="minorHAnsi"/>
        </w:rPr>
        <w:t>with advances in gene technology</w:t>
      </w:r>
      <w:r w:rsidR="00594C5C">
        <w:rPr>
          <w:rFonts w:eastAsiaTheme="minorHAnsi"/>
        </w:rPr>
        <w:t xml:space="preserve">. </w:t>
      </w:r>
      <w:r>
        <w:rPr>
          <w:rFonts w:eastAsiaTheme="minorHAnsi"/>
        </w:rPr>
        <w:t>To ensure the</w:t>
      </w:r>
      <w:r w:rsidR="00594C5C">
        <w:rPr>
          <w:rFonts w:eastAsiaTheme="minorHAnsi"/>
        </w:rPr>
        <w:t xml:space="preserve"> correct </w:t>
      </w:r>
      <w:r>
        <w:rPr>
          <w:rFonts w:eastAsiaTheme="minorHAnsi"/>
        </w:rPr>
        <w:t>authorisation</w:t>
      </w:r>
      <w:r w:rsidR="00594C5C">
        <w:rPr>
          <w:rFonts w:eastAsiaTheme="minorHAnsi"/>
        </w:rPr>
        <w:t xml:space="preserve"> </w:t>
      </w:r>
      <w:r w:rsidR="00FB6326">
        <w:rPr>
          <w:rFonts w:eastAsiaTheme="minorHAnsi"/>
        </w:rPr>
        <w:t>is obtained</w:t>
      </w:r>
      <w:r w:rsidR="000D36D7">
        <w:rPr>
          <w:rFonts w:eastAsiaTheme="minorHAnsi"/>
        </w:rPr>
        <w:t xml:space="preserve">, </w:t>
      </w:r>
      <w:r>
        <w:rPr>
          <w:rFonts w:eastAsiaTheme="minorHAnsi"/>
        </w:rPr>
        <w:t xml:space="preserve">sponsors are encouraged to seek advice </w:t>
      </w:r>
      <w:r w:rsidR="00594C5C">
        <w:rPr>
          <w:rFonts w:eastAsiaTheme="minorHAnsi"/>
        </w:rPr>
        <w:t>from</w:t>
      </w:r>
      <w:r>
        <w:rPr>
          <w:rFonts w:eastAsiaTheme="minorHAnsi"/>
        </w:rPr>
        <w:t xml:space="preserve"> an </w:t>
      </w:r>
      <w:r w:rsidR="00462492">
        <w:rPr>
          <w:rFonts w:eastAsiaTheme="minorHAnsi"/>
        </w:rPr>
        <w:t>institutional biosafety committee (IBC)</w:t>
      </w:r>
      <w:r>
        <w:rPr>
          <w:rFonts w:eastAsiaTheme="minorHAnsi"/>
        </w:rPr>
        <w:t xml:space="preserve"> and to discuss the application with the OGTR </w:t>
      </w:r>
      <w:r w:rsidR="000D36D7">
        <w:rPr>
          <w:rFonts w:eastAsiaTheme="minorHAnsi"/>
        </w:rPr>
        <w:t>(</w:t>
      </w:r>
      <w:hyperlink r:id="rId9" w:history="1">
        <w:r w:rsidR="00E87E46" w:rsidRPr="008F67E4">
          <w:rPr>
            <w:rStyle w:val="Hyperlink"/>
            <w:rFonts w:eastAsiaTheme="minorHAnsi"/>
          </w:rPr>
          <w:t>ogtr.cdes@health.gov.au</w:t>
        </w:r>
      </w:hyperlink>
      <w:r w:rsidR="000D36D7">
        <w:rPr>
          <w:rFonts w:eastAsiaTheme="minorHAnsi"/>
        </w:rPr>
        <w:t>)</w:t>
      </w:r>
      <w:r w:rsidR="000E31DF">
        <w:rPr>
          <w:rFonts w:eastAsiaTheme="minorHAnsi"/>
        </w:rPr>
        <w:t xml:space="preserve"> </w:t>
      </w:r>
      <w:r w:rsidR="00594C5C">
        <w:rPr>
          <w:rFonts w:eastAsiaTheme="minorHAnsi"/>
        </w:rPr>
        <w:t>before</w:t>
      </w:r>
      <w:r w:rsidR="000E31DF">
        <w:rPr>
          <w:rFonts w:eastAsiaTheme="minorHAnsi"/>
        </w:rPr>
        <w:t xml:space="preserve"> submission</w:t>
      </w:r>
      <w:r w:rsidR="000D36D7">
        <w:rPr>
          <w:rFonts w:eastAsiaTheme="minorHAnsi"/>
        </w:rPr>
        <w:t>.</w:t>
      </w:r>
    </w:p>
    <w:p w14:paraId="473BC473" w14:textId="3D6A34FF" w:rsidR="003E422E" w:rsidRPr="00A41AD6" w:rsidRDefault="003E422E" w:rsidP="003E422E">
      <w:pPr>
        <w:pStyle w:val="Heading1"/>
      </w:pPr>
      <w:r>
        <w:t xml:space="preserve">Human </w:t>
      </w:r>
      <w:r w:rsidRPr="00A41AD6">
        <w:t xml:space="preserve">clinical trials involving </w:t>
      </w:r>
      <w:r>
        <w:t xml:space="preserve">most types of </w:t>
      </w:r>
      <w:r w:rsidRPr="00A41AD6">
        <w:t>GMO require a licence</w:t>
      </w:r>
    </w:p>
    <w:p w14:paraId="5AEC4259" w14:textId="3BF64589" w:rsidR="003E422E" w:rsidRDefault="006E3273" w:rsidP="003E422E">
      <w:pPr>
        <w:spacing w:before="120" w:after="120"/>
        <w:rPr>
          <w:rFonts w:eastAsiaTheme="minorHAnsi"/>
        </w:rPr>
      </w:pPr>
      <w:r>
        <w:rPr>
          <w:rFonts w:eastAsiaTheme="minorHAnsi"/>
        </w:rPr>
        <w:t>T</w:t>
      </w:r>
      <w:r w:rsidR="003E422E">
        <w:rPr>
          <w:rFonts w:eastAsiaTheme="minorHAnsi"/>
        </w:rPr>
        <w:t>he introduction of a GMO into a person</w:t>
      </w:r>
      <w:r>
        <w:rPr>
          <w:rFonts w:eastAsiaTheme="minorHAnsi"/>
        </w:rPr>
        <w:t xml:space="preserve"> requires a licence from the Regulator</w:t>
      </w:r>
      <w:r w:rsidR="003E422E">
        <w:rPr>
          <w:rFonts w:eastAsiaTheme="minorHAnsi"/>
        </w:rPr>
        <w:t>, except where the GMO is a human somatic cell meeting specific criteria</w:t>
      </w:r>
      <w:r w:rsidR="00FB6326">
        <w:rPr>
          <w:rFonts w:eastAsiaTheme="minorHAnsi"/>
        </w:rPr>
        <w:t xml:space="preserve">, </w:t>
      </w:r>
      <w:r w:rsidR="0093115C">
        <w:rPr>
          <w:rFonts w:eastAsiaTheme="minorHAnsi"/>
        </w:rPr>
        <w:t>outlin</w:t>
      </w:r>
      <w:r w:rsidR="00FB6326">
        <w:rPr>
          <w:rFonts w:eastAsiaTheme="minorHAnsi"/>
        </w:rPr>
        <w:t>ed below</w:t>
      </w:r>
      <w:r w:rsidR="003E422E">
        <w:rPr>
          <w:rFonts w:eastAsiaTheme="minorHAnsi"/>
        </w:rPr>
        <w:t>.</w:t>
      </w:r>
    </w:p>
    <w:p w14:paraId="34BA309E" w14:textId="71D665B8" w:rsidR="003E422E" w:rsidRPr="00C57187" w:rsidRDefault="003E422E" w:rsidP="003E422E">
      <w:pPr>
        <w:pStyle w:val="Heading2"/>
        <w:spacing w:before="120" w:after="120" w:line="0" w:lineRule="atLeast"/>
      </w:pPr>
      <w:r>
        <w:t>Genetically m</w:t>
      </w:r>
      <w:r w:rsidRPr="00C57187">
        <w:t>odified human somatic cells</w:t>
      </w:r>
    </w:p>
    <w:p w14:paraId="65E7E088" w14:textId="20FA576E" w:rsidR="003E422E" w:rsidRDefault="003E422E" w:rsidP="003E422E">
      <w:pPr>
        <w:spacing w:before="120" w:after="120"/>
        <w:rPr>
          <w:rFonts w:eastAsiaTheme="minorHAnsi"/>
        </w:rPr>
      </w:pPr>
      <w:r>
        <w:rPr>
          <w:rFonts w:eastAsiaTheme="minorHAnsi"/>
        </w:rPr>
        <w:t xml:space="preserve">Introduction of </w:t>
      </w:r>
      <w:r w:rsidRPr="00A13FB0">
        <w:rPr>
          <w:rFonts w:eastAsiaTheme="minorHAnsi"/>
        </w:rPr>
        <w:t>GM human somatic cell</w:t>
      </w:r>
      <w:r>
        <w:rPr>
          <w:rFonts w:eastAsiaTheme="minorHAnsi"/>
        </w:rPr>
        <w:t>s</w:t>
      </w:r>
      <w:r w:rsidRPr="00A13FB0">
        <w:rPr>
          <w:rFonts w:eastAsiaTheme="minorHAnsi"/>
        </w:rPr>
        <w:t xml:space="preserve">, including </w:t>
      </w:r>
      <w:r>
        <w:rPr>
          <w:rFonts w:eastAsiaTheme="minorHAnsi"/>
        </w:rPr>
        <w:t>re-introduction of</w:t>
      </w:r>
      <w:r w:rsidRPr="00A13FB0">
        <w:rPr>
          <w:rFonts w:eastAsiaTheme="minorHAnsi"/>
        </w:rPr>
        <w:t xml:space="preserve"> </w:t>
      </w:r>
      <w:r>
        <w:rPr>
          <w:rFonts w:eastAsiaTheme="minorHAnsi"/>
        </w:rPr>
        <w:t xml:space="preserve">GM </w:t>
      </w:r>
      <w:r w:rsidRPr="00A13FB0">
        <w:rPr>
          <w:rFonts w:eastAsiaTheme="minorHAnsi"/>
        </w:rPr>
        <w:t>autologous cells</w:t>
      </w:r>
      <w:r>
        <w:rPr>
          <w:rFonts w:eastAsiaTheme="minorHAnsi"/>
        </w:rPr>
        <w:t xml:space="preserve"> into the person from whom they were derived</w:t>
      </w:r>
      <w:r w:rsidRPr="00A13FB0">
        <w:rPr>
          <w:rFonts w:eastAsiaTheme="minorHAnsi"/>
        </w:rPr>
        <w:t>,</w:t>
      </w:r>
      <w:r>
        <w:rPr>
          <w:rFonts w:eastAsiaTheme="minorHAnsi"/>
        </w:rPr>
        <w:t xml:space="preserve"> does not require a licence provided:</w:t>
      </w:r>
    </w:p>
    <w:p w14:paraId="0B9DB805" w14:textId="6962A476" w:rsidR="003E422E" w:rsidRDefault="003E422E" w:rsidP="003E422E">
      <w:pPr>
        <w:pStyle w:val="ListParagraph"/>
        <w:numPr>
          <w:ilvl w:val="0"/>
          <w:numId w:val="5"/>
        </w:numPr>
        <w:spacing w:before="120" w:after="120"/>
        <w:ind w:left="851" w:hanging="425"/>
        <w:rPr>
          <w:rFonts w:asciiTheme="minorHAnsi" w:hAnsiTheme="minorHAnsi"/>
        </w:rPr>
      </w:pPr>
      <w:r>
        <w:rPr>
          <w:rFonts w:asciiTheme="minorHAnsi" w:hAnsiTheme="minorHAnsi"/>
        </w:rPr>
        <w:t>the</w:t>
      </w:r>
      <w:r w:rsidR="00F21A5C">
        <w:rPr>
          <w:rFonts w:asciiTheme="minorHAnsi" w:hAnsiTheme="minorHAnsi"/>
        </w:rPr>
        <w:t xml:space="preserve"> </w:t>
      </w:r>
      <w:r w:rsidR="00FB6326">
        <w:rPr>
          <w:rFonts w:asciiTheme="minorHAnsi" w:hAnsiTheme="minorHAnsi"/>
        </w:rPr>
        <w:t xml:space="preserve">GM </w:t>
      </w:r>
      <w:r>
        <w:rPr>
          <w:rFonts w:asciiTheme="minorHAnsi" w:hAnsiTheme="minorHAnsi"/>
        </w:rPr>
        <w:t xml:space="preserve">somatic cells </w:t>
      </w:r>
      <w:r w:rsidR="006E3273" w:rsidRPr="004D3CDB">
        <w:rPr>
          <w:rFonts w:asciiTheme="minorHAnsi" w:hAnsiTheme="minorHAnsi"/>
          <w:b/>
          <w:bCs/>
        </w:rPr>
        <w:t xml:space="preserve">cannot </w:t>
      </w:r>
      <w:r w:rsidR="008B4A57" w:rsidRPr="004D3CDB">
        <w:rPr>
          <w:rFonts w:asciiTheme="minorHAnsi" w:hAnsiTheme="minorHAnsi"/>
          <w:b/>
          <w:bCs/>
        </w:rPr>
        <w:t xml:space="preserve">secrete or </w:t>
      </w:r>
      <w:r w:rsidRPr="004D3CDB">
        <w:rPr>
          <w:rFonts w:asciiTheme="minorHAnsi" w:hAnsiTheme="minorHAnsi"/>
          <w:b/>
          <w:bCs/>
        </w:rPr>
        <w:t>produce infectious agents</w:t>
      </w:r>
      <w:r w:rsidR="006E3273">
        <w:rPr>
          <w:rFonts w:asciiTheme="minorHAnsi" w:hAnsiTheme="minorHAnsi"/>
        </w:rPr>
        <w:t xml:space="preserve"> </w:t>
      </w:r>
      <w:proofErr w:type="gramStart"/>
      <w:r w:rsidR="006E3273">
        <w:rPr>
          <w:rFonts w:asciiTheme="minorHAnsi" w:hAnsiTheme="minorHAnsi"/>
        </w:rPr>
        <w:t>as a result of</w:t>
      </w:r>
      <w:proofErr w:type="gramEnd"/>
      <w:r w:rsidR="006E3273">
        <w:rPr>
          <w:rFonts w:asciiTheme="minorHAnsi" w:hAnsiTheme="minorHAnsi"/>
        </w:rPr>
        <w:t xml:space="preserve"> the genetic modification</w:t>
      </w:r>
      <w:r>
        <w:rPr>
          <w:rFonts w:asciiTheme="minorHAnsi" w:hAnsiTheme="minorHAnsi"/>
        </w:rPr>
        <w:t>;</w:t>
      </w:r>
      <w:r w:rsidR="008B4A57">
        <w:rPr>
          <w:rFonts w:asciiTheme="minorHAnsi" w:hAnsiTheme="minorHAnsi"/>
        </w:rPr>
        <w:t xml:space="preserve"> and</w:t>
      </w:r>
    </w:p>
    <w:p w14:paraId="33B4C822" w14:textId="339CD485" w:rsidR="003E422E" w:rsidRPr="00F21A5C" w:rsidRDefault="003E422E" w:rsidP="00B9737F">
      <w:pPr>
        <w:pStyle w:val="ListParagraph"/>
        <w:numPr>
          <w:ilvl w:val="0"/>
          <w:numId w:val="5"/>
        </w:numPr>
        <w:spacing w:before="120" w:after="120"/>
        <w:ind w:left="851" w:hanging="425"/>
        <w:rPr>
          <w:rFonts w:asciiTheme="minorHAnsi" w:hAnsiTheme="minorHAnsi"/>
        </w:rPr>
      </w:pPr>
      <w:r w:rsidRPr="00F21A5C">
        <w:rPr>
          <w:rFonts w:asciiTheme="minorHAnsi" w:hAnsiTheme="minorHAnsi"/>
        </w:rPr>
        <w:t xml:space="preserve">if the </w:t>
      </w:r>
      <w:r w:rsidR="00FB6326">
        <w:rPr>
          <w:rFonts w:asciiTheme="minorHAnsi" w:hAnsiTheme="minorHAnsi"/>
        </w:rPr>
        <w:t xml:space="preserve">GM somatic </w:t>
      </w:r>
      <w:r w:rsidRPr="00F21A5C">
        <w:rPr>
          <w:rFonts w:asciiTheme="minorHAnsi" w:hAnsiTheme="minorHAnsi"/>
        </w:rPr>
        <w:t xml:space="preserve">cells were modified using a viral vector, </w:t>
      </w:r>
      <w:r w:rsidR="00F21A5C" w:rsidRPr="004D3CDB">
        <w:rPr>
          <w:rFonts w:asciiTheme="minorHAnsi" w:hAnsiTheme="minorHAnsi"/>
        </w:rPr>
        <w:t>the</w:t>
      </w:r>
      <w:r w:rsidR="00FB6326" w:rsidRPr="004D3CDB">
        <w:rPr>
          <w:rFonts w:asciiTheme="minorHAnsi" w:hAnsiTheme="minorHAnsi"/>
        </w:rPr>
        <w:t>y</w:t>
      </w:r>
      <w:r w:rsidR="00F21A5C" w:rsidRPr="004D3CDB">
        <w:rPr>
          <w:rFonts w:asciiTheme="minorHAnsi" w:hAnsiTheme="minorHAnsi"/>
        </w:rPr>
        <w:t xml:space="preserve"> have been </w:t>
      </w:r>
      <w:r w:rsidR="00F21A5C" w:rsidRPr="004D3CDB">
        <w:rPr>
          <w:rFonts w:asciiTheme="minorHAnsi" w:hAnsiTheme="minorHAnsi"/>
          <w:b/>
          <w:bCs/>
        </w:rPr>
        <w:t>tested for, and found not to contain</w:t>
      </w:r>
      <w:r w:rsidR="00F21A5C" w:rsidRPr="00F21A5C">
        <w:rPr>
          <w:rFonts w:asciiTheme="minorHAnsi" w:hAnsiTheme="minorHAnsi"/>
        </w:rPr>
        <w:t>, other viruses likely to recombine with the genetic</w:t>
      </w:r>
      <w:r w:rsidR="004D3CDB">
        <w:rPr>
          <w:rFonts w:asciiTheme="minorHAnsi" w:hAnsiTheme="minorHAnsi"/>
        </w:rPr>
        <w:t>ally modified nucleic acid</w:t>
      </w:r>
      <w:r w:rsidR="00F21A5C" w:rsidRPr="00F21A5C">
        <w:rPr>
          <w:rFonts w:asciiTheme="minorHAnsi" w:hAnsiTheme="minorHAnsi"/>
        </w:rPr>
        <w:t xml:space="preserve">, and </w:t>
      </w:r>
      <w:r w:rsidRPr="00F21A5C">
        <w:rPr>
          <w:rFonts w:asciiTheme="minorHAnsi" w:hAnsiTheme="minorHAnsi"/>
        </w:rPr>
        <w:t xml:space="preserve">the </w:t>
      </w:r>
      <w:r w:rsidR="00F21A5C" w:rsidRPr="00F21A5C">
        <w:rPr>
          <w:rFonts w:asciiTheme="minorHAnsi" w:hAnsiTheme="minorHAnsi"/>
        </w:rPr>
        <w:t xml:space="preserve">viral </w:t>
      </w:r>
      <w:r w:rsidRPr="00F21A5C">
        <w:rPr>
          <w:rFonts w:asciiTheme="minorHAnsi" w:hAnsiTheme="minorHAnsi"/>
        </w:rPr>
        <w:t xml:space="preserve">vector is </w:t>
      </w:r>
      <w:r w:rsidRPr="004D3CDB">
        <w:rPr>
          <w:rFonts w:asciiTheme="minorHAnsi" w:hAnsiTheme="minorHAnsi"/>
          <w:b/>
          <w:bCs/>
        </w:rPr>
        <w:t>no longer present</w:t>
      </w:r>
      <w:r w:rsidRPr="00F21A5C">
        <w:rPr>
          <w:rFonts w:asciiTheme="minorHAnsi" w:hAnsiTheme="minorHAnsi"/>
        </w:rPr>
        <w:t xml:space="preserve"> in the </w:t>
      </w:r>
      <w:r w:rsidR="004D3CDB">
        <w:rPr>
          <w:rFonts w:asciiTheme="minorHAnsi" w:hAnsiTheme="minorHAnsi"/>
        </w:rPr>
        <w:t xml:space="preserve">GM somatic </w:t>
      </w:r>
      <w:r w:rsidRPr="00F21A5C">
        <w:rPr>
          <w:rFonts w:asciiTheme="minorHAnsi" w:hAnsiTheme="minorHAnsi"/>
        </w:rPr>
        <w:t>cells</w:t>
      </w:r>
      <w:r w:rsidR="00F21A5C">
        <w:rPr>
          <w:rFonts w:asciiTheme="minorHAnsi" w:hAnsiTheme="minorHAnsi"/>
        </w:rPr>
        <w:t>.</w:t>
      </w:r>
    </w:p>
    <w:p w14:paraId="223D59FD" w14:textId="013652A5" w:rsidR="004D3CDB" w:rsidRDefault="003E422E" w:rsidP="003E422E">
      <w:pPr>
        <w:spacing w:before="120" w:after="120"/>
        <w:rPr>
          <w:rFonts w:eastAsiaTheme="minorHAnsi"/>
        </w:rPr>
      </w:pPr>
      <w:r w:rsidRPr="003E422E">
        <w:rPr>
          <w:rFonts w:eastAsiaTheme="minorHAnsi"/>
        </w:rPr>
        <w:t xml:space="preserve">Dealings with GM somatic cells that meet these requirements are classified as ‘exempt’. Exempt dealings are regulated under the GT Act but do not require any specific authorisation from the Regulator; the only requirement is that they must not involve intentional release of GMO into the environment. Once the </w:t>
      </w:r>
      <w:r w:rsidR="004D3CDB">
        <w:rPr>
          <w:rFonts w:eastAsiaTheme="minorHAnsi"/>
        </w:rPr>
        <w:t xml:space="preserve">GM </w:t>
      </w:r>
      <w:r w:rsidRPr="003E422E">
        <w:rPr>
          <w:rFonts w:eastAsiaTheme="minorHAnsi"/>
        </w:rPr>
        <w:t>somatic cells are in a person, they cease to be regulated under the GT Act.</w:t>
      </w:r>
      <w:r w:rsidR="0089060E">
        <w:rPr>
          <w:rFonts w:eastAsiaTheme="minorHAnsi"/>
        </w:rPr>
        <w:t xml:space="preserve"> </w:t>
      </w:r>
      <w:r w:rsidR="00F21A5C" w:rsidRPr="00AF41A6">
        <w:rPr>
          <w:rFonts w:eastAsiaTheme="minorHAnsi"/>
          <w:b/>
          <w:bCs/>
        </w:rPr>
        <w:t>If the GM somatic cells do not meet the</w:t>
      </w:r>
      <w:r w:rsidR="001E6171">
        <w:rPr>
          <w:rFonts w:eastAsiaTheme="minorHAnsi"/>
          <w:b/>
          <w:bCs/>
        </w:rPr>
        <w:t xml:space="preserve"> above</w:t>
      </w:r>
      <w:r w:rsidR="00F21A5C" w:rsidRPr="00AF41A6">
        <w:rPr>
          <w:rFonts w:eastAsiaTheme="minorHAnsi"/>
          <w:b/>
          <w:bCs/>
        </w:rPr>
        <w:t xml:space="preserve"> </w:t>
      </w:r>
      <w:r w:rsidR="0093115C">
        <w:rPr>
          <w:rFonts w:eastAsiaTheme="minorHAnsi"/>
          <w:b/>
          <w:bCs/>
        </w:rPr>
        <w:t>criteria</w:t>
      </w:r>
      <w:r w:rsidR="00F21A5C" w:rsidRPr="00AF41A6">
        <w:rPr>
          <w:rFonts w:eastAsiaTheme="minorHAnsi"/>
          <w:b/>
          <w:bCs/>
        </w:rPr>
        <w:t>, then the clinical trial requires a licence.</w:t>
      </w:r>
    </w:p>
    <w:p w14:paraId="154984BC" w14:textId="09EF8186" w:rsidR="00F10B5E" w:rsidRPr="003E422E" w:rsidRDefault="00F10B5E" w:rsidP="004D48D5">
      <w:pPr>
        <w:spacing w:before="120" w:after="120"/>
        <w:rPr>
          <w:rFonts w:eastAsiaTheme="minorHAnsi"/>
        </w:rPr>
      </w:pPr>
      <w:r>
        <w:rPr>
          <w:rFonts w:eastAsiaTheme="minorHAnsi"/>
        </w:rPr>
        <w:t xml:space="preserve">If the </w:t>
      </w:r>
      <w:r>
        <w:t>GM somatic</w:t>
      </w:r>
      <w:r w:rsidRPr="00A13FB0">
        <w:t xml:space="preserve"> </w:t>
      </w:r>
      <w:r>
        <w:t xml:space="preserve">cells are </w:t>
      </w:r>
      <w:r>
        <w:rPr>
          <w:rFonts w:eastAsiaTheme="minorHAnsi"/>
        </w:rPr>
        <w:t>produced within Australia, th</w:t>
      </w:r>
      <w:r w:rsidR="00300188">
        <w:rPr>
          <w:rFonts w:eastAsiaTheme="minorHAnsi"/>
        </w:rPr>
        <w:t>e production</w:t>
      </w:r>
      <w:r>
        <w:rPr>
          <w:rFonts w:eastAsiaTheme="minorHAnsi"/>
        </w:rPr>
        <w:t xml:space="preserve"> process </w:t>
      </w:r>
      <w:r w:rsidR="00300188">
        <w:t>must be appropriately</w:t>
      </w:r>
      <w:r>
        <w:t xml:space="preserve"> authoris</w:t>
      </w:r>
      <w:r w:rsidR="00300188">
        <w:t>ed under the GT Act</w:t>
      </w:r>
      <w:r w:rsidRPr="00A13FB0">
        <w:t>.</w:t>
      </w:r>
    </w:p>
    <w:p w14:paraId="1F2C1659" w14:textId="6F07315B" w:rsidR="00376178" w:rsidRPr="004D48D5" w:rsidRDefault="00376178" w:rsidP="00F21A5C">
      <w:pPr>
        <w:pBdr>
          <w:top w:val="single" w:sz="4" w:space="1" w:color="auto"/>
          <w:left w:val="single" w:sz="4" w:space="4" w:color="auto"/>
          <w:bottom w:val="single" w:sz="4" w:space="14" w:color="auto"/>
          <w:right w:val="single" w:sz="4" w:space="4" w:color="auto"/>
        </w:pBdr>
        <w:shd w:val="clear" w:color="auto" w:fill="D2E1FA"/>
        <w:spacing w:before="240" w:after="120"/>
        <w:jc w:val="center"/>
        <w:rPr>
          <w:b/>
          <w:bCs/>
          <w:sz w:val="24"/>
        </w:rPr>
      </w:pPr>
      <w:r w:rsidRPr="004D48D5">
        <w:rPr>
          <w:b/>
          <w:bCs/>
          <w:sz w:val="24"/>
        </w:rPr>
        <w:t xml:space="preserve">Activities regulated </w:t>
      </w:r>
      <w:r w:rsidR="0084548C" w:rsidRPr="004D48D5">
        <w:rPr>
          <w:b/>
          <w:bCs/>
          <w:sz w:val="24"/>
        </w:rPr>
        <w:t xml:space="preserve">and not regulated </w:t>
      </w:r>
      <w:r w:rsidRPr="004D48D5">
        <w:rPr>
          <w:b/>
          <w:bCs/>
          <w:sz w:val="24"/>
        </w:rPr>
        <w:t>under the GT Act</w:t>
      </w:r>
    </w:p>
    <w:p w14:paraId="41562BDD" w14:textId="750AF50A" w:rsidR="00D73B15" w:rsidRDefault="00D73B15" w:rsidP="00F10B5E">
      <w:pPr>
        <w:pBdr>
          <w:top w:val="single" w:sz="4" w:space="1" w:color="auto"/>
          <w:left w:val="single" w:sz="4" w:space="4" w:color="auto"/>
          <w:bottom w:val="single" w:sz="4" w:space="14" w:color="auto"/>
          <w:right w:val="single" w:sz="4" w:space="4" w:color="auto"/>
        </w:pBdr>
        <w:shd w:val="clear" w:color="auto" w:fill="D2E1FA"/>
        <w:spacing w:before="120" w:after="120"/>
        <w:rPr>
          <w:rFonts w:eastAsiaTheme="minorHAnsi"/>
        </w:rPr>
      </w:pPr>
      <w:r>
        <w:rPr>
          <w:rFonts w:eastAsiaTheme="minorHAnsi"/>
        </w:rPr>
        <w:t xml:space="preserve">The GT Act regulates dealings (activities) with GMOs. A GMO is defined as </w:t>
      </w:r>
      <w:r w:rsidRPr="003E422E">
        <w:rPr>
          <w:rFonts w:eastAsiaTheme="minorHAnsi"/>
          <w:i/>
          <w:iCs/>
        </w:rPr>
        <w:t>an organism that has been modified by gene technology</w:t>
      </w:r>
      <w:r>
        <w:rPr>
          <w:rFonts w:eastAsiaTheme="minorHAnsi"/>
        </w:rPr>
        <w:t xml:space="preserve">, where an organism is </w:t>
      </w:r>
      <w:r w:rsidRPr="003E422E">
        <w:rPr>
          <w:rFonts w:eastAsiaTheme="minorHAnsi"/>
          <w:i/>
          <w:iCs/>
        </w:rPr>
        <w:t>any biological entity that is viable, or capable of reproduction, or capable of transferring genetic material</w:t>
      </w:r>
      <w:r>
        <w:rPr>
          <w:rFonts w:eastAsiaTheme="minorHAnsi"/>
        </w:rPr>
        <w:t xml:space="preserve">. This definition is broad and </w:t>
      </w:r>
      <w:r w:rsidR="0084548C" w:rsidRPr="0084548C">
        <w:rPr>
          <w:rFonts w:eastAsiaTheme="minorHAnsi"/>
        </w:rPr>
        <w:t xml:space="preserve">considered to </w:t>
      </w:r>
      <w:r w:rsidR="0084548C">
        <w:rPr>
          <w:rFonts w:eastAsiaTheme="minorHAnsi"/>
        </w:rPr>
        <w:t>encompass</w:t>
      </w:r>
      <w:r w:rsidR="0084548C" w:rsidRPr="0084548C">
        <w:rPr>
          <w:rFonts w:eastAsiaTheme="minorHAnsi"/>
        </w:rPr>
        <w:t xml:space="preserve"> replication defective viral vectors, as well as </w:t>
      </w:r>
      <w:r w:rsidR="0084548C">
        <w:rPr>
          <w:rFonts w:eastAsiaTheme="minorHAnsi"/>
        </w:rPr>
        <w:t>nucleic acids</w:t>
      </w:r>
      <w:r w:rsidR="0084548C" w:rsidRPr="0084548C">
        <w:rPr>
          <w:rFonts w:eastAsiaTheme="minorHAnsi"/>
        </w:rPr>
        <w:t xml:space="preserve"> that can give rise to infectious agents when introduced into a host cell. Investigational products containing nucleic acids with </w:t>
      </w:r>
      <w:r w:rsidR="0089060E">
        <w:rPr>
          <w:rFonts w:eastAsiaTheme="minorHAnsi"/>
        </w:rPr>
        <w:t xml:space="preserve">the </w:t>
      </w:r>
      <w:r w:rsidR="0084548C" w:rsidRPr="0084548C">
        <w:rPr>
          <w:rFonts w:eastAsiaTheme="minorHAnsi"/>
        </w:rPr>
        <w:t>potential to replicate within a host cell may also be considered GMOs.</w:t>
      </w:r>
    </w:p>
    <w:p w14:paraId="481D25B7" w14:textId="5FA094F4" w:rsidR="001B100A" w:rsidRDefault="001B100A" w:rsidP="00D73B15">
      <w:pPr>
        <w:pBdr>
          <w:top w:val="single" w:sz="4" w:space="1" w:color="auto"/>
          <w:left w:val="single" w:sz="4" w:space="4" w:color="auto"/>
          <w:bottom w:val="single" w:sz="4" w:space="14" w:color="auto"/>
          <w:right w:val="single" w:sz="4" w:space="4" w:color="auto"/>
        </w:pBdr>
        <w:shd w:val="clear" w:color="auto" w:fill="D2E1FA"/>
        <w:spacing w:before="120" w:after="120"/>
        <w:rPr>
          <w:rFonts w:eastAsiaTheme="minorHAnsi"/>
        </w:rPr>
      </w:pPr>
      <w:r w:rsidRPr="001B100A">
        <w:rPr>
          <w:rFonts w:eastAsiaTheme="minorHAnsi"/>
        </w:rPr>
        <w:t xml:space="preserve">The GT Act does not regulate </w:t>
      </w:r>
      <w:r w:rsidR="003E422E">
        <w:rPr>
          <w:rFonts w:eastAsiaTheme="minorHAnsi"/>
        </w:rPr>
        <w:t xml:space="preserve">activities with </w:t>
      </w:r>
      <w:r w:rsidRPr="001B100A">
        <w:rPr>
          <w:rFonts w:eastAsiaTheme="minorHAnsi"/>
        </w:rPr>
        <w:t>GM products, which are defined</w:t>
      </w:r>
      <w:r w:rsidR="003E422E">
        <w:rPr>
          <w:rFonts w:eastAsiaTheme="minorHAnsi"/>
        </w:rPr>
        <w:t xml:space="preserve"> </w:t>
      </w:r>
      <w:r w:rsidRPr="001B100A">
        <w:rPr>
          <w:rFonts w:eastAsiaTheme="minorHAnsi"/>
        </w:rPr>
        <w:t xml:space="preserve">as </w:t>
      </w:r>
      <w:r w:rsidRPr="003E422E">
        <w:rPr>
          <w:rFonts w:eastAsiaTheme="minorHAnsi"/>
          <w:i/>
          <w:iCs/>
        </w:rPr>
        <w:t>a thing (other than a GMO) derived or produced from a GMO</w:t>
      </w:r>
      <w:r w:rsidRPr="001B100A">
        <w:rPr>
          <w:rFonts w:eastAsiaTheme="minorHAnsi"/>
        </w:rPr>
        <w:t xml:space="preserve">. Examples </w:t>
      </w:r>
      <w:r>
        <w:rPr>
          <w:rFonts w:eastAsiaTheme="minorHAnsi"/>
        </w:rPr>
        <w:t>include</w:t>
      </w:r>
      <w:r w:rsidRPr="001B100A">
        <w:rPr>
          <w:rFonts w:eastAsiaTheme="minorHAnsi"/>
        </w:rPr>
        <w:t xml:space="preserve"> purified recombinant proteins and killed vaccines. Human clinical trials of GM products do not require authorisation from the Regulator, provided the IP does not contain the GMO used in manufacturing the GM product in </w:t>
      </w:r>
      <w:r w:rsidR="0089060E">
        <w:rPr>
          <w:rFonts w:eastAsiaTheme="minorHAnsi"/>
        </w:rPr>
        <w:t xml:space="preserve">a </w:t>
      </w:r>
      <w:r w:rsidRPr="001B100A">
        <w:rPr>
          <w:rFonts w:eastAsiaTheme="minorHAnsi"/>
        </w:rPr>
        <w:t>viable form.</w:t>
      </w:r>
    </w:p>
    <w:p w14:paraId="2D2F71CD" w14:textId="015CDCD8" w:rsidR="0099669A" w:rsidRPr="00A13FB0" w:rsidRDefault="00F70832" w:rsidP="00625A52">
      <w:pPr>
        <w:pStyle w:val="Heading1"/>
      </w:pPr>
      <w:r>
        <w:lastRenderedPageBreak/>
        <w:t>T</w:t>
      </w:r>
      <w:r w:rsidR="0099669A">
        <w:t>ype of GMO</w:t>
      </w:r>
      <w:r w:rsidR="0099669A" w:rsidRPr="00A13FB0">
        <w:t xml:space="preserve"> licenc</w:t>
      </w:r>
      <w:r>
        <w:t>e required</w:t>
      </w:r>
    </w:p>
    <w:p w14:paraId="5C820885" w14:textId="77777777" w:rsidR="00643CDC" w:rsidRPr="004143A2" w:rsidRDefault="00643CDC" w:rsidP="00625A52">
      <w:pPr>
        <w:spacing w:before="120" w:after="120"/>
        <w:rPr>
          <w:rFonts w:eastAsiaTheme="minorHAnsi"/>
        </w:rPr>
      </w:pPr>
      <w:r w:rsidRPr="004143A2">
        <w:rPr>
          <w:rFonts w:eastAsiaTheme="minorHAnsi"/>
        </w:rPr>
        <w:t>There are two types of licence, authorising either:</w:t>
      </w:r>
    </w:p>
    <w:p w14:paraId="038DBA46" w14:textId="396012C4" w:rsidR="00643CDC" w:rsidRPr="004143A2" w:rsidRDefault="00060EB0" w:rsidP="00C1363F">
      <w:pPr>
        <w:pStyle w:val="ListParagraph"/>
        <w:numPr>
          <w:ilvl w:val="0"/>
          <w:numId w:val="5"/>
        </w:numPr>
        <w:spacing w:before="120" w:after="120"/>
        <w:ind w:left="811" w:hanging="357"/>
      </w:pPr>
      <w:hyperlink r:id="rId10" w:history="1">
        <w:r w:rsidR="00643CDC" w:rsidRPr="00643CDC">
          <w:rPr>
            <w:rStyle w:val="Hyperlink"/>
          </w:rPr>
          <w:t xml:space="preserve">Dealings </w:t>
        </w:r>
        <w:r w:rsidR="00643CDC" w:rsidRPr="00643CDC">
          <w:rPr>
            <w:rStyle w:val="Hyperlink"/>
            <w:rFonts w:asciiTheme="minorHAnsi" w:hAnsiTheme="minorHAnsi"/>
          </w:rPr>
          <w:t>involving</w:t>
        </w:r>
        <w:r w:rsidR="00643CDC" w:rsidRPr="00643CDC">
          <w:rPr>
            <w:rStyle w:val="Hyperlink"/>
          </w:rPr>
          <w:t xml:space="preserve"> intentional release (DIR)</w:t>
        </w:r>
      </w:hyperlink>
      <w:r w:rsidR="00643CDC" w:rsidRPr="004143A2">
        <w:t xml:space="preserve"> into the environment; or</w:t>
      </w:r>
    </w:p>
    <w:p w14:paraId="6F2FCEBE" w14:textId="18951C13" w:rsidR="00643CDC" w:rsidRPr="004143A2" w:rsidRDefault="00060EB0" w:rsidP="00C1363F">
      <w:pPr>
        <w:pStyle w:val="ListParagraph"/>
        <w:numPr>
          <w:ilvl w:val="0"/>
          <w:numId w:val="5"/>
        </w:numPr>
        <w:spacing w:before="120" w:after="120"/>
        <w:ind w:left="811" w:hanging="357"/>
      </w:pPr>
      <w:hyperlink r:id="rId11" w:history="1">
        <w:r w:rsidR="00643CDC" w:rsidRPr="00643CDC">
          <w:rPr>
            <w:rStyle w:val="Hyperlink"/>
          </w:rPr>
          <w:t>Dealings n</w:t>
        </w:r>
        <w:r w:rsidR="00643CDC" w:rsidRPr="00643CDC">
          <w:rPr>
            <w:rStyle w:val="Hyperlink"/>
            <w:rFonts w:asciiTheme="minorHAnsi" w:hAnsiTheme="minorHAnsi"/>
          </w:rPr>
          <w:t>ot</w:t>
        </w:r>
        <w:r w:rsidR="00643CDC" w:rsidRPr="00643CDC">
          <w:rPr>
            <w:rStyle w:val="Hyperlink"/>
          </w:rPr>
          <w:t xml:space="preserve"> involving intentional release (DNIR)</w:t>
        </w:r>
      </w:hyperlink>
    </w:p>
    <w:p w14:paraId="181B3B86" w14:textId="2E9296EA" w:rsidR="00643CDC" w:rsidRPr="004143A2" w:rsidRDefault="00643CDC" w:rsidP="00C1363F">
      <w:pPr>
        <w:spacing w:before="120" w:after="120"/>
        <w:rPr>
          <w:rFonts w:eastAsiaTheme="minorHAnsi"/>
        </w:rPr>
      </w:pPr>
      <w:r w:rsidRPr="004143A2">
        <w:rPr>
          <w:rFonts w:eastAsiaTheme="minorHAnsi"/>
        </w:rPr>
        <w:t xml:space="preserve">For clinical trials, the Regulator considers that intentional release into the environment occurs when the specific mode of administration results in release of the GMO, e.g., administration using an intranasal spray or nebuliser, or when the GMO may be shed, </w:t>
      </w:r>
      <w:proofErr w:type="gramStart"/>
      <w:r w:rsidRPr="004143A2">
        <w:rPr>
          <w:rFonts w:eastAsiaTheme="minorHAnsi"/>
        </w:rPr>
        <w:t>excreted</w:t>
      </w:r>
      <w:proofErr w:type="gramEnd"/>
      <w:r w:rsidRPr="004143A2">
        <w:rPr>
          <w:rFonts w:eastAsiaTheme="minorHAnsi"/>
        </w:rPr>
        <w:t xml:space="preserve"> or otherwise transmitted from trial participants to other people or animals over the course of the study. In these cases, a DIR licence is generally required.</w:t>
      </w:r>
    </w:p>
    <w:p w14:paraId="67C737C1" w14:textId="3C019CBD" w:rsidR="00643CDC" w:rsidRPr="004143A2" w:rsidRDefault="00643CDC" w:rsidP="00C1363F">
      <w:pPr>
        <w:spacing w:before="120" w:after="120"/>
        <w:rPr>
          <w:rFonts w:eastAsiaTheme="minorHAnsi"/>
        </w:rPr>
      </w:pPr>
      <w:r w:rsidRPr="004143A2">
        <w:rPr>
          <w:rFonts w:eastAsiaTheme="minorHAnsi"/>
        </w:rPr>
        <w:t>Clinical trials that are DIRs are usually licenced as ‘limited and controlled’ releases. To qualify as a limited and controlled release, the primary purpose of the work must be to conduct experiments and the application must propose appropriate limits on the release of the GMO and controls to restrict its dissemination or persistence in the environment.</w:t>
      </w:r>
    </w:p>
    <w:p w14:paraId="048D897D" w14:textId="196F8D49" w:rsidR="00643CDC" w:rsidRDefault="00643CDC" w:rsidP="00C1363F">
      <w:pPr>
        <w:spacing w:before="120" w:after="120"/>
        <w:rPr>
          <w:rFonts w:eastAsiaTheme="minorHAnsi"/>
        </w:rPr>
      </w:pPr>
      <w:r w:rsidRPr="004143A2">
        <w:rPr>
          <w:rFonts w:eastAsiaTheme="minorHAnsi"/>
        </w:rPr>
        <w:t xml:space="preserve">Where it is not expected that the GMO will be released into the environment, a DNIR licence is appropriate. </w:t>
      </w:r>
      <w:r w:rsidR="00CD51DE">
        <w:rPr>
          <w:rFonts w:eastAsiaTheme="minorHAnsi"/>
        </w:rPr>
        <w:t>A</w:t>
      </w:r>
      <w:r w:rsidRPr="004143A2">
        <w:rPr>
          <w:rFonts w:eastAsiaTheme="minorHAnsi"/>
        </w:rPr>
        <w:t>pplication</w:t>
      </w:r>
      <w:r w:rsidR="00CD51DE">
        <w:rPr>
          <w:rFonts w:eastAsiaTheme="minorHAnsi"/>
        </w:rPr>
        <w:t>s</w:t>
      </w:r>
      <w:r w:rsidRPr="004143A2">
        <w:rPr>
          <w:rFonts w:eastAsiaTheme="minorHAnsi"/>
        </w:rPr>
        <w:t xml:space="preserve"> will need to include data that supports this conclusion. Note that </w:t>
      </w:r>
      <w:bookmarkStart w:id="0" w:name="_Hlk112854251"/>
      <w:r w:rsidRPr="004143A2">
        <w:rPr>
          <w:rFonts w:eastAsiaTheme="minorHAnsi"/>
        </w:rPr>
        <w:t>the Regulator considers some AAV-based gene therapy treatments as eligible for DNIR licencing. Please contact the OGTR for guidance if your application involves an AAV-based GMO.</w:t>
      </w:r>
      <w:bookmarkEnd w:id="0"/>
    </w:p>
    <w:p w14:paraId="3C821218" w14:textId="2BC4A739" w:rsidR="0099669A" w:rsidRPr="00A13FB0" w:rsidRDefault="000219D2" w:rsidP="00C1363F">
      <w:pPr>
        <w:spacing w:before="120" w:after="120"/>
        <w:rPr>
          <w:szCs w:val="22"/>
        </w:rPr>
      </w:pPr>
      <w:r>
        <w:rPr>
          <w:rFonts w:eastAsiaTheme="minorHAnsi"/>
        </w:rPr>
        <w:t>When</w:t>
      </w:r>
      <w:r w:rsidRPr="00A13FB0">
        <w:rPr>
          <w:rFonts w:eastAsiaTheme="minorHAnsi"/>
        </w:rPr>
        <w:t xml:space="preserve"> </w:t>
      </w:r>
      <w:r w:rsidR="0099669A" w:rsidRPr="00A13FB0">
        <w:rPr>
          <w:rFonts w:eastAsiaTheme="minorHAnsi"/>
        </w:rPr>
        <w:t xml:space="preserve">screening </w:t>
      </w:r>
      <w:r w:rsidR="0022481E">
        <w:rPr>
          <w:rFonts w:eastAsiaTheme="minorHAnsi"/>
        </w:rPr>
        <w:t xml:space="preserve">licence </w:t>
      </w:r>
      <w:r w:rsidR="0099669A" w:rsidRPr="00A13FB0">
        <w:rPr>
          <w:rFonts w:eastAsiaTheme="minorHAnsi"/>
        </w:rPr>
        <w:t xml:space="preserve">applications, the OGTR will consider </w:t>
      </w:r>
      <w:r w:rsidR="0099669A">
        <w:rPr>
          <w:rFonts w:eastAsiaTheme="minorHAnsi"/>
        </w:rPr>
        <w:t>whether</w:t>
      </w:r>
      <w:r w:rsidR="0099669A" w:rsidRPr="00A13FB0">
        <w:rPr>
          <w:rFonts w:eastAsiaTheme="minorHAnsi"/>
        </w:rPr>
        <w:t xml:space="preserve"> the application type is appropriate for the GMO and </w:t>
      </w:r>
      <w:r w:rsidR="0099669A">
        <w:rPr>
          <w:rFonts w:eastAsiaTheme="minorHAnsi"/>
        </w:rPr>
        <w:t xml:space="preserve">the proposed </w:t>
      </w:r>
      <w:r w:rsidR="0099669A" w:rsidRPr="00A13FB0">
        <w:rPr>
          <w:rFonts w:eastAsiaTheme="minorHAnsi"/>
        </w:rPr>
        <w:t xml:space="preserve">dealings. </w:t>
      </w:r>
      <w:r w:rsidR="00625A52">
        <w:rPr>
          <w:rFonts w:eastAsiaTheme="minorHAnsi"/>
        </w:rPr>
        <w:t>A</w:t>
      </w:r>
      <w:r w:rsidR="0099669A" w:rsidRPr="00A13FB0">
        <w:rPr>
          <w:rFonts w:eastAsiaTheme="minorHAnsi"/>
        </w:rPr>
        <w:t xml:space="preserve">ssessment </w:t>
      </w:r>
      <w:r w:rsidR="00625A52">
        <w:rPr>
          <w:rFonts w:eastAsiaTheme="minorHAnsi"/>
        </w:rPr>
        <w:t>of a</w:t>
      </w:r>
      <w:r w:rsidR="00625A52" w:rsidRPr="00A13FB0">
        <w:rPr>
          <w:rFonts w:eastAsiaTheme="minorHAnsi"/>
        </w:rPr>
        <w:t>n incorrectly categorised licence application</w:t>
      </w:r>
      <w:r w:rsidR="00625A52">
        <w:rPr>
          <w:rFonts w:eastAsiaTheme="minorHAnsi"/>
        </w:rPr>
        <w:t xml:space="preserve"> may be</w:t>
      </w:r>
      <w:r w:rsidR="00625A52" w:rsidRPr="00A13FB0">
        <w:rPr>
          <w:rFonts w:eastAsiaTheme="minorHAnsi"/>
        </w:rPr>
        <w:t xml:space="preserve"> </w:t>
      </w:r>
      <w:r w:rsidR="0099669A" w:rsidRPr="00A13FB0">
        <w:rPr>
          <w:rFonts w:eastAsiaTheme="minorHAnsi"/>
        </w:rPr>
        <w:t xml:space="preserve">delayed while </w:t>
      </w:r>
      <w:r w:rsidR="005B2C01">
        <w:rPr>
          <w:rFonts w:eastAsiaTheme="minorHAnsi"/>
        </w:rPr>
        <w:t xml:space="preserve">the OGTR seeks </w:t>
      </w:r>
      <w:r w:rsidR="00625A52">
        <w:rPr>
          <w:rFonts w:eastAsiaTheme="minorHAnsi"/>
        </w:rPr>
        <w:t>more information</w:t>
      </w:r>
      <w:r w:rsidR="00625A52" w:rsidRPr="00A13FB0">
        <w:rPr>
          <w:rFonts w:eastAsiaTheme="minorHAnsi"/>
        </w:rPr>
        <w:t xml:space="preserve"> </w:t>
      </w:r>
      <w:r w:rsidR="0099669A" w:rsidRPr="00A13FB0">
        <w:rPr>
          <w:rFonts w:eastAsiaTheme="minorHAnsi"/>
        </w:rPr>
        <w:t>from the applicant.</w:t>
      </w:r>
    </w:p>
    <w:p w14:paraId="65D54F7F" w14:textId="77777777" w:rsidR="005E151E" w:rsidRPr="00A13FB0" w:rsidRDefault="00E30039" w:rsidP="00605FE8">
      <w:pPr>
        <w:pStyle w:val="Heading1"/>
        <w:spacing w:line="0" w:lineRule="atLeast"/>
      </w:pPr>
      <w:r w:rsidRPr="00A13FB0">
        <w:t xml:space="preserve">Obtaining a </w:t>
      </w:r>
      <w:r w:rsidR="005E151E" w:rsidRPr="00A13FB0">
        <w:t>GMO licence</w:t>
      </w:r>
    </w:p>
    <w:p w14:paraId="4357B293" w14:textId="3110BCCA" w:rsidR="00A3656E" w:rsidRPr="00A13FB0" w:rsidRDefault="00F169F7" w:rsidP="00625A52">
      <w:pPr>
        <w:pStyle w:val="Heading2"/>
        <w:spacing w:before="120" w:after="120" w:line="0" w:lineRule="atLeast"/>
      </w:pPr>
      <w:r w:rsidRPr="00A13FB0">
        <w:t>Who can apply for a licence</w:t>
      </w:r>
      <w:r w:rsidR="00DF2CBB">
        <w:t>?</w:t>
      </w:r>
    </w:p>
    <w:p w14:paraId="63B90FEC" w14:textId="182F3B87" w:rsidR="00B25AAD" w:rsidRDefault="004B386A" w:rsidP="00C1363F">
      <w:pPr>
        <w:spacing w:before="120" w:after="120"/>
      </w:pPr>
      <w:r w:rsidRPr="00A13FB0">
        <w:t>T</w:t>
      </w:r>
      <w:r w:rsidR="00BA1DAD" w:rsidRPr="00A13FB0">
        <w:t xml:space="preserve">he </w:t>
      </w:r>
      <w:r w:rsidR="00846AEA" w:rsidRPr="00A13FB0">
        <w:t xml:space="preserve">GT </w:t>
      </w:r>
      <w:r w:rsidR="00BA1DAD" w:rsidRPr="00A13FB0">
        <w:t xml:space="preserve">Act </w:t>
      </w:r>
      <w:r w:rsidR="00462492">
        <w:t>does not restrict</w:t>
      </w:r>
      <w:r w:rsidR="002C61BF">
        <w:t xml:space="preserve"> </w:t>
      </w:r>
      <w:r w:rsidR="00BA1DAD" w:rsidRPr="00A13FB0">
        <w:t>who can apply for a licence</w:t>
      </w:r>
      <w:r w:rsidR="00B25AAD">
        <w:t xml:space="preserve">, </w:t>
      </w:r>
      <w:r w:rsidR="00B25AAD" w:rsidRPr="00B25AAD">
        <w:t>however</w:t>
      </w:r>
      <w:r w:rsidR="00B25AAD">
        <w:t xml:space="preserve"> </w:t>
      </w:r>
      <w:r w:rsidR="00B25AAD" w:rsidRPr="00B25AAD">
        <w:t>in considering a licence application the Regulator must consider applicant suitability.</w:t>
      </w:r>
      <w:r w:rsidR="00B25AAD">
        <w:t xml:space="preserve"> As l</w:t>
      </w:r>
      <w:r w:rsidR="00B25AAD" w:rsidRPr="00A13FB0">
        <w:t>icence holder</w:t>
      </w:r>
      <w:r w:rsidR="00B25AAD">
        <w:t>s</w:t>
      </w:r>
      <w:r w:rsidR="00B25AAD" w:rsidRPr="00A13FB0">
        <w:t xml:space="preserve"> assume </w:t>
      </w:r>
      <w:r w:rsidR="00B25AAD">
        <w:t>responsibilities and</w:t>
      </w:r>
      <w:r w:rsidR="00B25AAD" w:rsidRPr="00A13FB0">
        <w:t xml:space="preserve"> legal obligations</w:t>
      </w:r>
      <w:r w:rsidR="00B25AAD">
        <w:t xml:space="preserve"> </w:t>
      </w:r>
      <w:r w:rsidR="00B25AAD" w:rsidRPr="00A13FB0">
        <w:t xml:space="preserve">imposed by the GT Act, licences are usually issued to organisations </w:t>
      </w:r>
      <w:r w:rsidR="00B25AAD" w:rsidRPr="004A34A5">
        <w:t>with a legal presence in Australia</w:t>
      </w:r>
      <w:r w:rsidR="00B25AAD">
        <w:t xml:space="preserve">. For human clinical trials, entities likely to be suitable to hold a licence include an Australian product sponsor, the Australian </w:t>
      </w:r>
      <w:r w:rsidR="007A20A0">
        <w:t xml:space="preserve">office </w:t>
      </w:r>
      <w:r w:rsidR="00B25AAD">
        <w:t xml:space="preserve">of an international product sponsor, a local clinical research organisation (CRO), or a clinical </w:t>
      </w:r>
      <w:r w:rsidR="001F310D">
        <w:t>trial site conducting</w:t>
      </w:r>
      <w:r w:rsidR="00B25AAD">
        <w:t xml:space="preserve"> a single-site trial.</w:t>
      </w:r>
    </w:p>
    <w:p w14:paraId="3F4C096D" w14:textId="3A9C62A7" w:rsidR="001F310D" w:rsidRDefault="007E6855" w:rsidP="00C1363F">
      <w:pPr>
        <w:spacing w:before="120" w:after="120"/>
      </w:pPr>
      <w:r>
        <w:t>L</w:t>
      </w:r>
      <w:r w:rsidR="00FD4FA4" w:rsidRPr="00A13FB0">
        <w:t>icence conditions</w:t>
      </w:r>
      <w:r w:rsidR="001F310D">
        <w:t xml:space="preserve"> generally</w:t>
      </w:r>
      <w:r w:rsidR="00FD4FA4" w:rsidRPr="00A13FB0">
        <w:t xml:space="preserve"> require the licence holder </w:t>
      </w:r>
      <w:r w:rsidR="00FD4FA4" w:rsidRPr="00974CB7">
        <w:t xml:space="preserve">to be </w:t>
      </w:r>
      <w:r w:rsidR="00FD4FA4" w:rsidRPr="004A34A5">
        <w:t xml:space="preserve">accredited under the </w:t>
      </w:r>
      <w:r w:rsidR="00846AEA" w:rsidRPr="004A34A5">
        <w:t xml:space="preserve">GT </w:t>
      </w:r>
      <w:r w:rsidR="00FD4FA4" w:rsidRPr="004A34A5">
        <w:t>Act</w:t>
      </w:r>
      <w:r w:rsidR="00FD4FA4" w:rsidRPr="00974CB7">
        <w:t xml:space="preserve">. </w:t>
      </w:r>
      <w:r w:rsidR="001F310D" w:rsidRPr="00A13FB0">
        <w:t xml:space="preserve">The </w:t>
      </w:r>
      <w:r w:rsidR="001F310D" w:rsidRPr="001E7990">
        <w:t>accreditation process</w:t>
      </w:r>
      <w:r w:rsidR="001F310D">
        <w:t xml:space="preserve"> assists</w:t>
      </w:r>
      <w:r w:rsidR="001F310D" w:rsidRPr="00A13FB0">
        <w:t xml:space="preserve"> the Regulator </w:t>
      </w:r>
      <w:r w:rsidR="001F310D">
        <w:t>in</w:t>
      </w:r>
      <w:r w:rsidR="001F310D" w:rsidRPr="00A13FB0">
        <w:t xml:space="preserve"> </w:t>
      </w:r>
      <w:r w:rsidR="001F310D">
        <w:t>determining</w:t>
      </w:r>
      <w:r w:rsidR="001F310D" w:rsidRPr="00A13FB0">
        <w:t xml:space="preserve"> </w:t>
      </w:r>
      <w:r w:rsidR="001F310D">
        <w:t>whether</w:t>
      </w:r>
      <w:r w:rsidR="001F310D" w:rsidRPr="00A13FB0">
        <w:t xml:space="preserve"> </w:t>
      </w:r>
      <w:r w:rsidR="001F310D">
        <w:t>an</w:t>
      </w:r>
      <w:r w:rsidR="001F310D" w:rsidRPr="00A13FB0">
        <w:t xml:space="preserve"> organisation has the resources and</w:t>
      </w:r>
      <w:r w:rsidR="0022481E">
        <w:t xml:space="preserve"> governance</w:t>
      </w:r>
      <w:r w:rsidR="001F310D" w:rsidRPr="00A13FB0">
        <w:t xml:space="preserve"> in place to enable it to effectively oversee work with GMOs</w:t>
      </w:r>
      <w:r w:rsidR="001F310D">
        <w:t>, including for the purpose of deciding whether an applicant is suitable</w:t>
      </w:r>
      <w:r w:rsidR="001F310D" w:rsidRPr="00A13FB0">
        <w:t xml:space="preserve"> to hold a </w:t>
      </w:r>
      <w:r w:rsidR="001F310D">
        <w:t xml:space="preserve">GMO </w:t>
      </w:r>
      <w:r w:rsidR="001F310D" w:rsidRPr="00A13FB0">
        <w:t>licence.</w:t>
      </w:r>
    </w:p>
    <w:p w14:paraId="5E0CD185" w14:textId="08632712" w:rsidR="00F966A0" w:rsidRPr="00974CB7" w:rsidRDefault="00B335E6" w:rsidP="00C1363F">
      <w:pPr>
        <w:spacing w:before="120" w:after="120"/>
      </w:pPr>
      <w:r w:rsidRPr="00974CB7">
        <w:t xml:space="preserve">If </w:t>
      </w:r>
      <w:r w:rsidR="00FD4FA4" w:rsidRPr="00974CB7">
        <w:t xml:space="preserve">an organisation is not </w:t>
      </w:r>
      <w:bookmarkStart w:id="1" w:name="_Hlk101547345"/>
      <w:r w:rsidR="001F310D">
        <w:t xml:space="preserve">already </w:t>
      </w:r>
      <w:r w:rsidR="00FD4FA4" w:rsidRPr="00974CB7">
        <w:t>accredited</w:t>
      </w:r>
      <w:r w:rsidRPr="00974CB7">
        <w:t>,</w:t>
      </w:r>
      <w:r w:rsidR="00FD4FA4" w:rsidRPr="00974CB7">
        <w:t xml:space="preserve"> </w:t>
      </w:r>
      <w:r w:rsidR="001F310D">
        <w:t xml:space="preserve">it may submit </w:t>
      </w:r>
      <w:r w:rsidR="00FD4FA4" w:rsidRPr="00974CB7">
        <w:t xml:space="preserve">an </w:t>
      </w:r>
      <w:hyperlink r:id="rId12" w:history="1">
        <w:r w:rsidR="00FD4FA4" w:rsidRPr="00974CB7">
          <w:rPr>
            <w:rStyle w:val="Hyperlink"/>
          </w:rPr>
          <w:t>application for accreditation</w:t>
        </w:r>
      </w:hyperlink>
      <w:r w:rsidR="00FD4FA4" w:rsidRPr="00974CB7">
        <w:t xml:space="preserve"> at the same time as an application for a GMO licence.</w:t>
      </w:r>
      <w:bookmarkEnd w:id="1"/>
    </w:p>
    <w:p w14:paraId="5A73ABF2" w14:textId="78C7A4E8" w:rsidR="002C61BF" w:rsidRPr="001F310D" w:rsidRDefault="002C61BF" w:rsidP="001F310D">
      <w:pPr>
        <w:shd w:val="clear" w:color="auto" w:fill="E7E6E6" w:themeFill="background2"/>
        <w:spacing w:after="120" w:line="0" w:lineRule="atLeast"/>
        <w:ind w:left="284"/>
        <w:rPr>
          <w:i/>
          <w:iCs/>
        </w:rPr>
      </w:pPr>
      <w:r w:rsidRPr="001F310D">
        <w:rPr>
          <w:i/>
          <w:iCs/>
        </w:rPr>
        <w:t>Note</w:t>
      </w:r>
      <w:r w:rsidR="00F966A0" w:rsidRPr="001F310D">
        <w:rPr>
          <w:i/>
          <w:iCs/>
        </w:rPr>
        <w:t>:</w:t>
      </w:r>
      <w:r w:rsidR="00741351" w:rsidRPr="001F310D">
        <w:rPr>
          <w:i/>
          <w:iCs/>
        </w:rPr>
        <w:t xml:space="preserve"> individual clinical </w:t>
      </w:r>
      <w:r w:rsidR="0022481E">
        <w:rPr>
          <w:i/>
          <w:iCs/>
        </w:rPr>
        <w:t xml:space="preserve">trial </w:t>
      </w:r>
      <w:r w:rsidRPr="001F310D">
        <w:rPr>
          <w:i/>
          <w:iCs/>
        </w:rPr>
        <w:t xml:space="preserve">sites </w:t>
      </w:r>
      <w:r w:rsidR="00741351" w:rsidRPr="001F310D">
        <w:rPr>
          <w:i/>
          <w:iCs/>
        </w:rPr>
        <w:t xml:space="preserve">involved in a multi-site trial </w:t>
      </w:r>
      <w:r w:rsidRPr="001F310D">
        <w:rPr>
          <w:i/>
          <w:iCs/>
        </w:rPr>
        <w:t>do not need to be accredited.</w:t>
      </w:r>
    </w:p>
    <w:p w14:paraId="0DC079FA" w14:textId="58C2EE12" w:rsidR="00FD4FA4" w:rsidRPr="00A13FB0" w:rsidRDefault="009A1C31" w:rsidP="00625A52">
      <w:pPr>
        <w:pStyle w:val="Heading2"/>
        <w:spacing w:before="120" w:after="120" w:line="0" w:lineRule="atLeast"/>
      </w:pPr>
      <w:r w:rsidRPr="00A13FB0">
        <w:t>Institutional Biosafety Committee (IBC)</w:t>
      </w:r>
      <w:r w:rsidR="00551233">
        <w:t xml:space="preserve"> review</w:t>
      </w:r>
    </w:p>
    <w:p w14:paraId="6E8A1A8B" w14:textId="3CC9C155" w:rsidR="00551233" w:rsidRDefault="00633055" w:rsidP="00C1363F">
      <w:pPr>
        <w:spacing w:before="120" w:after="120"/>
      </w:pPr>
      <w:r w:rsidRPr="00051457">
        <w:t>Before an organisation can be accredited, it must have established</w:t>
      </w:r>
      <w:r w:rsidR="00423996">
        <w:t xml:space="preserve"> </w:t>
      </w:r>
      <w:r w:rsidR="00423996" w:rsidRPr="00051457">
        <w:t xml:space="preserve">an appropriately constituted </w:t>
      </w:r>
      <w:hyperlink r:id="rId13" w:anchor="institutional-biosafety-committees" w:history="1">
        <w:r w:rsidR="00423996" w:rsidRPr="000A1D96">
          <w:rPr>
            <w:rStyle w:val="Hyperlink"/>
          </w:rPr>
          <w:t>IBC</w:t>
        </w:r>
      </w:hyperlink>
      <w:r w:rsidR="00423996">
        <w:rPr>
          <w:rStyle w:val="Hyperlink"/>
        </w:rPr>
        <w:t xml:space="preserve">, </w:t>
      </w:r>
      <w:r w:rsidR="00423996" w:rsidRPr="004D510C">
        <w:rPr>
          <w:rStyle w:val="Hyperlink"/>
          <w:color w:val="auto"/>
          <w:u w:val="none"/>
        </w:rPr>
        <w:t xml:space="preserve">or made a </w:t>
      </w:r>
      <w:bookmarkStart w:id="2" w:name="_Hlk101547668"/>
      <w:r w:rsidR="00423996" w:rsidRPr="004D510C">
        <w:rPr>
          <w:rStyle w:val="Hyperlink"/>
          <w:color w:val="auto"/>
          <w:u w:val="none"/>
        </w:rPr>
        <w:t xml:space="preserve">formal arrangement to access </w:t>
      </w:r>
      <w:r w:rsidR="008248AF" w:rsidRPr="004D510C">
        <w:rPr>
          <w:rStyle w:val="Hyperlink"/>
          <w:color w:val="auto"/>
          <w:u w:val="none"/>
        </w:rPr>
        <w:t xml:space="preserve">one or more </w:t>
      </w:r>
      <w:r w:rsidR="00423996" w:rsidRPr="004D510C">
        <w:rPr>
          <w:rStyle w:val="Hyperlink"/>
          <w:color w:val="auto"/>
          <w:u w:val="none"/>
        </w:rPr>
        <w:t>IBC</w:t>
      </w:r>
      <w:r w:rsidR="008248AF" w:rsidRPr="004D510C">
        <w:rPr>
          <w:rStyle w:val="Hyperlink"/>
          <w:color w:val="auto"/>
          <w:u w:val="none"/>
        </w:rPr>
        <w:t>s</w:t>
      </w:r>
      <w:r w:rsidR="00423996" w:rsidRPr="004D510C">
        <w:rPr>
          <w:rStyle w:val="Hyperlink"/>
          <w:color w:val="auto"/>
          <w:u w:val="none"/>
        </w:rPr>
        <w:t xml:space="preserve"> </w:t>
      </w:r>
      <w:r w:rsidR="008248AF" w:rsidRPr="004D510C">
        <w:rPr>
          <w:rStyle w:val="Hyperlink"/>
          <w:color w:val="auto"/>
          <w:u w:val="none"/>
        </w:rPr>
        <w:t>maintained by</w:t>
      </w:r>
      <w:r w:rsidR="00423996" w:rsidRPr="004D510C">
        <w:rPr>
          <w:rStyle w:val="Hyperlink"/>
          <w:color w:val="auto"/>
          <w:u w:val="none"/>
        </w:rPr>
        <w:t xml:space="preserve"> other </w:t>
      </w:r>
      <w:r w:rsidR="008248AF" w:rsidRPr="004D510C">
        <w:rPr>
          <w:rStyle w:val="Hyperlink"/>
          <w:color w:val="auto"/>
          <w:u w:val="none"/>
        </w:rPr>
        <w:t xml:space="preserve">accredited </w:t>
      </w:r>
      <w:r w:rsidR="00423996" w:rsidRPr="004D510C">
        <w:rPr>
          <w:rStyle w:val="Hyperlink"/>
          <w:color w:val="auto"/>
          <w:u w:val="none"/>
        </w:rPr>
        <w:t>organisation</w:t>
      </w:r>
      <w:r w:rsidR="008248AF" w:rsidRPr="004D510C">
        <w:rPr>
          <w:rStyle w:val="Hyperlink"/>
          <w:color w:val="auto"/>
          <w:u w:val="none"/>
        </w:rPr>
        <w:t>s</w:t>
      </w:r>
      <w:r w:rsidR="00423996" w:rsidRPr="004D510C">
        <w:rPr>
          <w:rStyle w:val="Hyperlink"/>
          <w:color w:val="auto"/>
          <w:u w:val="none"/>
        </w:rPr>
        <w:t>.</w:t>
      </w:r>
      <w:bookmarkEnd w:id="2"/>
      <w:r w:rsidR="000F2BCA" w:rsidRPr="004D510C">
        <w:rPr>
          <w:rStyle w:val="Hyperlink"/>
          <w:color w:val="auto"/>
          <w:u w:val="none"/>
        </w:rPr>
        <w:t xml:space="preserve"> </w:t>
      </w:r>
      <w:r w:rsidR="004A34A5" w:rsidRPr="004D510C">
        <w:t>IBCs</w:t>
      </w:r>
      <w:r w:rsidR="004A34A5" w:rsidRPr="004A34A5">
        <w:t xml:space="preserve"> </w:t>
      </w:r>
      <w:r w:rsidR="00551233" w:rsidRPr="004A34A5">
        <w:t xml:space="preserve">must include a range of suitable experts and at least one </w:t>
      </w:r>
      <w:r w:rsidR="00551233">
        <w:t xml:space="preserve">independent </w:t>
      </w:r>
      <w:r w:rsidR="00551233" w:rsidRPr="004A34A5">
        <w:t>person</w:t>
      </w:r>
      <w:r w:rsidR="000F2BCA">
        <w:t>. They</w:t>
      </w:r>
      <w:r w:rsidR="00551233">
        <w:t xml:space="preserve"> </w:t>
      </w:r>
      <w:r w:rsidR="00551233" w:rsidRPr="004A34A5">
        <w:t>provid</w:t>
      </w:r>
      <w:r w:rsidR="00551233">
        <w:t>e</w:t>
      </w:r>
      <w:r w:rsidR="00551233" w:rsidRPr="004A34A5">
        <w:t xml:space="preserve"> advice to assist organisations with the identification and management of risks associated with GMO dealings</w:t>
      </w:r>
      <w:r w:rsidR="00551233">
        <w:t>.</w:t>
      </w:r>
    </w:p>
    <w:p w14:paraId="13AE3366" w14:textId="50FED102" w:rsidR="008248AF" w:rsidRDefault="00F91E2D" w:rsidP="00C1363F">
      <w:pPr>
        <w:spacing w:before="120" w:after="120"/>
      </w:pPr>
      <w:bookmarkStart w:id="3" w:name="_Hlk101547469"/>
      <w:r>
        <w:t>To ensure that the information included is complete</w:t>
      </w:r>
      <w:bookmarkEnd w:id="3"/>
      <w:r>
        <w:t xml:space="preserve">, </w:t>
      </w:r>
      <w:r w:rsidR="008248AF">
        <w:t xml:space="preserve">GMO licence applications must be </w:t>
      </w:r>
      <w:r w:rsidR="008248AF" w:rsidRPr="00974CB7">
        <w:t>reviewed and endorsed by an IBC</w:t>
      </w:r>
      <w:r w:rsidR="008248AF">
        <w:t xml:space="preserve"> before</w:t>
      </w:r>
      <w:r>
        <w:t xml:space="preserve"> </w:t>
      </w:r>
      <w:r w:rsidR="008248AF">
        <w:t>submi</w:t>
      </w:r>
      <w:r>
        <w:t>ssion</w:t>
      </w:r>
      <w:r w:rsidR="008248AF">
        <w:t xml:space="preserve"> to the Regulato</w:t>
      </w:r>
      <w:r>
        <w:t>r</w:t>
      </w:r>
      <w:r w:rsidR="008248AF">
        <w:t xml:space="preserve">. </w:t>
      </w:r>
      <w:bookmarkStart w:id="4" w:name="_Hlk101547736"/>
      <w:r w:rsidR="008248AF" w:rsidRPr="00423996">
        <w:t>The IBC must have appropriate collective technical and scientific expertise to review the application.</w:t>
      </w:r>
      <w:bookmarkEnd w:id="4"/>
    </w:p>
    <w:p w14:paraId="0EC9A70D" w14:textId="2ED5A121" w:rsidR="004A34A5" w:rsidRDefault="00F91E2D" w:rsidP="00C1363F">
      <w:pPr>
        <w:spacing w:before="120" w:after="120"/>
      </w:pPr>
      <w:r w:rsidRPr="00A13FB0">
        <w:rPr>
          <w:color w:val="222222"/>
          <w:szCs w:val="22"/>
        </w:rPr>
        <w:lastRenderedPageBreak/>
        <w:t xml:space="preserve">More information about accreditation and IBCs can be found in the </w:t>
      </w:r>
      <w:hyperlink r:id="rId14" w:history="1">
        <w:r w:rsidRPr="00051457">
          <w:rPr>
            <w:rStyle w:val="Hyperlink"/>
            <w:i/>
            <w:szCs w:val="22"/>
          </w:rPr>
          <w:t xml:space="preserve">Explanatory Information on the </w:t>
        </w:r>
        <w:r w:rsidRPr="00A13FB0">
          <w:rPr>
            <w:rStyle w:val="Hyperlink"/>
            <w:i/>
            <w:szCs w:val="22"/>
          </w:rPr>
          <w:t>Guidelines for Accreditation of Organisations</w:t>
        </w:r>
      </w:hyperlink>
      <w:r w:rsidRPr="00051457">
        <w:rPr>
          <w:color w:val="222222"/>
          <w:szCs w:val="22"/>
        </w:rPr>
        <w:t xml:space="preserve"> and in</w:t>
      </w:r>
      <w:r w:rsidRPr="00A13FB0">
        <w:rPr>
          <w:color w:val="222222"/>
          <w:szCs w:val="22"/>
        </w:rPr>
        <w:t xml:space="preserve"> the </w:t>
      </w:r>
      <w:hyperlink r:id="rId15" w:history="1">
        <w:r w:rsidRPr="00051457">
          <w:rPr>
            <w:rStyle w:val="Hyperlink"/>
            <w:szCs w:val="22"/>
          </w:rPr>
          <w:t>Accreditation Guidelines</w:t>
        </w:r>
      </w:hyperlink>
      <w:r w:rsidRPr="00051457">
        <w:rPr>
          <w:color w:val="222222"/>
          <w:szCs w:val="22"/>
        </w:rPr>
        <w:t xml:space="preserve"> themselves. </w:t>
      </w:r>
      <w:r w:rsidRPr="00A13FB0">
        <w:t xml:space="preserve">A </w:t>
      </w:r>
      <w:hyperlink r:id="rId16" w:history="1">
        <w:r w:rsidRPr="00117F47">
          <w:rPr>
            <w:rStyle w:val="Hyperlink"/>
          </w:rPr>
          <w:t>list of accredited organisations</w:t>
        </w:r>
      </w:hyperlink>
      <w:r w:rsidRPr="00051457">
        <w:t xml:space="preserve"> </w:t>
      </w:r>
      <w:r>
        <w:t>is available</w:t>
      </w:r>
      <w:r w:rsidRPr="00051457">
        <w:t xml:space="preserve"> on the </w:t>
      </w:r>
      <w:r w:rsidRPr="00117F47">
        <w:t>OGTR website</w:t>
      </w:r>
      <w:r w:rsidRPr="00051457">
        <w:t>.</w:t>
      </w:r>
    </w:p>
    <w:p w14:paraId="3F485C8A" w14:textId="7A397C1E" w:rsidR="005E151E" w:rsidRPr="006C216A" w:rsidRDefault="004A117B" w:rsidP="00625A52">
      <w:pPr>
        <w:pStyle w:val="Heading2"/>
        <w:spacing w:before="120" w:after="120" w:line="0" w:lineRule="atLeast"/>
      </w:pPr>
      <w:r w:rsidRPr="006C216A">
        <w:t>A</w:t>
      </w:r>
      <w:r w:rsidR="001F55D2" w:rsidRPr="006C216A">
        <w:t>ssessment timeframes</w:t>
      </w:r>
    </w:p>
    <w:p w14:paraId="32E972B1" w14:textId="24BD08CF" w:rsidR="001F55D2" w:rsidRPr="00A13FB0" w:rsidRDefault="001F55D2" w:rsidP="00C1363F">
      <w:pPr>
        <w:spacing w:before="120" w:after="120"/>
        <w:rPr>
          <w:szCs w:val="22"/>
        </w:rPr>
      </w:pPr>
      <w:r w:rsidRPr="00A13FB0">
        <w:rPr>
          <w:rFonts w:eastAsiaTheme="minorHAnsi"/>
        </w:rPr>
        <w:t>F</w:t>
      </w:r>
      <w:r w:rsidR="006C216A">
        <w:rPr>
          <w:rFonts w:eastAsiaTheme="minorHAnsi"/>
        </w:rPr>
        <w:t>rom the date a complete</w:t>
      </w:r>
      <w:r w:rsidRPr="00A13FB0">
        <w:rPr>
          <w:rFonts w:eastAsiaTheme="minorHAnsi"/>
        </w:rPr>
        <w:t xml:space="preserve"> </w:t>
      </w:r>
      <w:hyperlink r:id="rId17" w:history="1">
        <w:r w:rsidRPr="000A1D96">
          <w:rPr>
            <w:rStyle w:val="Hyperlink"/>
            <w:rFonts w:eastAsiaTheme="minorHAnsi"/>
            <w:bCs/>
          </w:rPr>
          <w:t xml:space="preserve">DNIR </w:t>
        </w:r>
        <w:r w:rsidR="00E37146" w:rsidRPr="000A1D96">
          <w:rPr>
            <w:rStyle w:val="Hyperlink"/>
            <w:rFonts w:eastAsiaTheme="minorHAnsi"/>
            <w:bCs/>
          </w:rPr>
          <w:t xml:space="preserve">licence </w:t>
        </w:r>
        <w:r w:rsidRPr="000A1D96">
          <w:rPr>
            <w:rStyle w:val="Hyperlink"/>
            <w:rFonts w:eastAsiaTheme="minorHAnsi"/>
            <w:bCs/>
          </w:rPr>
          <w:t>application</w:t>
        </w:r>
      </w:hyperlink>
      <w:r w:rsidR="006C216A">
        <w:rPr>
          <w:rFonts w:eastAsiaTheme="minorHAnsi"/>
          <w:b/>
        </w:rPr>
        <w:t xml:space="preserve"> </w:t>
      </w:r>
      <w:r w:rsidR="006C216A" w:rsidRPr="006C216A">
        <w:rPr>
          <w:rFonts w:eastAsiaTheme="minorHAnsi"/>
          <w:bCs/>
        </w:rPr>
        <w:t>is received</w:t>
      </w:r>
      <w:r w:rsidR="00703805" w:rsidRPr="006C216A">
        <w:rPr>
          <w:rFonts w:eastAsiaTheme="minorHAnsi"/>
          <w:bCs/>
        </w:rPr>
        <w:t>,</w:t>
      </w:r>
      <w:r w:rsidRPr="006C216A">
        <w:rPr>
          <w:rFonts w:eastAsiaTheme="minorHAnsi"/>
          <w:bCs/>
        </w:rPr>
        <w:t xml:space="preserve"> the Regulator has</w:t>
      </w:r>
      <w:r w:rsidRPr="00386E04">
        <w:rPr>
          <w:rFonts w:eastAsiaTheme="minorHAnsi"/>
          <w:b/>
        </w:rPr>
        <w:t xml:space="preserve"> 90 working days</w:t>
      </w:r>
      <w:r w:rsidRPr="00051457">
        <w:rPr>
          <w:rFonts w:eastAsiaTheme="minorHAnsi"/>
        </w:rPr>
        <w:t xml:space="preserve"> (about 4½ months) to </w:t>
      </w:r>
      <w:proofErr w:type="gramStart"/>
      <w:r w:rsidRPr="00051457">
        <w:rPr>
          <w:rFonts w:eastAsiaTheme="minorHAnsi"/>
        </w:rPr>
        <w:t>make a decision</w:t>
      </w:r>
      <w:proofErr w:type="gramEnd"/>
      <w:r w:rsidRPr="00051457">
        <w:rPr>
          <w:rFonts w:eastAsiaTheme="minorHAnsi"/>
        </w:rPr>
        <w:t>.</w:t>
      </w:r>
    </w:p>
    <w:p w14:paraId="028D369F" w14:textId="6714D1AF" w:rsidR="00547E5F" w:rsidRDefault="006C216A" w:rsidP="00C1363F">
      <w:pPr>
        <w:spacing w:before="120" w:after="120"/>
        <w:rPr>
          <w:szCs w:val="22"/>
        </w:rPr>
      </w:pPr>
      <w:r w:rsidRPr="00A13FB0">
        <w:rPr>
          <w:rFonts w:eastAsiaTheme="minorHAnsi"/>
        </w:rPr>
        <w:t>F</w:t>
      </w:r>
      <w:r>
        <w:rPr>
          <w:rFonts w:eastAsiaTheme="minorHAnsi"/>
        </w:rPr>
        <w:t>rom the date a complete</w:t>
      </w:r>
      <w:r w:rsidRPr="00A13FB0">
        <w:rPr>
          <w:rFonts w:eastAsiaTheme="minorHAnsi"/>
        </w:rPr>
        <w:t xml:space="preserve"> </w:t>
      </w:r>
      <w:hyperlink r:id="rId18" w:history="1">
        <w:r w:rsidRPr="00DD6FCA">
          <w:rPr>
            <w:rStyle w:val="Hyperlink"/>
            <w:rFonts w:eastAsiaTheme="minorHAnsi"/>
            <w:bCs/>
          </w:rPr>
          <w:t>DIR licence application</w:t>
        </w:r>
      </w:hyperlink>
      <w:r>
        <w:rPr>
          <w:rFonts w:eastAsiaTheme="minorHAnsi"/>
          <w:b/>
        </w:rPr>
        <w:t xml:space="preserve"> </w:t>
      </w:r>
      <w:r w:rsidRPr="006C216A">
        <w:rPr>
          <w:rFonts w:eastAsiaTheme="minorHAnsi"/>
          <w:bCs/>
        </w:rPr>
        <w:t>is received, the Regulator has</w:t>
      </w:r>
      <w:r w:rsidRPr="00386E04">
        <w:rPr>
          <w:rFonts w:eastAsiaTheme="minorHAnsi"/>
          <w:b/>
        </w:rPr>
        <w:t xml:space="preserve"> </w:t>
      </w:r>
      <w:r>
        <w:rPr>
          <w:rFonts w:eastAsiaTheme="minorHAnsi"/>
          <w:b/>
        </w:rPr>
        <w:t>150</w:t>
      </w:r>
      <w:r w:rsidRPr="00386E04">
        <w:rPr>
          <w:rFonts w:eastAsiaTheme="minorHAnsi"/>
          <w:b/>
        </w:rPr>
        <w:t xml:space="preserve"> working days</w:t>
      </w:r>
      <w:r w:rsidRPr="00051457">
        <w:rPr>
          <w:rFonts w:eastAsiaTheme="minorHAnsi"/>
        </w:rPr>
        <w:t xml:space="preserve"> (about</w:t>
      </w:r>
      <w:r>
        <w:rPr>
          <w:rFonts w:eastAsiaTheme="minorHAnsi"/>
        </w:rPr>
        <w:t xml:space="preserve"> 8</w:t>
      </w:r>
      <w:r w:rsidRPr="00051457">
        <w:rPr>
          <w:rFonts w:eastAsiaTheme="minorHAnsi"/>
        </w:rPr>
        <w:t xml:space="preserve"> months) to </w:t>
      </w:r>
      <w:proofErr w:type="gramStart"/>
      <w:r w:rsidRPr="00051457">
        <w:rPr>
          <w:rFonts w:eastAsiaTheme="minorHAnsi"/>
        </w:rPr>
        <w:t>make a decision</w:t>
      </w:r>
      <w:proofErr w:type="gramEnd"/>
      <w:r w:rsidRPr="00051457">
        <w:rPr>
          <w:rFonts w:eastAsiaTheme="minorHAnsi"/>
        </w:rPr>
        <w:t xml:space="preserve">. </w:t>
      </w:r>
      <w:r w:rsidR="0032601A">
        <w:rPr>
          <w:rFonts w:eastAsiaTheme="minorHAnsi"/>
        </w:rPr>
        <w:t xml:space="preserve">However, </w:t>
      </w:r>
      <w:r w:rsidR="006670D0" w:rsidRPr="00A13FB0">
        <w:rPr>
          <w:rFonts w:eastAsiaTheme="minorHAnsi"/>
        </w:rPr>
        <w:t xml:space="preserve">a longer timeframe </w:t>
      </w:r>
      <w:r w:rsidR="009760E0" w:rsidRPr="00A13FB0">
        <w:rPr>
          <w:rFonts w:eastAsiaTheme="minorHAnsi"/>
        </w:rPr>
        <w:t xml:space="preserve">will apply if the Regulator finds that the proposed dealings may </w:t>
      </w:r>
      <w:r w:rsidR="00A6353E" w:rsidRPr="00A13FB0">
        <w:rPr>
          <w:rFonts w:eastAsiaTheme="minorHAnsi"/>
        </w:rPr>
        <w:t xml:space="preserve">pose </w:t>
      </w:r>
      <w:r w:rsidR="009760E0" w:rsidRPr="00A13FB0">
        <w:rPr>
          <w:rFonts w:eastAsiaTheme="minorHAnsi"/>
        </w:rPr>
        <w:t>significant risks to people or the environment, or if the</w:t>
      </w:r>
      <w:r w:rsidR="006670D0" w:rsidRPr="00A13FB0">
        <w:rPr>
          <w:rFonts w:eastAsiaTheme="minorHAnsi"/>
        </w:rPr>
        <w:t xml:space="preserve"> DIR application does not qualify as a ‘limited and controlled release’ application</w:t>
      </w:r>
      <w:r w:rsidR="009760E0" w:rsidRPr="00A13FB0">
        <w:rPr>
          <w:rFonts w:eastAsiaTheme="minorHAnsi"/>
        </w:rPr>
        <w:t>.</w:t>
      </w:r>
    </w:p>
    <w:p w14:paraId="40E1D202" w14:textId="61792469" w:rsidR="001F55D2" w:rsidRDefault="00547E5F" w:rsidP="00C1363F">
      <w:pPr>
        <w:spacing w:before="120" w:after="120"/>
        <w:rPr>
          <w:rFonts w:eastAsiaTheme="minorHAnsi"/>
        </w:rPr>
      </w:pPr>
      <w:r>
        <w:rPr>
          <w:szCs w:val="22"/>
        </w:rPr>
        <w:t xml:space="preserve">For both </w:t>
      </w:r>
      <w:r w:rsidR="00C1363F">
        <w:rPr>
          <w:szCs w:val="22"/>
        </w:rPr>
        <w:t>types of</w:t>
      </w:r>
      <w:r w:rsidR="0081314D">
        <w:rPr>
          <w:szCs w:val="22"/>
        </w:rPr>
        <w:t xml:space="preserve"> </w:t>
      </w:r>
      <w:r>
        <w:rPr>
          <w:szCs w:val="22"/>
        </w:rPr>
        <w:t>application</w:t>
      </w:r>
      <w:r w:rsidR="00BE385B" w:rsidRPr="00A13FB0">
        <w:rPr>
          <w:szCs w:val="22"/>
        </w:rPr>
        <w:t xml:space="preserve">, </w:t>
      </w:r>
      <w:r>
        <w:rPr>
          <w:szCs w:val="22"/>
        </w:rPr>
        <w:t xml:space="preserve">if the Regulator requests further information from the applicant, the </w:t>
      </w:r>
      <w:r w:rsidR="00BE385B" w:rsidRPr="00A13FB0">
        <w:rPr>
          <w:szCs w:val="22"/>
        </w:rPr>
        <w:t xml:space="preserve">days </w:t>
      </w:r>
      <w:r w:rsidR="00BE385B" w:rsidRPr="00A13FB0">
        <w:rPr>
          <w:rFonts w:eastAsiaTheme="minorHAnsi"/>
        </w:rPr>
        <w:t xml:space="preserve">on which the Regulator is waiting for </w:t>
      </w:r>
      <w:r w:rsidR="00C1363F">
        <w:rPr>
          <w:rFonts w:eastAsiaTheme="minorHAnsi"/>
        </w:rPr>
        <w:t>this</w:t>
      </w:r>
      <w:r w:rsidR="00C1363F" w:rsidRPr="00A13FB0">
        <w:rPr>
          <w:rFonts w:eastAsiaTheme="minorHAnsi"/>
        </w:rPr>
        <w:t xml:space="preserve"> </w:t>
      </w:r>
      <w:r w:rsidR="00BE385B" w:rsidRPr="00A13FB0">
        <w:rPr>
          <w:rFonts w:eastAsiaTheme="minorHAnsi"/>
        </w:rPr>
        <w:t xml:space="preserve">information </w:t>
      </w:r>
      <w:r w:rsidR="00BE385B">
        <w:rPr>
          <w:rFonts w:eastAsiaTheme="minorHAnsi"/>
        </w:rPr>
        <w:t>may</w:t>
      </w:r>
      <w:r w:rsidR="00BE385B" w:rsidRPr="00A13FB0">
        <w:rPr>
          <w:rFonts w:eastAsiaTheme="minorHAnsi"/>
        </w:rPr>
        <w:t xml:space="preserve"> </w:t>
      </w:r>
      <w:r w:rsidR="00BE385B">
        <w:rPr>
          <w:rFonts w:eastAsiaTheme="minorHAnsi"/>
        </w:rPr>
        <w:t>not count towards the assessment</w:t>
      </w:r>
      <w:r w:rsidR="00BE385B" w:rsidRPr="00A13FB0">
        <w:rPr>
          <w:rFonts w:eastAsiaTheme="minorHAnsi"/>
        </w:rPr>
        <w:t xml:space="preserve"> timeframe.</w:t>
      </w:r>
    </w:p>
    <w:p w14:paraId="0EC0422A" w14:textId="77777777" w:rsidR="00AF2BF0" w:rsidRPr="00F41C18" w:rsidRDefault="00AF2BF0" w:rsidP="00625A52">
      <w:pPr>
        <w:pStyle w:val="Heading2"/>
        <w:spacing w:before="120" w:after="120" w:line="0" w:lineRule="atLeast"/>
      </w:pPr>
      <w:r w:rsidRPr="00F41C18">
        <w:t>No a</w:t>
      </w:r>
      <w:r w:rsidRPr="00AF2BF0">
        <w:t>pplication fees</w:t>
      </w:r>
    </w:p>
    <w:p w14:paraId="00B6FE5B" w14:textId="56754AA2" w:rsidR="00AF2BF0" w:rsidRPr="00A13FB0" w:rsidRDefault="00AF2BF0" w:rsidP="0057498C">
      <w:pPr>
        <w:spacing w:before="120" w:after="120"/>
      </w:pPr>
      <w:r w:rsidRPr="00A13FB0">
        <w:t>Currently</w:t>
      </w:r>
      <w:r w:rsidR="00545CE4">
        <w:t>,</w:t>
      </w:r>
      <w:r w:rsidRPr="00A13FB0">
        <w:t xml:space="preserve"> there is no fee associated with applications </w:t>
      </w:r>
      <w:r>
        <w:t xml:space="preserve">under the </w:t>
      </w:r>
      <w:r w:rsidRPr="00F12F9B">
        <w:rPr>
          <w:i/>
        </w:rPr>
        <w:t>Gene Technology Act 2000</w:t>
      </w:r>
      <w:r w:rsidRPr="00A13FB0">
        <w:t>.</w:t>
      </w:r>
    </w:p>
    <w:p w14:paraId="252288F9" w14:textId="06A3414E" w:rsidR="00056528" w:rsidRPr="00A13FB0" w:rsidRDefault="00056528" w:rsidP="00056528">
      <w:pPr>
        <w:pStyle w:val="Heading1"/>
        <w:spacing w:line="0" w:lineRule="atLeast"/>
      </w:pPr>
      <w:r>
        <w:t>C</w:t>
      </w:r>
      <w:r w:rsidRPr="00A13FB0">
        <w:t xml:space="preserve">linical trial </w:t>
      </w:r>
      <w:r>
        <w:t>sites</w:t>
      </w:r>
    </w:p>
    <w:p w14:paraId="38ED7AFE" w14:textId="0307A5B3" w:rsidR="00056528" w:rsidRDefault="003E48ED" w:rsidP="00C1363F">
      <w:pPr>
        <w:spacing w:before="120" w:after="120"/>
      </w:pPr>
      <w:r w:rsidRPr="003E48ED">
        <w:t>In general, use of OGTR-certified facilities is not required</w:t>
      </w:r>
      <w:r>
        <w:t xml:space="preserve"> for clinical trials</w:t>
      </w:r>
      <w:r w:rsidRPr="003E48ED">
        <w:t>.</w:t>
      </w:r>
      <w:r>
        <w:t xml:space="preserve"> </w:t>
      </w:r>
      <w:r w:rsidR="00056528" w:rsidRPr="00A13FB0">
        <w:t xml:space="preserve">The Regulator considers the suitability of </w:t>
      </w:r>
      <w:r w:rsidR="00056528" w:rsidRPr="00A13FB0">
        <w:rPr>
          <w:rFonts w:eastAsiaTheme="minorHAnsi"/>
        </w:rPr>
        <w:t>proposed</w:t>
      </w:r>
      <w:r w:rsidR="00056528" w:rsidRPr="00A13FB0">
        <w:t xml:space="preserve"> facilities</w:t>
      </w:r>
      <w:r w:rsidR="00056528">
        <w:t xml:space="preserve"> (or types of facilities)</w:t>
      </w:r>
      <w:r w:rsidR="00056528" w:rsidRPr="00A13FB0">
        <w:t xml:space="preserve"> </w:t>
      </w:r>
      <w:r w:rsidR="00056528">
        <w:t xml:space="preserve">on a case-by-case basis </w:t>
      </w:r>
      <w:r w:rsidR="00056528" w:rsidRPr="00A13FB0">
        <w:t>as part of assess</w:t>
      </w:r>
      <w:r w:rsidR="00056528">
        <w:t xml:space="preserve">ing a </w:t>
      </w:r>
      <w:r w:rsidR="00056528" w:rsidRPr="00A13FB0">
        <w:t>licence application</w:t>
      </w:r>
      <w:r w:rsidR="00056528">
        <w:t xml:space="preserve">. This assessment </w:t>
      </w:r>
      <w:proofErr w:type="gramStart"/>
      <w:r w:rsidR="00376178">
        <w:t>takes into account</w:t>
      </w:r>
      <w:proofErr w:type="gramEnd"/>
      <w:r w:rsidR="00056528">
        <w:t>:</w:t>
      </w:r>
    </w:p>
    <w:p w14:paraId="09944781" w14:textId="76F22461" w:rsidR="00056528" w:rsidRDefault="00056528" w:rsidP="00C1363F">
      <w:pPr>
        <w:pStyle w:val="ListParagraph"/>
        <w:numPr>
          <w:ilvl w:val="0"/>
          <w:numId w:val="7"/>
        </w:numPr>
        <w:spacing w:before="120" w:after="120"/>
      </w:pPr>
      <w:r>
        <w:t>t</w:t>
      </w:r>
      <w:r w:rsidRPr="00A13FB0">
        <w:t xml:space="preserve">he nature of </w:t>
      </w:r>
      <w:r>
        <w:t xml:space="preserve">the </w:t>
      </w:r>
      <w:r w:rsidRPr="00A13FB0">
        <w:t xml:space="preserve">facilities </w:t>
      </w:r>
      <w:r>
        <w:t xml:space="preserve">proposed </w:t>
      </w:r>
      <w:r w:rsidRPr="00A13FB0">
        <w:t xml:space="preserve">for </w:t>
      </w:r>
      <w:r>
        <w:t>each planned</w:t>
      </w:r>
      <w:r w:rsidRPr="00A13FB0">
        <w:t xml:space="preserve"> activit</w:t>
      </w:r>
      <w:r>
        <w:t>y</w:t>
      </w:r>
      <w:r w:rsidRPr="00A13FB0">
        <w:t xml:space="preserve"> involving GMOs</w:t>
      </w:r>
      <w:r>
        <w:t xml:space="preserve"> (e.g., transport, storage, preparation</w:t>
      </w:r>
      <w:r w:rsidR="00D61AAF">
        <w:t>,</w:t>
      </w:r>
      <w:r>
        <w:t xml:space="preserve"> administration,</w:t>
      </w:r>
      <w:r w:rsidR="00D61AAF">
        <w:t xml:space="preserve"> </w:t>
      </w:r>
      <w:proofErr w:type="gramStart"/>
      <w:r w:rsidR="00D61AAF" w:rsidRPr="00D61AAF">
        <w:t>collection</w:t>
      </w:r>
      <w:proofErr w:type="gramEnd"/>
      <w:r w:rsidR="00D61AAF" w:rsidRPr="00D61AAF">
        <w:t xml:space="preserve"> and analysis of participant samples </w:t>
      </w:r>
      <w:r w:rsidR="00D61AAF">
        <w:t>likely to</w:t>
      </w:r>
      <w:r w:rsidR="00D61AAF" w:rsidRPr="00D61AAF">
        <w:t xml:space="preserve"> contain GMOs</w:t>
      </w:r>
      <w:r w:rsidR="00D61AAF">
        <w:t>, and</w:t>
      </w:r>
      <w:r>
        <w:t xml:space="preserve"> waste disposal)</w:t>
      </w:r>
      <w:r w:rsidR="006D4C1C">
        <w:t>; and</w:t>
      </w:r>
    </w:p>
    <w:p w14:paraId="1887E28D" w14:textId="426A9B91" w:rsidR="00056528" w:rsidRDefault="00056528" w:rsidP="00C1363F">
      <w:pPr>
        <w:pStyle w:val="ListParagraph"/>
        <w:numPr>
          <w:ilvl w:val="0"/>
          <w:numId w:val="7"/>
        </w:numPr>
        <w:spacing w:before="120" w:after="120"/>
      </w:pPr>
      <w:r>
        <w:t xml:space="preserve">any relevant standards or guidelines applying to the type of facility (e.g., </w:t>
      </w:r>
      <w:r w:rsidRPr="008072EA">
        <w:t>National Safety and Quality Health Service</w:t>
      </w:r>
      <w:r>
        <w:t xml:space="preserve"> Standards for care facilities)</w:t>
      </w:r>
      <w:r w:rsidR="006D4C1C">
        <w:t>.</w:t>
      </w:r>
    </w:p>
    <w:p w14:paraId="402F7C33" w14:textId="27FB5D73" w:rsidR="005B074A" w:rsidRDefault="00F06E64" w:rsidP="00C1363F">
      <w:pPr>
        <w:spacing w:before="120" w:after="120"/>
        <w:rPr>
          <w:szCs w:val="22"/>
        </w:rPr>
      </w:pPr>
      <w:r>
        <w:t>A single licence can authorise a clinical trial conducted over multiple sites, and the</w:t>
      </w:r>
      <w:r w:rsidR="00056528">
        <w:rPr>
          <w:szCs w:val="22"/>
        </w:rPr>
        <w:t xml:space="preserve"> licence application may be submitted before site selection is complete. However, </w:t>
      </w:r>
      <w:r w:rsidR="00376178">
        <w:rPr>
          <w:szCs w:val="22"/>
        </w:rPr>
        <w:t>applicants</w:t>
      </w:r>
      <w:r w:rsidR="00056528">
        <w:rPr>
          <w:szCs w:val="22"/>
        </w:rPr>
        <w:t xml:space="preserve"> must </w:t>
      </w:r>
      <w:r w:rsidR="003E48ED">
        <w:rPr>
          <w:szCs w:val="22"/>
        </w:rPr>
        <w:t xml:space="preserve">be able to </w:t>
      </w:r>
      <w:r w:rsidR="00300188" w:rsidRPr="00300188">
        <w:rPr>
          <w:szCs w:val="22"/>
        </w:rPr>
        <w:t>identify the types of facility to be used</w:t>
      </w:r>
      <w:r w:rsidR="00300188">
        <w:rPr>
          <w:szCs w:val="22"/>
        </w:rPr>
        <w:t xml:space="preserve"> and </w:t>
      </w:r>
      <w:r w:rsidR="006D4C1C">
        <w:rPr>
          <w:szCs w:val="22"/>
        </w:rPr>
        <w:t>describe</w:t>
      </w:r>
      <w:r w:rsidR="00056528">
        <w:rPr>
          <w:szCs w:val="22"/>
        </w:rPr>
        <w:t xml:space="preserve"> how </w:t>
      </w:r>
      <w:r w:rsidR="009E15E3">
        <w:rPr>
          <w:szCs w:val="22"/>
        </w:rPr>
        <w:t xml:space="preserve">the </w:t>
      </w:r>
      <w:r w:rsidR="00056528">
        <w:rPr>
          <w:szCs w:val="22"/>
        </w:rPr>
        <w:t xml:space="preserve">work will be managed and conducted. The sites chosen must </w:t>
      </w:r>
      <w:r w:rsidR="006D4C1C">
        <w:rPr>
          <w:szCs w:val="22"/>
        </w:rPr>
        <w:t xml:space="preserve">also </w:t>
      </w:r>
      <w:r w:rsidR="00056528" w:rsidRPr="00CE1E80">
        <w:rPr>
          <w:szCs w:val="22"/>
        </w:rPr>
        <w:t xml:space="preserve">be able </w:t>
      </w:r>
      <w:r w:rsidR="009E15E3">
        <w:rPr>
          <w:szCs w:val="22"/>
        </w:rPr>
        <w:t>to</w:t>
      </w:r>
      <w:r w:rsidR="00056528" w:rsidRPr="00CE1E80">
        <w:rPr>
          <w:szCs w:val="22"/>
        </w:rPr>
        <w:t xml:space="preserve"> comply with all licence conditions imposed.</w:t>
      </w:r>
      <w:r w:rsidR="00056528">
        <w:rPr>
          <w:szCs w:val="22"/>
        </w:rPr>
        <w:t xml:space="preserve"> Licence conditions will generally require that before activities with GMOs commence at each </w:t>
      </w:r>
      <w:r w:rsidR="009E15E3">
        <w:rPr>
          <w:szCs w:val="22"/>
        </w:rPr>
        <w:t xml:space="preserve">clinical trial </w:t>
      </w:r>
      <w:r w:rsidR="00056528">
        <w:rPr>
          <w:szCs w:val="22"/>
        </w:rPr>
        <w:t>site,</w:t>
      </w:r>
      <w:r w:rsidR="005B074A">
        <w:rPr>
          <w:szCs w:val="22"/>
        </w:rPr>
        <w:t xml:space="preserve"> details of</w:t>
      </w:r>
      <w:r w:rsidR="00056528">
        <w:rPr>
          <w:szCs w:val="22"/>
        </w:rPr>
        <w:t xml:space="preserve"> the site are notified to the Regulator and a compliance management plan is provided. This plan </w:t>
      </w:r>
      <w:r w:rsidR="005B074A">
        <w:rPr>
          <w:szCs w:val="22"/>
        </w:rPr>
        <w:t>must</w:t>
      </w:r>
      <w:r w:rsidR="00056528">
        <w:rPr>
          <w:szCs w:val="22"/>
        </w:rPr>
        <w:t xml:space="preserve"> include specifics such as key personnel, reporting structures</w:t>
      </w:r>
      <w:r w:rsidR="00884D44">
        <w:rPr>
          <w:szCs w:val="22"/>
        </w:rPr>
        <w:t xml:space="preserve"> and</w:t>
      </w:r>
      <w:r w:rsidR="001A380A">
        <w:rPr>
          <w:szCs w:val="22"/>
        </w:rPr>
        <w:t xml:space="preserve"> </w:t>
      </w:r>
      <w:r>
        <w:rPr>
          <w:szCs w:val="22"/>
        </w:rPr>
        <w:t xml:space="preserve">staff </w:t>
      </w:r>
      <w:r w:rsidR="001A380A">
        <w:rPr>
          <w:szCs w:val="22"/>
        </w:rPr>
        <w:t>training</w:t>
      </w:r>
      <w:r w:rsidR="00056528">
        <w:rPr>
          <w:szCs w:val="22"/>
        </w:rPr>
        <w:t>.</w:t>
      </w:r>
      <w:r w:rsidR="005B074A">
        <w:rPr>
          <w:szCs w:val="22"/>
        </w:rPr>
        <w:t xml:space="preserve"> </w:t>
      </w:r>
      <w:r w:rsidR="006D4C1C">
        <w:rPr>
          <w:szCs w:val="22"/>
        </w:rPr>
        <w:t>If the site has an IBC, it should be consulted about local arrangements for working with GMOs.</w:t>
      </w:r>
    </w:p>
    <w:p w14:paraId="09727C2D" w14:textId="06DEF8C2" w:rsidR="004A117B" w:rsidRPr="00A13FB0" w:rsidRDefault="004A117B" w:rsidP="00605FE8">
      <w:pPr>
        <w:pStyle w:val="Heading1"/>
        <w:spacing w:line="0" w:lineRule="atLeast"/>
      </w:pPr>
      <w:r>
        <w:t xml:space="preserve">Other </w:t>
      </w:r>
      <w:r w:rsidR="00835FF0">
        <w:t>r</w:t>
      </w:r>
      <w:r w:rsidR="00703805">
        <w:t>egulatory authorisation</w:t>
      </w:r>
      <w:r w:rsidR="00835FF0">
        <w:t>s</w:t>
      </w:r>
    </w:p>
    <w:p w14:paraId="719788E5" w14:textId="74F8E8A8" w:rsidR="00F94360" w:rsidRDefault="00F94360" w:rsidP="00C1363F">
      <w:pPr>
        <w:spacing w:before="120" w:after="120"/>
      </w:pPr>
      <w:r>
        <w:t xml:space="preserve">Clinical trials in Australia are regulated by the </w:t>
      </w:r>
      <w:hyperlink r:id="rId19" w:history="1">
        <w:r w:rsidRPr="00F94360">
          <w:rPr>
            <w:rStyle w:val="Hyperlink"/>
          </w:rPr>
          <w:t>Therapeutic Goods Administration</w:t>
        </w:r>
      </w:hyperlink>
      <w:r>
        <w:t xml:space="preserve"> (TGA) under the </w:t>
      </w:r>
      <w:r w:rsidRPr="00BA2A8E">
        <w:rPr>
          <w:i/>
          <w:iCs/>
        </w:rPr>
        <w:t>Therapeutic Goods Act 1989</w:t>
      </w:r>
      <w:r>
        <w:t xml:space="preserve">. Before a clinical trial commences, </w:t>
      </w:r>
      <w:hyperlink r:id="rId20" w:history="1">
        <w:r w:rsidRPr="00F94360">
          <w:rPr>
            <w:rStyle w:val="Hyperlink"/>
          </w:rPr>
          <w:t>TGA requirements</w:t>
        </w:r>
      </w:hyperlink>
      <w:r>
        <w:t xml:space="preserve"> must be satisfied, including obtaining approval from a Human Research Ethics Committee. The OGTR does not require that regulatory approvals be obtained in any </w:t>
      </w:r>
      <w:proofErr w:type="gramStart"/>
      <w:r>
        <w:t>particular order</w:t>
      </w:r>
      <w:proofErr w:type="gramEnd"/>
      <w:r>
        <w:t xml:space="preserve"> and these processes can run in parallel to OGTR assessment of </w:t>
      </w:r>
      <w:r w:rsidR="003E48ED">
        <w:t>a</w:t>
      </w:r>
      <w:r>
        <w:t xml:space="preserve"> licence application.</w:t>
      </w:r>
    </w:p>
    <w:p w14:paraId="5D6BB14D" w14:textId="5DC9D50E" w:rsidR="00F94360" w:rsidRDefault="00F94360" w:rsidP="00C1363F">
      <w:pPr>
        <w:spacing w:before="120" w:after="120"/>
      </w:pPr>
      <w:r>
        <w:t xml:space="preserve">If the IP </w:t>
      </w:r>
      <w:r w:rsidR="003E48ED">
        <w:t>is manufactured overseas</w:t>
      </w:r>
      <w:r>
        <w:t xml:space="preserve">, you may require an import permit from the </w:t>
      </w:r>
      <w:hyperlink r:id="rId21" w:history="1">
        <w:r w:rsidRPr="00F94360">
          <w:rPr>
            <w:rStyle w:val="Hyperlink"/>
          </w:rPr>
          <w:t>Department of Agriculture, Fisheries and Forestry</w:t>
        </w:r>
      </w:hyperlink>
      <w:r>
        <w:t>. This will need to be in place before the GMO is first imported into Australia.</w:t>
      </w:r>
    </w:p>
    <w:p w14:paraId="077DB769" w14:textId="77777777" w:rsidR="00F94360" w:rsidRDefault="00F94360" w:rsidP="00C1363F">
      <w:pPr>
        <w:spacing w:before="120" w:after="120"/>
      </w:pPr>
      <w:r>
        <w:t>Applicants are responsible for ensuring they are aware of and comply with any other Australian regulatory requirements relevant to the proposed clinical trial.</w:t>
      </w:r>
    </w:p>
    <w:p w14:paraId="2653D5FB" w14:textId="77777777" w:rsidR="007A54F6" w:rsidRPr="00A13FB0" w:rsidRDefault="00BA1DAD" w:rsidP="00605FE8">
      <w:pPr>
        <w:pStyle w:val="Heading1"/>
        <w:spacing w:line="0" w:lineRule="atLeast"/>
      </w:pPr>
      <w:r w:rsidRPr="00A13FB0">
        <w:lastRenderedPageBreak/>
        <w:t>Further information</w:t>
      </w:r>
    </w:p>
    <w:p w14:paraId="3DA9B76B" w14:textId="0AF1C3E7" w:rsidR="006E3273" w:rsidRPr="006E3273" w:rsidRDefault="006E3273" w:rsidP="006E3273">
      <w:pPr>
        <w:spacing w:before="120" w:after="120"/>
      </w:pPr>
      <w:r w:rsidRPr="006E3273">
        <w:t xml:space="preserve">Additional information </w:t>
      </w:r>
      <w:r>
        <w:t>is available</w:t>
      </w:r>
      <w:r w:rsidRPr="006E3273">
        <w:t xml:space="preserve"> on the OGTR website, including:</w:t>
      </w:r>
    </w:p>
    <w:p w14:paraId="245BC270" w14:textId="52C3F82E" w:rsidR="006E3273" w:rsidRPr="006E3273" w:rsidRDefault="00060EB0" w:rsidP="00C1363F">
      <w:pPr>
        <w:pStyle w:val="ListParagraph"/>
        <w:numPr>
          <w:ilvl w:val="0"/>
          <w:numId w:val="4"/>
        </w:numPr>
        <w:spacing w:before="120" w:after="120"/>
        <w:ind w:left="714" w:hanging="357"/>
        <w:rPr>
          <w:rFonts w:asciiTheme="minorHAnsi" w:hAnsiTheme="minorHAnsi"/>
        </w:rPr>
      </w:pPr>
      <w:hyperlink r:id="rId22" w:history="1">
        <w:r w:rsidR="008B4A57" w:rsidRPr="006E3273">
          <w:rPr>
            <w:rStyle w:val="Hyperlink"/>
            <w:rFonts w:asciiTheme="minorHAnsi" w:hAnsiTheme="minorHAnsi"/>
          </w:rPr>
          <w:t>Types of GMO dealings</w:t>
        </w:r>
      </w:hyperlink>
    </w:p>
    <w:p w14:paraId="5F3D4594" w14:textId="6FEC9074" w:rsidR="006504B1" w:rsidRPr="00625A52" w:rsidRDefault="00060EB0" w:rsidP="00C1363F">
      <w:pPr>
        <w:pStyle w:val="ListParagraph"/>
        <w:numPr>
          <w:ilvl w:val="0"/>
          <w:numId w:val="4"/>
        </w:numPr>
        <w:spacing w:before="120" w:after="120"/>
        <w:ind w:left="714" w:hanging="357"/>
        <w:rPr>
          <w:rStyle w:val="Hyperlink"/>
          <w:rFonts w:asciiTheme="minorHAnsi" w:hAnsiTheme="minorHAnsi"/>
          <w:color w:val="auto"/>
          <w:u w:val="none"/>
        </w:rPr>
      </w:pPr>
      <w:hyperlink r:id="rId23" w:history="1">
        <w:r w:rsidR="006E3273">
          <w:rPr>
            <w:rStyle w:val="Hyperlink"/>
            <w:rFonts w:asciiTheme="minorHAnsi" w:hAnsiTheme="minorHAnsi"/>
          </w:rPr>
          <w:t>Overview of the approval process</w:t>
        </w:r>
      </w:hyperlink>
    </w:p>
    <w:p w14:paraId="61175C67" w14:textId="2E7B4591" w:rsidR="00625A52" w:rsidRPr="00D773D3" w:rsidRDefault="00060EB0" w:rsidP="00C1363F">
      <w:pPr>
        <w:pStyle w:val="ListParagraph"/>
        <w:numPr>
          <w:ilvl w:val="0"/>
          <w:numId w:val="4"/>
        </w:numPr>
        <w:spacing w:before="120" w:after="120"/>
        <w:ind w:left="714" w:hanging="357"/>
        <w:rPr>
          <w:rFonts w:asciiTheme="minorHAnsi" w:hAnsiTheme="minorHAnsi"/>
        </w:rPr>
      </w:pPr>
      <w:hyperlink r:id="rId24" w:history="1">
        <w:r w:rsidR="008B4A57" w:rsidRPr="004C2EFD">
          <w:rPr>
            <w:rStyle w:val="Hyperlink"/>
          </w:rPr>
          <w:t>Apply for a licence to conduct a human clinical trial of a GMO</w:t>
        </w:r>
      </w:hyperlink>
    </w:p>
    <w:p w14:paraId="4CA31A1A" w14:textId="5E3C9A7F" w:rsidR="003D6A08" w:rsidRPr="00D773D3" w:rsidRDefault="00060EB0" w:rsidP="00C1363F">
      <w:pPr>
        <w:pStyle w:val="ListParagraph"/>
        <w:numPr>
          <w:ilvl w:val="0"/>
          <w:numId w:val="4"/>
        </w:numPr>
        <w:spacing w:before="120" w:after="120"/>
        <w:ind w:left="714" w:hanging="357"/>
        <w:rPr>
          <w:rFonts w:asciiTheme="minorHAnsi" w:hAnsiTheme="minorHAnsi"/>
        </w:rPr>
      </w:pPr>
      <w:hyperlink r:id="rId25" w:history="1">
        <w:r w:rsidR="008B4A57" w:rsidRPr="006E3273">
          <w:rPr>
            <w:rStyle w:val="Hyperlink"/>
            <w:rFonts w:asciiTheme="minorHAnsi" w:hAnsiTheme="minorHAnsi"/>
          </w:rPr>
          <w:t>Apply for organisation accreditation</w:t>
        </w:r>
      </w:hyperlink>
    </w:p>
    <w:p w14:paraId="50A73797" w14:textId="1B6708E8" w:rsidR="00484998" w:rsidRDefault="001E3154" w:rsidP="00C1363F">
      <w:pPr>
        <w:spacing w:before="120" w:after="120"/>
        <w:rPr>
          <w:szCs w:val="22"/>
        </w:rPr>
      </w:pPr>
      <w:r w:rsidRPr="00D773D3">
        <w:rPr>
          <w:szCs w:val="22"/>
        </w:rPr>
        <w:t xml:space="preserve">If you require </w:t>
      </w:r>
      <w:r w:rsidR="00605FE8">
        <w:rPr>
          <w:szCs w:val="22"/>
        </w:rPr>
        <w:t>further</w:t>
      </w:r>
      <w:r w:rsidRPr="00D773D3">
        <w:rPr>
          <w:szCs w:val="22"/>
        </w:rPr>
        <w:t xml:space="preserve"> information or clarification, contact </w:t>
      </w:r>
      <w:r w:rsidRPr="00D773D3">
        <w:rPr>
          <w:rFonts w:eastAsiaTheme="minorHAnsi"/>
          <w:szCs w:val="22"/>
        </w:rPr>
        <w:t>the</w:t>
      </w:r>
      <w:r w:rsidRPr="00D773D3">
        <w:rPr>
          <w:szCs w:val="22"/>
        </w:rPr>
        <w:t xml:space="preserve"> OGTR </w:t>
      </w:r>
      <w:r w:rsidR="00631647" w:rsidRPr="00D773D3">
        <w:rPr>
          <w:szCs w:val="22"/>
        </w:rPr>
        <w:t xml:space="preserve">by </w:t>
      </w:r>
      <w:r w:rsidRPr="00D773D3">
        <w:rPr>
          <w:szCs w:val="22"/>
        </w:rPr>
        <w:t xml:space="preserve">email to </w:t>
      </w:r>
      <w:hyperlink r:id="rId26" w:history="1">
        <w:r w:rsidR="006E3273" w:rsidRPr="003A092E">
          <w:rPr>
            <w:rStyle w:val="Hyperlink"/>
            <w:szCs w:val="22"/>
          </w:rPr>
          <w:t>ogtr.cdes@health.gov.au</w:t>
        </w:r>
      </w:hyperlink>
      <w:r w:rsidRPr="00D773D3">
        <w:rPr>
          <w:szCs w:val="22"/>
        </w:rPr>
        <w:t xml:space="preserve"> or free call 1 800 181 030.</w:t>
      </w:r>
    </w:p>
    <w:p w14:paraId="5ACD6E97" w14:textId="16188D8B" w:rsidR="006E3273" w:rsidRDefault="006E3273" w:rsidP="00C1363F">
      <w:pPr>
        <w:spacing w:before="120" w:after="120"/>
        <w:rPr>
          <w:szCs w:val="22"/>
        </w:rPr>
      </w:pPr>
    </w:p>
    <w:p w14:paraId="3DD2959F" w14:textId="77777777" w:rsidR="00041979" w:rsidRDefault="00041979" w:rsidP="00C1363F">
      <w:pPr>
        <w:pBdr>
          <w:top w:val="single" w:sz="4" w:space="1" w:color="auto"/>
          <w:left w:val="single" w:sz="4" w:space="4" w:color="auto"/>
          <w:bottom w:val="single" w:sz="4" w:space="14" w:color="auto"/>
          <w:right w:val="single" w:sz="4" w:space="4" w:color="auto"/>
        </w:pBdr>
        <w:shd w:val="clear" w:color="auto" w:fill="D2E1FA"/>
        <w:spacing w:before="240" w:line="0" w:lineRule="atLeast"/>
        <w:jc w:val="center"/>
        <w:rPr>
          <w:b/>
          <w:sz w:val="28"/>
          <w:szCs w:val="28"/>
        </w:rPr>
      </w:pPr>
      <w:r>
        <w:rPr>
          <w:b/>
          <w:sz w:val="28"/>
          <w:szCs w:val="28"/>
        </w:rPr>
        <w:t>DISCLAIMER</w:t>
      </w:r>
    </w:p>
    <w:p w14:paraId="476150CE" w14:textId="1EF22B06" w:rsidR="0021247B" w:rsidRPr="00041979" w:rsidRDefault="00041979" w:rsidP="00C1363F">
      <w:pPr>
        <w:pBdr>
          <w:top w:val="single" w:sz="4" w:space="1" w:color="auto"/>
          <w:left w:val="single" w:sz="4" w:space="4" w:color="auto"/>
          <w:bottom w:val="single" w:sz="4" w:space="14" w:color="auto"/>
          <w:right w:val="single" w:sz="4" w:space="4" w:color="auto"/>
        </w:pBdr>
        <w:shd w:val="clear" w:color="auto" w:fill="D2E1FA"/>
        <w:spacing w:before="120" w:after="120"/>
        <w:rPr>
          <w:szCs w:val="22"/>
        </w:rPr>
      </w:pPr>
      <w:r>
        <w:rPr>
          <w:szCs w:val="22"/>
        </w:rPr>
        <w:t xml:space="preserve">The </w:t>
      </w:r>
      <w:r w:rsidR="00F0729B">
        <w:rPr>
          <w:szCs w:val="22"/>
        </w:rPr>
        <w:t>purpose of</w:t>
      </w:r>
      <w:r>
        <w:rPr>
          <w:szCs w:val="22"/>
        </w:rPr>
        <w:t xml:space="preserve"> this document is </w:t>
      </w:r>
      <w:r w:rsidR="00F0729B">
        <w:rPr>
          <w:szCs w:val="22"/>
        </w:rPr>
        <w:t>to provide practical and operational information to</w:t>
      </w:r>
      <w:r w:rsidR="00F0729B" w:rsidRPr="00F0729B">
        <w:rPr>
          <w:szCs w:val="22"/>
        </w:rPr>
        <w:t xml:space="preserve"> </w:t>
      </w:r>
      <w:r w:rsidR="00F0729B">
        <w:rPr>
          <w:szCs w:val="22"/>
        </w:rPr>
        <w:t>organisations and researchers engaged in the relevant field. The information in this document does</w:t>
      </w:r>
      <w:r>
        <w:rPr>
          <w:szCs w:val="22"/>
        </w:rPr>
        <w:t xml:space="preserve"> not </w:t>
      </w:r>
      <w:r w:rsidR="00F0729B">
        <w:rPr>
          <w:szCs w:val="22"/>
        </w:rPr>
        <w:t>constitute</w:t>
      </w:r>
      <w:r>
        <w:rPr>
          <w:szCs w:val="22"/>
        </w:rPr>
        <w:t xml:space="preserve"> legal advice </w:t>
      </w:r>
      <w:r w:rsidR="002F393F">
        <w:rPr>
          <w:szCs w:val="22"/>
        </w:rPr>
        <w:t xml:space="preserve">on the interpretation of the </w:t>
      </w:r>
      <w:r w:rsidR="002F393F" w:rsidRPr="00F12F9B">
        <w:rPr>
          <w:i/>
          <w:szCs w:val="22"/>
        </w:rPr>
        <w:t>Gene Technology Act 2000</w:t>
      </w:r>
      <w:r w:rsidR="002F393F">
        <w:rPr>
          <w:szCs w:val="22"/>
        </w:rPr>
        <w:t xml:space="preserve">, or other applicable laws. </w:t>
      </w:r>
      <w:r w:rsidR="00F0729B">
        <w:rPr>
          <w:szCs w:val="22"/>
        </w:rPr>
        <w:t>Individuals and organisations should obtain their own legal advice on these matters from an appropriately qualified Australian legal practitioner.</w:t>
      </w:r>
    </w:p>
    <w:sectPr w:rsidR="0021247B" w:rsidRPr="00041979" w:rsidSect="00300188">
      <w:footerReference w:type="default" r:id="rId27"/>
      <w:headerReference w:type="first" r:id="rId28"/>
      <w:footerReference w:type="first" r:id="rId29"/>
      <w:pgSz w:w="11906" w:h="16838" w:code="9"/>
      <w:pgMar w:top="1304" w:right="1304" w:bottom="1134" w:left="130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EBAC" w14:textId="77777777" w:rsidR="00072412" w:rsidRDefault="00072412" w:rsidP="00D909C9">
      <w:r>
        <w:separator/>
      </w:r>
    </w:p>
  </w:endnote>
  <w:endnote w:type="continuationSeparator" w:id="0">
    <w:p w14:paraId="53B2855B" w14:textId="77777777" w:rsidR="00072412" w:rsidRDefault="00072412" w:rsidP="00D90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1BE5" w14:textId="00B78BBA" w:rsidR="00CB55E1" w:rsidRPr="005F472B" w:rsidRDefault="00484998" w:rsidP="00484998">
    <w:r>
      <w:t xml:space="preserve">Guidance for human clinical trials involving GMOs </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D4E5" w14:textId="77777777" w:rsidR="00CB55E1" w:rsidRPr="00376FCE" w:rsidRDefault="00CB55E1" w:rsidP="00CB55E1">
    <w:pPr>
      <w:pBdr>
        <w:top w:val="single" w:sz="8" w:space="1" w:color="auto"/>
      </w:pBdr>
      <w:jc w:val="center"/>
      <w:rPr>
        <w:rFonts w:cstheme="minorHAnsi"/>
        <w:noProof/>
        <w:sz w:val="16"/>
        <w:szCs w:val="14"/>
      </w:rPr>
    </w:pPr>
    <w:r w:rsidRPr="00376FCE">
      <w:rPr>
        <w:rFonts w:cstheme="minorHAnsi"/>
        <w:noProof/>
        <w:sz w:val="16"/>
        <w:szCs w:val="14"/>
      </w:rPr>
      <w:t>Address: MDP 54 GPO Box 9848 Canberra ACT 2601  Website: www.ogtr.gov.au</w:t>
    </w:r>
  </w:p>
  <w:p w14:paraId="21E10573" w14:textId="3D1D5802" w:rsidR="00CB55E1" w:rsidRPr="00376FCE" w:rsidRDefault="00CB55E1" w:rsidP="005432C9">
    <w:pPr>
      <w:pStyle w:val="Footer"/>
      <w:jc w:val="center"/>
      <w:rPr>
        <w:rFonts w:cstheme="minorHAnsi"/>
        <w:noProof/>
        <w:sz w:val="16"/>
        <w:szCs w:val="14"/>
      </w:rPr>
    </w:pPr>
    <w:r w:rsidRPr="00376FCE">
      <w:rPr>
        <w:rFonts w:cstheme="minorHAnsi"/>
        <w:noProof/>
        <w:sz w:val="16"/>
        <w:szCs w:val="14"/>
      </w:rPr>
      <w:t>Telephone: 1800</w:t>
    </w:r>
    <w:r w:rsidR="00CE3EA7" w:rsidRPr="00376FCE">
      <w:rPr>
        <w:rFonts w:cstheme="minorHAnsi"/>
        <w:noProof/>
        <w:sz w:val="16"/>
        <w:szCs w:val="14"/>
      </w:rPr>
      <w:t xml:space="preserve"> 181 030  Facsimile: 02 6113 8303</w:t>
    </w:r>
    <w:r w:rsidRPr="00376FCE">
      <w:rPr>
        <w:rFonts w:cstheme="minorHAnsi"/>
        <w:noProof/>
        <w:sz w:val="16"/>
        <w:szCs w:val="14"/>
      </w:rPr>
      <w:t xml:space="preserve">  e-mail: ogtr@health.gov.au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3B7B" w14:textId="77777777" w:rsidR="00072412" w:rsidRDefault="00072412" w:rsidP="00D909C9">
      <w:r>
        <w:separator/>
      </w:r>
    </w:p>
  </w:footnote>
  <w:footnote w:type="continuationSeparator" w:id="0">
    <w:p w14:paraId="76CCE804" w14:textId="77777777" w:rsidR="00072412" w:rsidRDefault="00072412" w:rsidP="00D90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9D9E" w14:textId="22505B31" w:rsidR="00CB55E1" w:rsidRPr="0030307E" w:rsidRDefault="00F77732" w:rsidP="00032041">
    <w:pPr>
      <w:tabs>
        <w:tab w:val="right" w:pos="9072"/>
      </w:tabs>
      <w:ind w:right="-2"/>
      <w:rPr>
        <w:rFonts w:ascii="Arial" w:hAnsi="Arial" w:cs="Arial"/>
        <w:sz w:val="20"/>
        <w:szCs w:val="20"/>
      </w:rPr>
    </w:pPr>
    <w:r>
      <w:rPr>
        <w:rFonts w:ascii="Arial" w:hAnsi="Arial" w:cs="Arial"/>
        <w:b/>
        <w:bCs/>
        <w:noProof/>
        <w:color w:val="000000"/>
        <w:sz w:val="20"/>
        <w:szCs w:val="20"/>
        <w:lang w:eastAsia="en-AU"/>
      </w:rPr>
      <w:drawing>
        <wp:inline distT="0" distB="0" distL="0" distR="0" wp14:anchorId="42A45100" wp14:editId="1BE86798">
          <wp:extent cx="2743200" cy="62803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468" cy="643667"/>
                  </a:xfrm>
                  <a:prstGeom prst="rect">
                    <a:avLst/>
                  </a:prstGeom>
                  <a:noFill/>
                  <a:ln>
                    <a:noFill/>
                  </a:ln>
                </pic:spPr>
              </pic:pic>
            </a:graphicData>
          </a:graphic>
        </wp:inline>
      </w:drawing>
    </w:r>
    <w:r w:rsidR="00032041" w:rsidRPr="0030307E">
      <w:rPr>
        <w:rFonts w:ascii="Arial" w:hAnsi="Arial" w:cs="Arial"/>
        <w:sz w:val="20"/>
        <w:szCs w:val="20"/>
      </w:rPr>
      <w:tab/>
    </w:r>
    <w:r w:rsidR="00032041" w:rsidRPr="00484998">
      <w:t xml:space="preserve">Updated </w:t>
    </w:r>
    <w:r w:rsidR="008840E0">
      <w:t>September</w:t>
    </w:r>
    <w:r w:rsidR="00117F47">
      <w:t xml:space="preserve"> </w:t>
    </w:r>
    <w:r w:rsidR="00484998">
      <w:t>202</w:t>
    </w:r>
    <w:r w:rsidR="00117F47">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57450"/>
    <w:multiLevelType w:val="hybridMultilevel"/>
    <w:tmpl w:val="DCEA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4945E0"/>
    <w:multiLevelType w:val="hybridMultilevel"/>
    <w:tmpl w:val="C29A4A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B0D68EA"/>
    <w:multiLevelType w:val="hybridMultilevel"/>
    <w:tmpl w:val="2CDEC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E1185"/>
    <w:multiLevelType w:val="hybridMultilevel"/>
    <w:tmpl w:val="08F4B95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CE41842"/>
    <w:multiLevelType w:val="hybridMultilevel"/>
    <w:tmpl w:val="BCCED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1E6A2D"/>
    <w:multiLevelType w:val="hybridMultilevel"/>
    <w:tmpl w:val="20A80E8E"/>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6" w15:restartNumberingAfterBreak="0">
    <w:nsid w:val="37C114A9"/>
    <w:multiLevelType w:val="hybridMultilevel"/>
    <w:tmpl w:val="146E47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3D5D52F0"/>
    <w:multiLevelType w:val="hybridMultilevel"/>
    <w:tmpl w:val="D4682236"/>
    <w:lvl w:ilvl="0" w:tplc="B75CE9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BE5390"/>
    <w:multiLevelType w:val="hybridMultilevel"/>
    <w:tmpl w:val="F24C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5"/>
  </w:num>
  <w:num w:numId="6">
    <w:abstractNumId w:val="4"/>
  </w:num>
  <w:num w:numId="7">
    <w:abstractNumId w:val="0"/>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EAB"/>
    <w:rsid w:val="0000069E"/>
    <w:rsid w:val="00002581"/>
    <w:rsid w:val="00007A9D"/>
    <w:rsid w:val="00012760"/>
    <w:rsid w:val="00016D22"/>
    <w:rsid w:val="000219D2"/>
    <w:rsid w:val="000239C4"/>
    <w:rsid w:val="0002544A"/>
    <w:rsid w:val="00032041"/>
    <w:rsid w:val="00032C08"/>
    <w:rsid w:val="0003752A"/>
    <w:rsid w:val="00041979"/>
    <w:rsid w:val="000473A6"/>
    <w:rsid w:val="00051457"/>
    <w:rsid w:val="00052840"/>
    <w:rsid w:val="00052F78"/>
    <w:rsid w:val="00056528"/>
    <w:rsid w:val="00060476"/>
    <w:rsid w:val="00060EB0"/>
    <w:rsid w:val="00062E0C"/>
    <w:rsid w:val="00071BB5"/>
    <w:rsid w:val="00072412"/>
    <w:rsid w:val="00080CBF"/>
    <w:rsid w:val="0008551E"/>
    <w:rsid w:val="00087D8D"/>
    <w:rsid w:val="000933FA"/>
    <w:rsid w:val="000961BF"/>
    <w:rsid w:val="00097567"/>
    <w:rsid w:val="000A1D96"/>
    <w:rsid w:val="000A3959"/>
    <w:rsid w:val="000B1E6E"/>
    <w:rsid w:val="000B7AAE"/>
    <w:rsid w:val="000C0FB6"/>
    <w:rsid w:val="000C3892"/>
    <w:rsid w:val="000C4441"/>
    <w:rsid w:val="000C56E9"/>
    <w:rsid w:val="000D1FE3"/>
    <w:rsid w:val="000D361B"/>
    <w:rsid w:val="000D3690"/>
    <w:rsid w:val="000D36D7"/>
    <w:rsid w:val="000E31DF"/>
    <w:rsid w:val="000F2BCA"/>
    <w:rsid w:val="000F4500"/>
    <w:rsid w:val="000F6793"/>
    <w:rsid w:val="000F7BC7"/>
    <w:rsid w:val="00102E30"/>
    <w:rsid w:val="00104E2C"/>
    <w:rsid w:val="001062A5"/>
    <w:rsid w:val="001069B4"/>
    <w:rsid w:val="00106FD8"/>
    <w:rsid w:val="001107A2"/>
    <w:rsid w:val="00111C6C"/>
    <w:rsid w:val="00117A90"/>
    <w:rsid w:val="00117F47"/>
    <w:rsid w:val="0012275F"/>
    <w:rsid w:val="00122966"/>
    <w:rsid w:val="00127165"/>
    <w:rsid w:val="001309CA"/>
    <w:rsid w:val="00137FFE"/>
    <w:rsid w:val="00140F11"/>
    <w:rsid w:val="00141C32"/>
    <w:rsid w:val="00175D93"/>
    <w:rsid w:val="00177AEC"/>
    <w:rsid w:val="001841B2"/>
    <w:rsid w:val="00187084"/>
    <w:rsid w:val="001875AC"/>
    <w:rsid w:val="001A2011"/>
    <w:rsid w:val="001A380A"/>
    <w:rsid w:val="001A3ACC"/>
    <w:rsid w:val="001B100A"/>
    <w:rsid w:val="001B3443"/>
    <w:rsid w:val="001D06F9"/>
    <w:rsid w:val="001D3019"/>
    <w:rsid w:val="001D4C66"/>
    <w:rsid w:val="001D6FF9"/>
    <w:rsid w:val="001D7CCD"/>
    <w:rsid w:val="001E3154"/>
    <w:rsid w:val="001E6171"/>
    <w:rsid w:val="001E7990"/>
    <w:rsid w:val="001F310D"/>
    <w:rsid w:val="001F55D2"/>
    <w:rsid w:val="00203857"/>
    <w:rsid w:val="002109D9"/>
    <w:rsid w:val="0021247B"/>
    <w:rsid w:val="00212E9C"/>
    <w:rsid w:val="0022481E"/>
    <w:rsid w:val="00224CCA"/>
    <w:rsid w:val="00241928"/>
    <w:rsid w:val="00246633"/>
    <w:rsid w:val="00247A92"/>
    <w:rsid w:val="0025037A"/>
    <w:rsid w:val="00250826"/>
    <w:rsid w:val="00261F01"/>
    <w:rsid w:val="00263C61"/>
    <w:rsid w:val="0027380A"/>
    <w:rsid w:val="0027707D"/>
    <w:rsid w:val="0027742F"/>
    <w:rsid w:val="002851FF"/>
    <w:rsid w:val="00291096"/>
    <w:rsid w:val="00296D64"/>
    <w:rsid w:val="002A2828"/>
    <w:rsid w:val="002A3C38"/>
    <w:rsid w:val="002C05D0"/>
    <w:rsid w:val="002C61BF"/>
    <w:rsid w:val="002D0184"/>
    <w:rsid w:val="002E024D"/>
    <w:rsid w:val="002E4BFE"/>
    <w:rsid w:val="002E59B3"/>
    <w:rsid w:val="002F393F"/>
    <w:rsid w:val="002F3B38"/>
    <w:rsid w:val="00300188"/>
    <w:rsid w:val="003004A9"/>
    <w:rsid w:val="00302EA4"/>
    <w:rsid w:val="0030307E"/>
    <w:rsid w:val="0030786C"/>
    <w:rsid w:val="00311CC0"/>
    <w:rsid w:val="00311D7D"/>
    <w:rsid w:val="0032369A"/>
    <w:rsid w:val="003238CC"/>
    <w:rsid w:val="00325269"/>
    <w:rsid w:val="0032601A"/>
    <w:rsid w:val="0033252C"/>
    <w:rsid w:val="00344027"/>
    <w:rsid w:val="003513F0"/>
    <w:rsid w:val="00353F2D"/>
    <w:rsid w:val="00362238"/>
    <w:rsid w:val="00376178"/>
    <w:rsid w:val="00376FCE"/>
    <w:rsid w:val="003801B5"/>
    <w:rsid w:val="0038026C"/>
    <w:rsid w:val="00386E04"/>
    <w:rsid w:val="00390EAD"/>
    <w:rsid w:val="003975ED"/>
    <w:rsid w:val="003A43C7"/>
    <w:rsid w:val="003A6970"/>
    <w:rsid w:val="003B1E67"/>
    <w:rsid w:val="003B3F65"/>
    <w:rsid w:val="003B46EC"/>
    <w:rsid w:val="003B4832"/>
    <w:rsid w:val="003B4F72"/>
    <w:rsid w:val="003B5017"/>
    <w:rsid w:val="003C01EF"/>
    <w:rsid w:val="003D6A08"/>
    <w:rsid w:val="003E01BD"/>
    <w:rsid w:val="003E1F9B"/>
    <w:rsid w:val="003E422E"/>
    <w:rsid w:val="003E48ED"/>
    <w:rsid w:val="003E5FE2"/>
    <w:rsid w:val="00404B07"/>
    <w:rsid w:val="00423996"/>
    <w:rsid w:val="00423AEC"/>
    <w:rsid w:val="004270E4"/>
    <w:rsid w:val="004273EB"/>
    <w:rsid w:val="00430FD0"/>
    <w:rsid w:val="00434817"/>
    <w:rsid w:val="00435E04"/>
    <w:rsid w:val="00440056"/>
    <w:rsid w:val="00440FFB"/>
    <w:rsid w:val="0044218B"/>
    <w:rsid w:val="004438B8"/>
    <w:rsid w:val="00445261"/>
    <w:rsid w:val="00462492"/>
    <w:rsid w:val="00464D2B"/>
    <w:rsid w:val="00470C51"/>
    <w:rsid w:val="004736E4"/>
    <w:rsid w:val="004776C2"/>
    <w:rsid w:val="00484998"/>
    <w:rsid w:val="004854A2"/>
    <w:rsid w:val="00485CE7"/>
    <w:rsid w:val="004867E2"/>
    <w:rsid w:val="00487814"/>
    <w:rsid w:val="0049101A"/>
    <w:rsid w:val="00494101"/>
    <w:rsid w:val="00494C53"/>
    <w:rsid w:val="004958F9"/>
    <w:rsid w:val="00497181"/>
    <w:rsid w:val="004A117B"/>
    <w:rsid w:val="004A3357"/>
    <w:rsid w:val="004A34A5"/>
    <w:rsid w:val="004A48AE"/>
    <w:rsid w:val="004A61F1"/>
    <w:rsid w:val="004A67A3"/>
    <w:rsid w:val="004B0070"/>
    <w:rsid w:val="004B0401"/>
    <w:rsid w:val="004B386A"/>
    <w:rsid w:val="004B5942"/>
    <w:rsid w:val="004B6414"/>
    <w:rsid w:val="004C2EFD"/>
    <w:rsid w:val="004D0B56"/>
    <w:rsid w:val="004D1218"/>
    <w:rsid w:val="004D3CDB"/>
    <w:rsid w:val="004D48D5"/>
    <w:rsid w:val="004D510C"/>
    <w:rsid w:val="004E4C43"/>
    <w:rsid w:val="004F0A52"/>
    <w:rsid w:val="004F37A4"/>
    <w:rsid w:val="004F4264"/>
    <w:rsid w:val="004F6286"/>
    <w:rsid w:val="00501F83"/>
    <w:rsid w:val="0050405D"/>
    <w:rsid w:val="00505FBA"/>
    <w:rsid w:val="00507DBA"/>
    <w:rsid w:val="00515D5E"/>
    <w:rsid w:val="0051634D"/>
    <w:rsid w:val="005238E8"/>
    <w:rsid w:val="005311AA"/>
    <w:rsid w:val="00533014"/>
    <w:rsid w:val="00542040"/>
    <w:rsid w:val="00542140"/>
    <w:rsid w:val="005432C9"/>
    <w:rsid w:val="005458B5"/>
    <w:rsid w:val="00545CE4"/>
    <w:rsid w:val="00547E5F"/>
    <w:rsid w:val="00551233"/>
    <w:rsid w:val="00552FDE"/>
    <w:rsid w:val="00554C0C"/>
    <w:rsid w:val="00555F09"/>
    <w:rsid w:val="005566F2"/>
    <w:rsid w:val="00563948"/>
    <w:rsid w:val="00564885"/>
    <w:rsid w:val="0057017A"/>
    <w:rsid w:val="005738FF"/>
    <w:rsid w:val="0057498C"/>
    <w:rsid w:val="00575E28"/>
    <w:rsid w:val="0058641B"/>
    <w:rsid w:val="0058778A"/>
    <w:rsid w:val="00594C5C"/>
    <w:rsid w:val="005A44C0"/>
    <w:rsid w:val="005B074A"/>
    <w:rsid w:val="005B2C01"/>
    <w:rsid w:val="005B510A"/>
    <w:rsid w:val="005C1BDB"/>
    <w:rsid w:val="005C305B"/>
    <w:rsid w:val="005C534B"/>
    <w:rsid w:val="005D5287"/>
    <w:rsid w:val="005D5C1A"/>
    <w:rsid w:val="005E151E"/>
    <w:rsid w:val="005E6102"/>
    <w:rsid w:val="005F33AB"/>
    <w:rsid w:val="005F472B"/>
    <w:rsid w:val="00603DF7"/>
    <w:rsid w:val="006046AA"/>
    <w:rsid w:val="00605FE8"/>
    <w:rsid w:val="006165B2"/>
    <w:rsid w:val="00624215"/>
    <w:rsid w:val="00625A52"/>
    <w:rsid w:val="00631647"/>
    <w:rsid w:val="00633055"/>
    <w:rsid w:val="00641D43"/>
    <w:rsid w:val="00643350"/>
    <w:rsid w:val="00643CDC"/>
    <w:rsid w:val="00645080"/>
    <w:rsid w:val="006504B1"/>
    <w:rsid w:val="00652DFA"/>
    <w:rsid w:val="00664BD8"/>
    <w:rsid w:val="006670D0"/>
    <w:rsid w:val="00674F16"/>
    <w:rsid w:val="00677A01"/>
    <w:rsid w:val="00680671"/>
    <w:rsid w:val="00681955"/>
    <w:rsid w:val="00684683"/>
    <w:rsid w:val="0069067F"/>
    <w:rsid w:val="00694BF8"/>
    <w:rsid w:val="0069605B"/>
    <w:rsid w:val="006A0C86"/>
    <w:rsid w:val="006A58CF"/>
    <w:rsid w:val="006C216A"/>
    <w:rsid w:val="006D4C1C"/>
    <w:rsid w:val="006E3273"/>
    <w:rsid w:val="006E3C2A"/>
    <w:rsid w:val="006E3EFA"/>
    <w:rsid w:val="006E6009"/>
    <w:rsid w:val="006E652E"/>
    <w:rsid w:val="006F5511"/>
    <w:rsid w:val="00703805"/>
    <w:rsid w:val="00706B83"/>
    <w:rsid w:val="00707ECA"/>
    <w:rsid w:val="00710A34"/>
    <w:rsid w:val="0073133B"/>
    <w:rsid w:val="007314D9"/>
    <w:rsid w:val="00733581"/>
    <w:rsid w:val="00741351"/>
    <w:rsid w:val="0075751B"/>
    <w:rsid w:val="007578FB"/>
    <w:rsid w:val="00764522"/>
    <w:rsid w:val="007713B2"/>
    <w:rsid w:val="00775506"/>
    <w:rsid w:val="007762CE"/>
    <w:rsid w:val="00781716"/>
    <w:rsid w:val="00781727"/>
    <w:rsid w:val="00786B4A"/>
    <w:rsid w:val="007A20A0"/>
    <w:rsid w:val="007A54F6"/>
    <w:rsid w:val="007B7B8F"/>
    <w:rsid w:val="007C07F5"/>
    <w:rsid w:val="007C276E"/>
    <w:rsid w:val="007C49E0"/>
    <w:rsid w:val="007D7BAF"/>
    <w:rsid w:val="007E1BB8"/>
    <w:rsid w:val="007E6855"/>
    <w:rsid w:val="007F1025"/>
    <w:rsid w:val="007F1A3C"/>
    <w:rsid w:val="007F4E96"/>
    <w:rsid w:val="007F6387"/>
    <w:rsid w:val="0080159C"/>
    <w:rsid w:val="008056F4"/>
    <w:rsid w:val="008061B9"/>
    <w:rsid w:val="008072EA"/>
    <w:rsid w:val="0081314D"/>
    <w:rsid w:val="008132E1"/>
    <w:rsid w:val="00814727"/>
    <w:rsid w:val="008248AF"/>
    <w:rsid w:val="00825D9C"/>
    <w:rsid w:val="008264EB"/>
    <w:rsid w:val="00833D12"/>
    <w:rsid w:val="00835FF0"/>
    <w:rsid w:val="008452D9"/>
    <w:rsid w:val="0084548C"/>
    <w:rsid w:val="00846AEA"/>
    <w:rsid w:val="00863498"/>
    <w:rsid w:val="008719F3"/>
    <w:rsid w:val="00877035"/>
    <w:rsid w:val="008840E0"/>
    <w:rsid w:val="00884D44"/>
    <w:rsid w:val="00885D6D"/>
    <w:rsid w:val="008862C6"/>
    <w:rsid w:val="0089060E"/>
    <w:rsid w:val="00890800"/>
    <w:rsid w:val="008914F0"/>
    <w:rsid w:val="00893D40"/>
    <w:rsid w:val="00896F1C"/>
    <w:rsid w:val="008A11FE"/>
    <w:rsid w:val="008A5C10"/>
    <w:rsid w:val="008A6595"/>
    <w:rsid w:val="008A72FC"/>
    <w:rsid w:val="008B0723"/>
    <w:rsid w:val="008B4A57"/>
    <w:rsid w:val="008B632D"/>
    <w:rsid w:val="008D19C9"/>
    <w:rsid w:val="008D5CBD"/>
    <w:rsid w:val="008E0E3B"/>
    <w:rsid w:val="008E244B"/>
    <w:rsid w:val="008E3050"/>
    <w:rsid w:val="008F5DE1"/>
    <w:rsid w:val="00902A3F"/>
    <w:rsid w:val="0091241D"/>
    <w:rsid w:val="009129EB"/>
    <w:rsid w:val="00916C4A"/>
    <w:rsid w:val="009309CA"/>
    <w:rsid w:val="0093115C"/>
    <w:rsid w:val="00934455"/>
    <w:rsid w:val="009374A6"/>
    <w:rsid w:val="00955888"/>
    <w:rsid w:val="00963F91"/>
    <w:rsid w:val="00966F53"/>
    <w:rsid w:val="0097015E"/>
    <w:rsid w:val="00970A09"/>
    <w:rsid w:val="00974AD4"/>
    <w:rsid w:val="00974CB7"/>
    <w:rsid w:val="009760E0"/>
    <w:rsid w:val="0099669A"/>
    <w:rsid w:val="009A1C31"/>
    <w:rsid w:val="009A4893"/>
    <w:rsid w:val="009A6774"/>
    <w:rsid w:val="009B0026"/>
    <w:rsid w:val="009B19BD"/>
    <w:rsid w:val="009B61B7"/>
    <w:rsid w:val="009C4546"/>
    <w:rsid w:val="009C6F24"/>
    <w:rsid w:val="009D080A"/>
    <w:rsid w:val="009D1812"/>
    <w:rsid w:val="009E15E3"/>
    <w:rsid w:val="009E56FA"/>
    <w:rsid w:val="009E7CD9"/>
    <w:rsid w:val="009F049D"/>
    <w:rsid w:val="009F24CB"/>
    <w:rsid w:val="009F4528"/>
    <w:rsid w:val="009F5257"/>
    <w:rsid w:val="00A13FB0"/>
    <w:rsid w:val="00A163D5"/>
    <w:rsid w:val="00A26B38"/>
    <w:rsid w:val="00A27FCA"/>
    <w:rsid w:val="00A32442"/>
    <w:rsid w:val="00A338CD"/>
    <w:rsid w:val="00A35B76"/>
    <w:rsid w:val="00A3656E"/>
    <w:rsid w:val="00A41AD6"/>
    <w:rsid w:val="00A457C2"/>
    <w:rsid w:val="00A51CCA"/>
    <w:rsid w:val="00A6353E"/>
    <w:rsid w:val="00A6634A"/>
    <w:rsid w:val="00A70851"/>
    <w:rsid w:val="00A81C52"/>
    <w:rsid w:val="00A90827"/>
    <w:rsid w:val="00A91FF8"/>
    <w:rsid w:val="00AA1809"/>
    <w:rsid w:val="00AA68AE"/>
    <w:rsid w:val="00AA7B0C"/>
    <w:rsid w:val="00AB1744"/>
    <w:rsid w:val="00AC14D5"/>
    <w:rsid w:val="00AE5EAB"/>
    <w:rsid w:val="00AF2BF0"/>
    <w:rsid w:val="00AF41A6"/>
    <w:rsid w:val="00AF738F"/>
    <w:rsid w:val="00B01273"/>
    <w:rsid w:val="00B01AEF"/>
    <w:rsid w:val="00B04C4F"/>
    <w:rsid w:val="00B07BAC"/>
    <w:rsid w:val="00B21CB5"/>
    <w:rsid w:val="00B22B5C"/>
    <w:rsid w:val="00B259CE"/>
    <w:rsid w:val="00B25AAD"/>
    <w:rsid w:val="00B2738C"/>
    <w:rsid w:val="00B30D73"/>
    <w:rsid w:val="00B335E6"/>
    <w:rsid w:val="00B350F8"/>
    <w:rsid w:val="00B4176B"/>
    <w:rsid w:val="00B42851"/>
    <w:rsid w:val="00B55F11"/>
    <w:rsid w:val="00B60DF0"/>
    <w:rsid w:val="00B624A3"/>
    <w:rsid w:val="00B641DB"/>
    <w:rsid w:val="00B65B0B"/>
    <w:rsid w:val="00B72B3E"/>
    <w:rsid w:val="00B7624D"/>
    <w:rsid w:val="00B83F4D"/>
    <w:rsid w:val="00B91894"/>
    <w:rsid w:val="00B96558"/>
    <w:rsid w:val="00B97C3A"/>
    <w:rsid w:val="00BA1DAD"/>
    <w:rsid w:val="00BA6378"/>
    <w:rsid w:val="00BB330C"/>
    <w:rsid w:val="00BB6625"/>
    <w:rsid w:val="00BC14E2"/>
    <w:rsid w:val="00BC4386"/>
    <w:rsid w:val="00BC6EC5"/>
    <w:rsid w:val="00BC75D7"/>
    <w:rsid w:val="00BC7AC2"/>
    <w:rsid w:val="00BD06A4"/>
    <w:rsid w:val="00BD0C38"/>
    <w:rsid w:val="00BD7427"/>
    <w:rsid w:val="00BE3419"/>
    <w:rsid w:val="00BE385B"/>
    <w:rsid w:val="00BE3E01"/>
    <w:rsid w:val="00BF5E8C"/>
    <w:rsid w:val="00C067F5"/>
    <w:rsid w:val="00C10A43"/>
    <w:rsid w:val="00C1275C"/>
    <w:rsid w:val="00C1363F"/>
    <w:rsid w:val="00C1499A"/>
    <w:rsid w:val="00C16FF7"/>
    <w:rsid w:val="00C407BA"/>
    <w:rsid w:val="00C4198C"/>
    <w:rsid w:val="00C42824"/>
    <w:rsid w:val="00C46957"/>
    <w:rsid w:val="00C5701F"/>
    <w:rsid w:val="00C57187"/>
    <w:rsid w:val="00C64C39"/>
    <w:rsid w:val="00C70A69"/>
    <w:rsid w:val="00C75A10"/>
    <w:rsid w:val="00C84E11"/>
    <w:rsid w:val="00C92EE8"/>
    <w:rsid w:val="00C96EA9"/>
    <w:rsid w:val="00CA5A11"/>
    <w:rsid w:val="00CB55E1"/>
    <w:rsid w:val="00CB5B1A"/>
    <w:rsid w:val="00CC3FCC"/>
    <w:rsid w:val="00CC6A00"/>
    <w:rsid w:val="00CC713D"/>
    <w:rsid w:val="00CD51DE"/>
    <w:rsid w:val="00CE1E80"/>
    <w:rsid w:val="00CE2209"/>
    <w:rsid w:val="00CE3830"/>
    <w:rsid w:val="00CE3EA7"/>
    <w:rsid w:val="00D118A0"/>
    <w:rsid w:val="00D12AFB"/>
    <w:rsid w:val="00D25B84"/>
    <w:rsid w:val="00D304B0"/>
    <w:rsid w:val="00D33AE0"/>
    <w:rsid w:val="00D35ABA"/>
    <w:rsid w:val="00D3623F"/>
    <w:rsid w:val="00D418E1"/>
    <w:rsid w:val="00D61AAF"/>
    <w:rsid w:val="00D650D3"/>
    <w:rsid w:val="00D65ED0"/>
    <w:rsid w:val="00D70A1B"/>
    <w:rsid w:val="00D72ABF"/>
    <w:rsid w:val="00D73B15"/>
    <w:rsid w:val="00D773D3"/>
    <w:rsid w:val="00D77AFB"/>
    <w:rsid w:val="00D77E74"/>
    <w:rsid w:val="00D81F0E"/>
    <w:rsid w:val="00D86F86"/>
    <w:rsid w:val="00D909C9"/>
    <w:rsid w:val="00D91C13"/>
    <w:rsid w:val="00DA13A7"/>
    <w:rsid w:val="00DA3B1F"/>
    <w:rsid w:val="00DA4764"/>
    <w:rsid w:val="00DB5C97"/>
    <w:rsid w:val="00DB5F7E"/>
    <w:rsid w:val="00DC12FE"/>
    <w:rsid w:val="00DC3D0D"/>
    <w:rsid w:val="00DC5D3C"/>
    <w:rsid w:val="00DD2803"/>
    <w:rsid w:val="00DD3253"/>
    <w:rsid w:val="00DD395C"/>
    <w:rsid w:val="00DD6FCA"/>
    <w:rsid w:val="00DE2D03"/>
    <w:rsid w:val="00DF2CBB"/>
    <w:rsid w:val="00DF5B5C"/>
    <w:rsid w:val="00E0493F"/>
    <w:rsid w:val="00E12493"/>
    <w:rsid w:val="00E15BFD"/>
    <w:rsid w:val="00E21421"/>
    <w:rsid w:val="00E30039"/>
    <w:rsid w:val="00E30124"/>
    <w:rsid w:val="00E326BF"/>
    <w:rsid w:val="00E37146"/>
    <w:rsid w:val="00E41252"/>
    <w:rsid w:val="00E44A9B"/>
    <w:rsid w:val="00E518B2"/>
    <w:rsid w:val="00E56BC9"/>
    <w:rsid w:val="00E5767E"/>
    <w:rsid w:val="00E63A34"/>
    <w:rsid w:val="00E63B16"/>
    <w:rsid w:val="00E6413C"/>
    <w:rsid w:val="00E65BD3"/>
    <w:rsid w:val="00E759C8"/>
    <w:rsid w:val="00E77926"/>
    <w:rsid w:val="00E81262"/>
    <w:rsid w:val="00E87E46"/>
    <w:rsid w:val="00EB102A"/>
    <w:rsid w:val="00EB252F"/>
    <w:rsid w:val="00EB55B4"/>
    <w:rsid w:val="00EB76C8"/>
    <w:rsid w:val="00EC5856"/>
    <w:rsid w:val="00ED785F"/>
    <w:rsid w:val="00EF221E"/>
    <w:rsid w:val="00EF3812"/>
    <w:rsid w:val="00EF7846"/>
    <w:rsid w:val="00F06E64"/>
    <w:rsid w:val="00F0729B"/>
    <w:rsid w:val="00F10B5E"/>
    <w:rsid w:val="00F12F9B"/>
    <w:rsid w:val="00F13CCA"/>
    <w:rsid w:val="00F169F7"/>
    <w:rsid w:val="00F21A5C"/>
    <w:rsid w:val="00F22CB9"/>
    <w:rsid w:val="00F3023A"/>
    <w:rsid w:val="00F4040C"/>
    <w:rsid w:val="00F56AE0"/>
    <w:rsid w:val="00F6356D"/>
    <w:rsid w:val="00F65018"/>
    <w:rsid w:val="00F70832"/>
    <w:rsid w:val="00F74DAA"/>
    <w:rsid w:val="00F77732"/>
    <w:rsid w:val="00F801EC"/>
    <w:rsid w:val="00F836AF"/>
    <w:rsid w:val="00F8425A"/>
    <w:rsid w:val="00F91935"/>
    <w:rsid w:val="00F91E2D"/>
    <w:rsid w:val="00F93802"/>
    <w:rsid w:val="00F9435A"/>
    <w:rsid w:val="00F94360"/>
    <w:rsid w:val="00F966A0"/>
    <w:rsid w:val="00F979DD"/>
    <w:rsid w:val="00FA2C36"/>
    <w:rsid w:val="00FA3165"/>
    <w:rsid w:val="00FA3DB0"/>
    <w:rsid w:val="00FB3247"/>
    <w:rsid w:val="00FB6326"/>
    <w:rsid w:val="00FB64DF"/>
    <w:rsid w:val="00FC116F"/>
    <w:rsid w:val="00FC26E6"/>
    <w:rsid w:val="00FC6D06"/>
    <w:rsid w:val="00FD26C5"/>
    <w:rsid w:val="00FD4FA4"/>
    <w:rsid w:val="00FD54FA"/>
    <w:rsid w:val="00FE5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328A4D"/>
  <w15:docId w15:val="{AA62B8EC-1A18-4CCF-9FDE-D49BD368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998"/>
    <w:rPr>
      <w:rFonts w:asciiTheme="minorHAnsi" w:hAnsiTheme="minorHAnsi"/>
      <w:sz w:val="22"/>
      <w:szCs w:val="24"/>
      <w:lang w:eastAsia="en-US"/>
    </w:rPr>
  </w:style>
  <w:style w:type="paragraph" w:styleId="Heading1">
    <w:name w:val="heading 1"/>
    <w:basedOn w:val="Normal"/>
    <w:next w:val="Normal"/>
    <w:qFormat/>
    <w:rsid w:val="00C70A69"/>
    <w:pPr>
      <w:keepNext/>
      <w:spacing w:before="240" w:after="120"/>
      <w:outlineLvl w:val="0"/>
    </w:pPr>
    <w:rPr>
      <w:rFonts w:eastAsiaTheme="minorHAnsi"/>
      <w:b/>
      <w:sz w:val="28"/>
    </w:rPr>
  </w:style>
  <w:style w:type="paragraph" w:styleId="Heading2">
    <w:name w:val="heading 2"/>
    <w:basedOn w:val="Normal"/>
    <w:next w:val="Normal"/>
    <w:qFormat/>
    <w:rsid w:val="006C216A"/>
    <w:pPr>
      <w:keepNext/>
      <w:spacing w:before="240" w:after="60" w:line="240" w:lineRule="atLeast"/>
      <w:outlineLvl w:val="1"/>
    </w:pPr>
    <w:rPr>
      <w:rFonts w:eastAsiaTheme="minorHAnsi"/>
      <w:b/>
      <w:i/>
    </w:rPr>
  </w:style>
  <w:style w:type="paragraph" w:styleId="Heading3">
    <w:name w:val="heading 3"/>
    <w:basedOn w:val="Normal"/>
    <w:next w:val="Normal"/>
    <w:qFormat/>
    <w:rsid w:val="008264EB"/>
    <w:pPr>
      <w:keepNext/>
      <w:spacing w:before="240" w:after="60"/>
      <w:outlineLvl w:val="2"/>
    </w:pPr>
    <w:rPr>
      <w:rFonts w:cs="Arial"/>
      <w:b/>
      <w:bCs/>
      <w:sz w:val="26"/>
      <w:szCs w:val="26"/>
    </w:rPr>
  </w:style>
  <w:style w:type="paragraph" w:styleId="Heading4">
    <w:name w:val="heading 4"/>
    <w:basedOn w:val="Normal"/>
    <w:next w:val="Normal"/>
    <w:qFormat/>
    <w:rsid w:val="00CB5B1A"/>
    <w:pPr>
      <w:keepNext/>
      <w:spacing w:before="240" w:after="60"/>
      <w:outlineLvl w:val="3"/>
    </w:pPr>
    <w:rPr>
      <w:b/>
      <w:bCs/>
      <w:i/>
      <w:sz w:val="26"/>
      <w:szCs w:val="28"/>
    </w:rPr>
  </w:style>
  <w:style w:type="paragraph" w:styleId="Heading5">
    <w:name w:val="heading 5"/>
    <w:basedOn w:val="Normal"/>
    <w:next w:val="Normal"/>
    <w:qFormat/>
    <w:rsid w:val="00CB5B1A"/>
    <w:pPr>
      <w:spacing w:before="240" w:after="60"/>
      <w:outlineLvl w:val="4"/>
    </w:pPr>
    <w:rPr>
      <w:b/>
      <w:bCs/>
      <w:iCs/>
      <w:sz w:val="26"/>
      <w:szCs w:val="26"/>
    </w:rPr>
  </w:style>
  <w:style w:type="paragraph" w:styleId="Heading6">
    <w:name w:val="heading 6"/>
    <w:basedOn w:val="Normal"/>
    <w:next w:val="Normal"/>
    <w:qFormat/>
    <w:rsid w:val="00CB5B1A"/>
    <w:pPr>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D5E"/>
    <w:rPr>
      <w:color w:val="0563C1"/>
      <w:u w:val="single"/>
    </w:rPr>
  </w:style>
  <w:style w:type="paragraph" w:styleId="ListParagraph">
    <w:name w:val="List Paragraph"/>
    <w:basedOn w:val="Normal"/>
    <w:uiPriority w:val="34"/>
    <w:qFormat/>
    <w:rsid w:val="00515D5E"/>
    <w:pPr>
      <w:ind w:left="720"/>
    </w:pPr>
    <w:rPr>
      <w:rFonts w:ascii="Calibri" w:eastAsiaTheme="minorHAnsi" w:hAnsi="Calibri"/>
      <w:szCs w:val="22"/>
    </w:rPr>
  </w:style>
  <w:style w:type="paragraph" w:styleId="NormalWeb">
    <w:name w:val="Normal (Web)"/>
    <w:basedOn w:val="Normal"/>
    <w:uiPriority w:val="99"/>
    <w:unhideWhenUsed/>
    <w:rsid w:val="004B0070"/>
    <w:pPr>
      <w:spacing w:before="100" w:beforeAutospacing="1" w:after="100" w:afterAutospacing="1"/>
    </w:pPr>
    <w:rPr>
      <w:rFonts w:eastAsiaTheme="minorHAnsi"/>
      <w:lang w:eastAsia="en-AU"/>
    </w:rPr>
  </w:style>
  <w:style w:type="character" w:styleId="CommentReference">
    <w:name w:val="annotation reference"/>
    <w:basedOn w:val="DefaultParagraphFont"/>
    <w:rsid w:val="005738FF"/>
    <w:rPr>
      <w:sz w:val="16"/>
      <w:szCs w:val="16"/>
    </w:rPr>
  </w:style>
  <w:style w:type="paragraph" w:styleId="CommentText">
    <w:name w:val="annotation text"/>
    <w:basedOn w:val="Normal"/>
    <w:link w:val="CommentTextChar"/>
    <w:rsid w:val="005738FF"/>
    <w:rPr>
      <w:sz w:val="20"/>
      <w:szCs w:val="20"/>
    </w:rPr>
  </w:style>
  <w:style w:type="character" w:customStyle="1" w:styleId="CommentTextChar">
    <w:name w:val="Comment Text Char"/>
    <w:basedOn w:val="DefaultParagraphFont"/>
    <w:link w:val="CommentText"/>
    <w:rsid w:val="005738FF"/>
    <w:rPr>
      <w:lang w:val="en-US" w:eastAsia="en-US"/>
    </w:rPr>
  </w:style>
  <w:style w:type="paragraph" w:styleId="CommentSubject">
    <w:name w:val="annotation subject"/>
    <w:basedOn w:val="CommentText"/>
    <w:next w:val="CommentText"/>
    <w:link w:val="CommentSubjectChar"/>
    <w:rsid w:val="005738FF"/>
    <w:rPr>
      <w:b/>
      <w:bCs/>
    </w:rPr>
  </w:style>
  <w:style w:type="character" w:customStyle="1" w:styleId="CommentSubjectChar">
    <w:name w:val="Comment Subject Char"/>
    <w:basedOn w:val="CommentTextChar"/>
    <w:link w:val="CommentSubject"/>
    <w:rsid w:val="005738FF"/>
    <w:rPr>
      <w:b/>
      <w:bCs/>
      <w:lang w:val="en-US" w:eastAsia="en-US"/>
    </w:rPr>
  </w:style>
  <w:style w:type="paragraph" w:styleId="BalloonText">
    <w:name w:val="Balloon Text"/>
    <w:basedOn w:val="Normal"/>
    <w:link w:val="BalloonTextChar"/>
    <w:rsid w:val="005738FF"/>
    <w:rPr>
      <w:rFonts w:ascii="Tahoma" w:hAnsi="Tahoma" w:cs="Tahoma"/>
      <w:sz w:val="16"/>
      <w:szCs w:val="16"/>
    </w:rPr>
  </w:style>
  <w:style w:type="character" w:customStyle="1" w:styleId="BalloonTextChar">
    <w:name w:val="Balloon Text Char"/>
    <w:basedOn w:val="DefaultParagraphFont"/>
    <w:link w:val="BalloonText"/>
    <w:rsid w:val="005738FF"/>
    <w:rPr>
      <w:rFonts w:ascii="Tahoma" w:hAnsi="Tahoma" w:cs="Tahoma"/>
      <w:sz w:val="16"/>
      <w:szCs w:val="16"/>
      <w:lang w:val="en-US" w:eastAsia="en-US"/>
    </w:rPr>
  </w:style>
  <w:style w:type="paragraph" w:customStyle="1" w:styleId="Para">
    <w:name w:val="Para"/>
    <w:basedOn w:val="Normal"/>
    <w:link w:val="ParaCharChar"/>
    <w:rsid w:val="00325269"/>
    <w:pPr>
      <w:tabs>
        <w:tab w:val="num" w:pos="510"/>
      </w:tabs>
      <w:spacing w:before="120" w:after="120"/>
    </w:pPr>
    <w:rPr>
      <w:lang w:eastAsia="en-AU"/>
    </w:rPr>
  </w:style>
  <w:style w:type="character" w:customStyle="1" w:styleId="ParaCharChar">
    <w:name w:val="Para Char Char"/>
    <w:link w:val="Para"/>
    <w:locked/>
    <w:rsid w:val="00325269"/>
    <w:rPr>
      <w:sz w:val="24"/>
      <w:szCs w:val="24"/>
    </w:rPr>
  </w:style>
  <w:style w:type="character" w:styleId="FollowedHyperlink">
    <w:name w:val="FollowedHyperlink"/>
    <w:basedOn w:val="DefaultParagraphFont"/>
    <w:rsid w:val="00B4176B"/>
    <w:rPr>
      <w:color w:val="954F72" w:themeColor="followedHyperlink"/>
      <w:u w:val="single"/>
    </w:rPr>
  </w:style>
  <w:style w:type="paragraph" w:styleId="Revision">
    <w:name w:val="Revision"/>
    <w:hidden/>
    <w:uiPriority w:val="99"/>
    <w:semiHidden/>
    <w:rsid w:val="004854A2"/>
    <w:rPr>
      <w:sz w:val="24"/>
      <w:szCs w:val="24"/>
      <w:lang w:val="en-US" w:eastAsia="en-US"/>
    </w:rPr>
  </w:style>
  <w:style w:type="paragraph" w:styleId="Header">
    <w:name w:val="header"/>
    <w:basedOn w:val="Normal"/>
    <w:link w:val="HeaderChar"/>
    <w:rsid w:val="00D909C9"/>
    <w:pPr>
      <w:tabs>
        <w:tab w:val="center" w:pos="4513"/>
        <w:tab w:val="right" w:pos="9026"/>
      </w:tabs>
    </w:pPr>
  </w:style>
  <w:style w:type="character" w:customStyle="1" w:styleId="HeaderChar">
    <w:name w:val="Header Char"/>
    <w:basedOn w:val="DefaultParagraphFont"/>
    <w:link w:val="Header"/>
    <w:rsid w:val="00D909C9"/>
    <w:rPr>
      <w:sz w:val="24"/>
      <w:szCs w:val="24"/>
      <w:lang w:eastAsia="en-US"/>
    </w:rPr>
  </w:style>
  <w:style w:type="paragraph" w:styleId="Footer">
    <w:name w:val="footer"/>
    <w:basedOn w:val="Normal"/>
    <w:link w:val="FooterChar"/>
    <w:uiPriority w:val="99"/>
    <w:rsid w:val="00D909C9"/>
    <w:pPr>
      <w:tabs>
        <w:tab w:val="center" w:pos="4513"/>
        <w:tab w:val="right" w:pos="9026"/>
      </w:tabs>
    </w:pPr>
  </w:style>
  <w:style w:type="character" w:customStyle="1" w:styleId="FooterChar">
    <w:name w:val="Footer Char"/>
    <w:basedOn w:val="DefaultParagraphFont"/>
    <w:link w:val="Footer"/>
    <w:uiPriority w:val="99"/>
    <w:rsid w:val="00D909C9"/>
    <w:rPr>
      <w:sz w:val="24"/>
      <w:szCs w:val="24"/>
      <w:lang w:eastAsia="en-US"/>
    </w:rPr>
  </w:style>
  <w:style w:type="character" w:styleId="UnresolvedMention">
    <w:name w:val="Unresolved Mention"/>
    <w:basedOn w:val="DefaultParagraphFont"/>
    <w:uiPriority w:val="99"/>
    <w:semiHidden/>
    <w:unhideWhenUsed/>
    <w:rsid w:val="00B04C4F"/>
    <w:rPr>
      <w:color w:val="605E5C"/>
      <w:shd w:val="clear" w:color="auto" w:fill="E1DFDD"/>
    </w:rPr>
  </w:style>
  <w:style w:type="paragraph" w:styleId="BodyText">
    <w:name w:val="Body Text"/>
    <w:basedOn w:val="Normal"/>
    <w:link w:val="BodyTextChar"/>
    <w:uiPriority w:val="1"/>
    <w:unhideWhenUsed/>
    <w:qFormat/>
    <w:rsid w:val="00E77926"/>
    <w:pPr>
      <w:widowControl w:val="0"/>
      <w:autoSpaceDE w:val="0"/>
      <w:autoSpaceDN w:val="0"/>
    </w:pPr>
    <w:rPr>
      <w:rFonts w:ascii="Calibri" w:eastAsia="Calibri" w:hAnsi="Calibri" w:cs="Calibri"/>
      <w:szCs w:val="22"/>
    </w:rPr>
  </w:style>
  <w:style w:type="character" w:customStyle="1" w:styleId="BodyTextChar">
    <w:name w:val="Body Text Char"/>
    <w:basedOn w:val="DefaultParagraphFont"/>
    <w:link w:val="BodyText"/>
    <w:uiPriority w:val="1"/>
    <w:rsid w:val="00E77926"/>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844">
      <w:bodyDiv w:val="1"/>
      <w:marLeft w:val="0"/>
      <w:marRight w:val="0"/>
      <w:marTop w:val="0"/>
      <w:marBottom w:val="0"/>
      <w:divBdr>
        <w:top w:val="none" w:sz="0" w:space="0" w:color="auto"/>
        <w:left w:val="none" w:sz="0" w:space="0" w:color="auto"/>
        <w:bottom w:val="none" w:sz="0" w:space="0" w:color="auto"/>
        <w:right w:val="none" w:sz="0" w:space="0" w:color="auto"/>
      </w:divBdr>
    </w:div>
    <w:div w:id="34428822">
      <w:bodyDiv w:val="1"/>
      <w:marLeft w:val="0"/>
      <w:marRight w:val="0"/>
      <w:marTop w:val="0"/>
      <w:marBottom w:val="0"/>
      <w:divBdr>
        <w:top w:val="none" w:sz="0" w:space="0" w:color="auto"/>
        <w:left w:val="none" w:sz="0" w:space="0" w:color="auto"/>
        <w:bottom w:val="none" w:sz="0" w:space="0" w:color="auto"/>
        <w:right w:val="none" w:sz="0" w:space="0" w:color="auto"/>
      </w:divBdr>
    </w:div>
    <w:div w:id="58671683">
      <w:bodyDiv w:val="1"/>
      <w:marLeft w:val="0"/>
      <w:marRight w:val="0"/>
      <w:marTop w:val="0"/>
      <w:marBottom w:val="0"/>
      <w:divBdr>
        <w:top w:val="none" w:sz="0" w:space="0" w:color="auto"/>
        <w:left w:val="none" w:sz="0" w:space="0" w:color="auto"/>
        <w:bottom w:val="none" w:sz="0" w:space="0" w:color="auto"/>
        <w:right w:val="none" w:sz="0" w:space="0" w:color="auto"/>
      </w:divBdr>
    </w:div>
    <w:div w:id="481049726">
      <w:bodyDiv w:val="1"/>
      <w:marLeft w:val="0"/>
      <w:marRight w:val="0"/>
      <w:marTop w:val="0"/>
      <w:marBottom w:val="0"/>
      <w:divBdr>
        <w:top w:val="none" w:sz="0" w:space="0" w:color="auto"/>
        <w:left w:val="none" w:sz="0" w:space="0" w:color="auto"/>
        <w:bottom w:val="none" w:sz="0" w:space="0" w:color="auto"/>
        <w:right w:val="none" w:sz="0" w:space="0" w:color="auto"/>
      </w:divBdr>
    </w:div>
    <w:div w:id="622345410">
      <w:bodyDiv w:val="1"/>
      <w:marLeft w:val="0"/>
      <w:marRight w:val="0"/>
      <w:marTop w:val="0"/>
      <w:marBottom w:val="0"/>
      <w:divBdr>
        <w:top w:val="none" w:sz="0" w:space="0" w:color="auto"/>
        <w:left w:val="none" w:sz="0" w:space="0" w:color="auto"/>
        <w:bottom w:val="none" w:sz="0" w:space="0" w:color="auto"/>
        <w:right w:val="none" w:sz="0" w:space="0" w:color="auto"/>
      </w:divBdr>
    </w:div>
    <w:div w:id="736974601">
      <w:bodyDiv w:val="1"/>
      <w:marLeft w:val="0"/>
      <w:marRight w:val="0"/>
      <w:marTop w:val="0"/>
      <w:marBottom w:val="0"/>
      <w:divBdr>
        <w:top w:val="none" w:sz="0" w:space="0" w:color="auto"/>
        <w:left w:val="none" w:sz="0" w:space="0" w:color="auto"/>
        <w:bottom w:val="none" w:sz="0" w:space="0" w:color="auto"/>
        <w:right w:val="none" w:sz="0" w:space="0" w:color="auto"/>
      </w:divBdr>
    </w:div>
    <w:div w:id="866604385">
      <w:bodyDiv w:val="1"/>
      <w:marLeft w:val="0"/>
      <w:marRight w:val="0"/>
      <w:marTop w:val="0"/>
      <w:marBottom w:val="0"/>
      <w:divBdr>
        <w:top w:val="none" w:sz="0" w:space="0" w:color="auto"/>
        <w:left w:val="none" w:sz="0" w:space="0" w:color="auto"/>
        <w:bottom w:val="none" w:sz="0" w:space="0" w:color="auto"/>
        <w:right w:val="none" w:sz="0" w:space="0" w:color="auto"/>
      </w:divBdr>
    </w:div>
    <w:div w:id="1151799443">
      <w:bodyDiv w:val="1"/>
      <w:marLeft w:val="0"/>
      <w:marRight w:val="0"/>
      <w:marTop w:val="0"/>
      <w:marBottom w:val="0"/>
      <w:divBdr>
        <w:top w:val="none" w:sz="0" w:space="0" w:color="auto"/>
        <w:left w:val="none" w:sz="0" w:space="0" w:color="auto"/>
        <w:bottom w:val="none" w:sz="0" w:space="0" w:color="auto"/>
        <w:right w:val="none" w:sz="0" w:space="0" w:color="auto"/>
      </w:divBdr>
    </w:div>
    <w:div w:id="1171797797">
      <w:bodyDiv w:val="1"/>
      <w:marLeft w:val="0"/>
      <w:marRight w:val="0"/>
      <w:marTop w:val="0"/>
      <w:marBottom w:val="0"/>
      <w:divBdr>
        <w:top w:val="none" w:sz="0" w:space="0" w:color="auto"/>
        <w:left w:val="none" w:sz="0" w:space="0" w:color="auto"/>
        <w:bottom w:val="none" w:sz="0" w:space="0" w:color="auto"/>
        <w:right w:val="none" w:sz="0" w:space="0" w:color="auto"/>
      </w:divBdr>
    </w:div>
    <w:div w:id="1277252413">
      <w:bodyDiv w:val="1"/>
      <w:marLeft w:val="0"/>
      <w:marRight w:val="0"/>
      <w:marTop w:val="0"/>
      <w:marBottom w:val="0"/>
      <w:divBdr>
        <w:top w:val="none" w:sz="0" w:space="0" w:color="auto"/>
        <w:left w:val="none" w:sz="0" w:space="0" w:color="auto"/>
        <w:bottom w:val="none" w:sz="0" w:space="0" w:color="auto"/>
        <w:right w:val="none" w:sz="0" w:space="0" w:color="auto"/>
      </w:divBdr>
    </w:div>
    <w:div w:id="1524980983">
      <w:bodyDiv w:val="1"/>
      <w:marLeft w:val="0"/>
      <w:marRight w:val="0"/>
      <w:marTop w:val="0"/>
      <w:marBottom w:val="0"/>
      <w:divBdr>
        <w:top w:val="none" w:sz="0" w:space="0" w:color="auto"/>
        <w:left w:val="none" w:sz="0" w:space="0" w:color="auto"/>
        <w:bottom w:val="none" w:sz="0" w:space="0" w:color="auto"/>
        <w:right w:val="none" w:sz="0" w:space="0" w:color="auto"/>
      </w:divBdr>
    </w:div>
    <w:div w:id="1558975020">
      <w:bodyDiv w:val="1"/>
      <w:marLeft w:val="0"/>
      <w:marRight w:val="0"/>
      <w:marTop w:val="0"/>
      <w:marBottom w:val="0"/>
      <w:divBdr>
        <w:top w:val="none" w:sz="0" w:space="0" w:color="auto"/>
        <w:left w:val="none" w:sz="0" w:space="0" w:color="auto"/>
        <w:bottom w:val="none" w:sz="0" w:space="0" w:color="auto"/>
        <w:right w:val="none" w:sz="0" w:space="0" w:color="auto"/>
      </w:divBdr>
    </w:div>
    <w:div w:id="1789886430">
      <w:bodyDiv w:val="1"/>
      <w:marLeft w:val="0"/>
      <w:marRight w:val="0"/>
      <w:marTop w:val="0"/>
      <w:marBottom w:val="0"/>
      <w:divBdr>
        <w:top w:val="none" w:sz="0" w:space="0" w:color="auto"/>
        <w:left w:val="none" w:sz="0" w:space="0" w:color="auto"/>
        <w:bottom w:val="none" w:sz="0" w:space="0" w:color="auto"/>
        <w:right w:val="none" w:sz="0" w:space="0" w:color="auto"/>
      </w:divBdr>
    </w:div>
    <w:div w:id="1957981172">
      <w:bodyDiv w:val="1"/>
      <w:marLeft w:val="0"/>
      <w:marRight w:val="0"/>
      <w:marTop w:val="0"/>
      <w:marBottom w:val="0"/>
      <w:divBdr>
        <w:top w:val="none" w:sz="0" w:space="0" w:color="auto"/>
        <w:left w:val="none" w:sz="0" w:space="0" w:color="auto"/>
        <w:bottom w:val="none" w:sz="0" w:space="0" w:color="auto"/>
        <w:right w:val="none" w:sz="0" w:space="0" w:color="auto"/>
      </w:divBdr>
    </w:div>
    <w:div w:id="213857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apply-gmo-approval/overview-approval-process" TargetMode="External"/><Relationship Id="rId13" Type="http://schemas.openxmlformats.org/officeDocument/2006/relationships/hyperlink" Target="https://www.ogtr.gov.au/apply-gmo-approval/apply-organisation-accreditation" TargetMode="External"/><Relationship Id="rId18" Type="http://schemas.openxmlformats.org/officeDocument/2006/relationships/hyperlink" Target="https://www.ogtr.gov.au/apply-gmo-approval/apply-dir-licence" TargetMode="External"/><Relationship Id="rId26" Type="http://schemas.openxmlformats.org/officeDocument/2006/relationships/hyperlink" Target="mailto:ogtr.cdes@health.gov.au" TargetMode="External"/><Relationship Id="rId3" Type="http://schemas.openxmlformats.org/officeDocument/2006/relationships/styles" Target="styles.xml"/><Relationship Id="rId21" Type="http://schemas.openxmlformats.org/officeDocument/2006/relationships/hyperlink" Target="https://www.agriculture.gov.au/biosecurity-trade/import/online-services/bicon" TargetMode="External"/><Relationship Id="rId7" Type="http://schemas.openxmlformats.org/officeDocument/2006/relationships/endnotes" Target="endnotes.xml"/><Relationship Id="rId12" Type="http://schemas.openxmlformats.org/officeDocument/2006/relationships/hyperlink" Target="https://www.ogtr.gov.au/apply-gmo-approval/apply-organisation-accreditation" TargetMode="External"/><Relationship Id="rId17" Type="http://schemas.openxmlformats.org/officeDocument/2006/relationships/hyperlink" Target="https://www.ogtr.gov.au/apply-gmo-approval/apply-dnir-licence" TargetMode="External"/><Relationship Id="rId25" Type="http://schemas.openxmlformats.org/officeDocument/2006/relationships/hyperlink" Target="https://www.ogtr.gov.au/apply-gmo-approval/apply-organisation-accreditation" TargetMode="External"/><Relationship Id="rId2" Type="http://schemas.openxmlformats.org/officeDocument/2006/relationships/numbering" Target="numbering.xml"/><Relationship Id="rId16" Type="http://schemas.openxmlformats.org/officeDocument/2006/relationships/hyperlink" Target="https://www.ogtr.gov.au/what-weve-approved/accredited-organisations" TargetMode="External"/><Relationship Id="rId20" Type="http://schemas.openxmlformats.org/officeDocument/2006/relationships/hyperlink" Target="https://www.tga.gov.au/clinical-trial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apply-gmo-approval/apply-dnir-licence" TargetMode="External"/><Relationship Id="rId24" Type="http://schemas.openxmlformats.org/officeDocument/2006/relationships/hyperlink" Target="https://www.ogtr.gov.au/apply-gmo-approval/apply-licence-conduct-human-clinical-trial-gmo" TargetMode="External"/><Relationship Id="rId5" Type="http://schemas.openxmlformats.org/officeDocument/2006/relationships/webSettings" Target="webSettings.xml"/><Relationship Id="rId15" Type="http://schemas.openxmlformats.org/officeDocument/2006/relationships/hyperlink" Target="https://www.ogtr.gov.au/resources/publications/guidelines-accreditation-organisations" TargetMode="External"/><Relationship Id="rId23" Type="http://schemas.openxmlformats.org/officeDocument/2006/relationships/hyperlink" Target="https://www.ogtr.gov.au/apply-gmo-approval/overview-approval-process" TargetMode="External"/><Relationship Id="rId28" Type="http://schemas.openxmlformats.org/officeDocument/2006/relationships/header" Target="header1.xml"/><Relationship Id="rId10" Type="http://schemas.openxmlformats.org/officeDocument/2006/relationships/hyperlink" Target="https://www.ogtr.gov.au/apply-gmo-approval/apply-dir-licence" TargetMode="External"/><Relationship Id="rId19" Type="http://schemas.openxmlformats.org/officeDocument/2006/relationships/hyperlink" Target="https://www.tga.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gtr.cdes@health.gov.au" TargetMode="External"/><Relationship Id="rId14" Type="http://schemas.openxmlformats.org/officeDocument/2006/relationships/hyperlink" Target="https://www.ogtr.gov.au/resources/publications/explanatory-information-guidelines-accreditation-organisations" TargetMode="External"/><Relationship Id="rId22" Type="http://schemas.openxmlformats.org/officeDocument/2006/relationships/hyperlink" Target="https://www.ogtr.gov.au/apply-gmo-approval/types-gmo-dealing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unshine">
      <a:dk1>
        <a:sysClr val="windowText" lastClr="000000"/>
      </a:dk1>
      <a:lt1>
        <a:sysClr val="window" lastClr="FFFFFF"/>
      </a:lt1>
      <a:dk2>
        <a:srgbClr val="0000BF"/>
      </a:dk2>
      <a:lt2>
        <a:srgbClr val="E7E6E6"/>
      </a:lt2>
      <a:accent1>
        <a:srgbClr val="6600FF"/>
      </a:accent1>
      <a:accent2>
        <a:srgbClr val="FF0000"/>
      </a:accent2>
      <a:accent3>
        <a:srgbClr val="66FFFF"/>
      </a:accent3>
      <a:accent4>
        <a:srgbClr val="FFC000"/>
      </a:accent4>
      <a:accent5>
        <a:srgbClr val="FF00FF"/>
      </a:accent5>
      <a:accent6>
        <a:srgbClr val="00B050"/>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B0D5-0EB1-4CA6-A28B-B8F85180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1755</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conducting human clinical trials involving GMOs</dc:title>
  <dc:subject/>
  <dc:creator>OGTR.Voicemail@health.gov.au</dc:creator>
  <cp:keywords/>
  <dc:description/>
  <cp:lastModifiedBy>SMITH, Justine</cp:lastModifiedBy>
  <cp:revision>3</cp:revision>
  <cp:lastPrinted>2022-08-31T03:59:00Z</cp:lastPrinted>
  <dcterms:created xsi:type="dcterms:W3CDTF">2022-09-13T03:54:00Z</dcterms:created>
  <dcterms:modified xsi:type="dcterms:W3CDTF">2022-10-04T23:46:00Z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