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A127" w14:textId="7A9311A9" w:rsidR="009D35E9" w:rsidRPr="00091301" w:rsidRDefault="009D35E9" w:rsidP="00091301">
      <w:pPr>
        <w:pStyle w:val="CmqTitle1"/>
        <w:spacing w:before="240"/>
        <w:rPr>
          <w:color w:val="auto"/>
        </w:rPr>
      </w:pPr>
      <w:bookmarkStart w:id="0" w:name="_Toc123029785"/>
      <w:r w:rsidRPr="00091301">
        <w:rPr>
          <w:color w:val="auto"/>
        </w:rPr>
        <w:t>Gene Technology Technical Advisory Committee</w:t>
      </w:r>
      <w:bookmarkEnd w:id="0"/>
    </w:p>
    <w:p w14:paraId="1D7F2B43" w14:textId="5BF3F4D6" w:rsidR="009D35E9" w:rsidRPr="00091301" w:rsidRDefault="00034B85" w:rsidP="009D35E9">
      <w:pPr>
        <w:pStyle w:val="CmqTitle1"/>
        <w:rPr>
          <w:color w:val="auto"/>
          <w:szCs w:val="24"/>
        </w:rPr>
      </w:pPr>
      <w:r>
        <w:rPr>
          <w:color w:val="auto"/>
          <w:szCs w:val="24"/>
        </w:rPr>
        <w:t>28</w:t>
      </w:r>
      <w:r w:rsidR="008539BF" w:rsidRPr="00091301">
        <w:rPr>
          <w:color w:val="auto"/>
          <w:szCs w:val="24"/>
        </w:rPr>
        <w:t xml:space="preserve"> </w:t>
      </w:r>
      <w:r w:rsidR="002A5C35">
        <w:rPr>
          <w:color w:val="auto"/>
          <w:szCs w:val="24"/>
        </w:rPr>
        <w:t>April</w:t>
      </w:r>
      <w:r w:rsidR="002A5C35" w:rsidRPr="00091301">
        <w:rPr>
          <w:color w:val="auto"/>
          <w:szCs w:val="24"/>
        </w:rPr>
        <w:t xml:space="preserve"> </w:t>
      </w:r>
      <w:r w:rsidR="009D35E9" w:rsidRPr="00091301">
        <w:rPr>
          <w:color w:val="auto"/>
          <w:szCs w:val="24"/>
        </w:rPr>
        <w:t>202</w:t>
      </w:r>
      <w:r>
        <w:rPr>
          <w:color w:val="auto"/>
          <w:szCs w:val="24"/>
        </w:rPr>
        <w:t>2</w:t>
      </w:r>
    </w:p>
    <w:p w14:paraId="32AB77DE" w14:textId="77777777" w:rsidR="009D35E9" w:rsidRPr="00091301" w:rsidRDefault="009D35E9" w:rsidP="009D35E9">
      <w:pPr>
        <w:pStyle w:val="CmqTitle1"/>
        <w:spacing w:after="240"/>
        <w:rPr>
          <w:color w:val="auto"/>
          <w:szCs w:val="24"/>
        </w:rPr>
      </w:pPr>
      <w:r w:rsidRPr="00091301">
        <w:rPr>
          <w:color w:val="auto"/>
          <w:szCs w:val="24"/>
        </w:rPr>
        <w:t>Communiqué</w:t>
      </w:r>
    </w:p>
    <w:p w14:paraId="772240E8" w14:textId="7968038C" w:rsidR="009D35E9" w:rsidRPr="00091301" w:rsidRDefault="009D35E9" w:rsidP="009D35E9">
      <w:pPr>
        <w:pStyle w:val="CmqTitle2"/>
        <w:ind w:left="0"/>
      </w:pPr>
      <w:r w:rsidRPr="00091301">
        <w:t xml:space="preserve">This Communiqué covers matters considered at the </w:t>
      </w:r>
      <w:r w:rsidR="002A5C35">
        <w:t>30</w:t>
      </w:r>
      <w:r w:rsidR="008539BF" w:rsidRPr="00091301">
        <w:rPr>
          <w:vertAlign w:val="superscript"/>
        </w:rPr>
        <w:t>th</w:t>
      </w:r>
      <w:r w:rsidR="008539BF" w:rsidRPr="00091301">
        <w:t xml:space="preserve"> </w:t>
      </w:r>
      <w:r w:rsidRPr="00091301">
        <w:t xml:space="preserve">videoconference of the </w:t>
      </w:r>
      <w:r w:rsidRPr="00091301">
        <w:br/>
        <w:t>Gene Technology Technical Advisory Committee (</w:t>
      </w:r>
      <w:r w:rsidR="00034B85">
        <w:t>28</w:t>
      </w:r>
      <w:r w:rsidR="008539BF" w:rsidRPr="00091301">
        <w:t xml:space="preserve"> </w:t>
      </w:r>
      <w:r w:rsidR="002A5C35">
        <w:t>April</w:t>
      </w:r>
      <w:r w:rsidRPr="00091301">
        <w:t xml:space="preserve"> 202</w:t>
      </w:r>
      <w:r w:rsidR="00034B85">
        <w:t>2</w:t>
      </w:r>
      <w:r w:rsidRPr="00091301">
        <w:t>)</w:t>
      </w:r>
    </w:p>
    <w:p w14:paraId="78210C7F" w14:textId="77777777" w:rsidR="009D35E9" w:rsidRPr="006224A0" w:rsidRDefault="009D35E9" w:rsidP="009D35E9">
      <w:pPr>
        <w:pStyle w:val="BodyText"/>
        <w:tabs>
          <w:tab w:val="left" w:pos="2410"/>
        </w:tabs>
        <w:spacing w:before="240"/>
        <w:rPr>
          <w:rFonts w:ascii="Arial" w:hAnsi="Arial" w:cs="Arial"/>
        </w:rPr>
      </w:pPr>
      <w:r w:rsidRPr="006224A0">
        <w:rPr>
          <w:rFonts w:ascii="Arial" w:hAnsi="Arial" w:cs="Arial"/>
        </w:rPr>
        <w:t xml:space="preserve">The Gene Technology Technical Advisory Committee (GTTAC) is a statutory advisory committee established under the </w:t>
      </w:r>
      <w:r w:rsidRPr="006224A0">
        <w:rPr>
          <w:rFonts w:ascii="Arial" w:hAnsi="Arial" w:cs="Arial"/>
          <w:i/>
        </w:rPr>
        <w:t>Gene Technology Act 2000</w:t>
      </w:r>
      <w:r w:rsidRPr="006224A0">
        <w:rPr>
          <w:rFonts w:ascii="Arial" w:hAnsi="Arial" w:cs="Arial"/>
        </w:rPr>
        <w:t xml:space="preserve"> (the Act) to provide scientific and technical advice to the Gene Technology Regulator (the Regulator) and the Gene Technology Ministers’ Meeting. </w:t>
      </w:r>
    </w:p>
    <w:p w14:paraId="26E96D08" w14:textId="77777777" w:rsidR="009D35E9" w:rsidRPr="006224A0" w:rsidRDefault="009D35E9" w:rsidP="009D35E9">
      <w:pPr>
        <w:pStyle w:val="BodyText"/>
        <w:rPr>
          <w:rFonts w:ascii="Arial" w:hAnsi="Arial" w:cs="Arial"/>
        </w:rPr>
      </w:pPr>
      <w:r w:rsidRPr="006224A0">
        <w:rPr>
          <w:rFonts w:ascii="Arial" w:hAnsi="Arial" w:cs="Arial"/>
        </w:rPr>
        <w:t>The Regulator seeks advice from GTTAC on licence applications to work with Genetically Modified Organisms (GMOs) and on Risk Assessment and Risk Management Plans (RARMPs) prepared for applications. The purpose of this Communiqué is to provide a brief overview of GTTAC’s consideration of applications and RARMPs and, in accordance with the Gene Technology Regulations 2001, to publish committee resolutions given to the Regulator. The Communiqué also provides an overview of any other deliberations of the committee. It does not include information which is treated as Confidential Commercial Information in accordance with the Act.</w:t>
      </w:r>
    </w:p>
    <w:p w14:paraId="6408A059" w14:textId="77777777" w:rsidR="009D35E9" w:rsidRPr="006224A0" w:rsidRDefault="009D35E9" w:rsidP="00E02999">
      <w:pPr>
        <w:pStyle w:val="CmqHeading1"/>
      </w:pPr>
      <w:r w:rsidRPr="006224A0">
        <w:t>Dealings Involving the Intentional Release of a GMO</w:t>
      </w:r>
    </w:p>
    <w:p w14:paraId="39FC6B5F" w14:textId="77777777" w:rsidR="009D35E9" w:rsidRPr="006224A0" w:rsidRDefault="009D35E9" w:rsidP="009D35E9">
      <w:pPr>
        <w:pStyle w:val="BodyText"/>
        <w:rPr>
          <w:rFonts w:ascii="Arial" w:hAnsi="Arial" w:cs="Arial"/>
        </w:rPr>
      </w:pPr>
      <w:r w:rsidRPr="006224A0">
        <w:rPr>
          <w:rFonts w:ascii="Arial" w:hAnsi="Arial" w:cs="Arial"/>
        </w:rPr>
        <w:t>Dealings involving the Intentional Release (DIR) of a GMO into the environment can involve a limited and controlled release (clinical trial or field trial) or a commercial (general) release.</w:t>
      </w:r>
    </w:p>
    <w:p w14:paraId="23AFEAB7" w14:textId="77777777" w:rsidR="009D35E9" w:rsidRPr="006224A0" w:rsidRDefault="009D35E9" w:rsidP="009D35E9">
      <w:pPr>
        <w:pStyle w:val="BodyText"/>
        <w:rPr>
          <w:rFonts w:ascii="Arial" w:hAnsi="Arial" w:cs="Arial"/>
        </w:rPr>
      </w:pPr>
      <w:r w:rsidRPr="006224A0">
        <w:rPr>
          <w:rFonts w:ascii="Arial" w:hAnsi="Arial" w:cs="Arial"/>
        </w:rPr>
        <w:t>For commercial releases, the Regulator must seek GTTAC advice twice. The first consultation is on matters to consider when preparing the RARMP and the second is on the RARMP itself. For limited and controlled releases, the Regulator must seek GTTAC advice only once on the RARMP.</w:t>
      </w:r>
    </w:p>
    <w:p w14:paraId="2ECC21BC" w14:textId="0EC744F4" w:rsidR="009D35E9" w:rsidRPr="006224A0" w:rsidRDefault="009D35E9" w:rsidP="009D35E9">
      <w:pPr>
        <w:pStyle w:val="BodyText"/>
        <w:rPr>
          <w:rFonts w:ascii="Arial" w:hAnsi="Arial" w:cs="Arial"/>
        </w:rPr>
      </w:pPr>
      <w:r w:rsidRPr="006224A0">
        <w:rPr>
          <w:rFonts w:ascii="Arial" w:hAnsi="Arial" w:cs="Arial"/>
        </w:rPr>
        <w:t xml:space="preserve">The RARMP for every DIR licence application is issued for public consultation. Information on how to obtain copies of DIR applications and RARMPs is provided at the end of this document. </w:t>
      </w:r>
    </w:p>
    <w:p w14:paraId="3A0BFB64" w14:textId="35D643CD" w:rsidR="006224A0" w:rsidRPr="006224A0" w:rsidRDefault="006224A0" w:rsidP="006224A0">
      <w:pPr>
        <w:pStyle w:val="Cmqheading2"/>
        <w:spacing w:line="264" w:lineRule="auto"/>
        <w:rPr>
          <w:color w:val="auto"/>
        </w:rPr>
      </w:pPr>
      <w:bookmarkStart w:id="1" w:name="_Hlk97127842"/>
      <w:r w:rsidRPr="006224A0">
        <w:rPr>
          <w:color w:val="auto"/>
        </w:rPr>
        <w:t>Advice on consultation rarmps – limited and controlled release</w:t>
      </w:r>
    </w:p>
    <w:p w14:paraId="610E6D78" w14:textId="3E9F8274" w:rsidR="006224A0" w:rsidRPr="005C4D58" w:rsidRDefault="0083369E" w:rsidP="006224A0">
      <w:pPr>
        <w:pStyle w:val="Cmqheading3"/>
        <w:spacing w:line="264" w:lineRule="auto"/>
        <w:ind w:left="1077" w:hanging="1077"/>
        <w:rPr>
          <w:bCs/>
          <w:color w:val="auto"/>
        </w:rPr>
      </w:pPr>
      <w:hyperlink r:id="rId7" w:history="1">
        <w:r w:rsidR="006224A0" w:rsidRPr="005C4D58">
          <w:rPr>
            <w:rStyle w:val="Hyperlink"/>
            <w:color w:val="0000FF"/>
          </w:rPr>
          <w:t>DIR 188</w:t>
        </w:r>
      </w:hyperlink>
      <w:r w:rsidR="006224A0" w:rsidRPr="005C4D58">
        <w:rPr>
          <w:color w:val="auto"/>
        </w:rPr>
        <w:t xml:space="preserve"> –</w:t>
      </w:r>
      <w:r w:rsidR="005C4D58">
        <w:rPr>
          <w:color w:val="auto"/>
        </w:rPr>
        <w:t xml:space="preserve"> </w:t>
      </w:r>
      <w:r w:rsidR="006224A0" w:rsidRPr="005C4D58">
        <w:rPr>
          <w:color w:val="auto"/>
        </w:rPr>
        <w:t>Limited and controlled release of canola and Indian mustard genetically modified for altered oil content and herbicide tolerance</w:t>
      </w:r>
    </w:p>
    <w:p w14:paraId="2DE0B3B5" w14:textId="3A38760C" w:rsidR="005C2A93" w:rsidRDefault="00524267" w:rsidP="005C4D58">
      <w:pPr>
        <w:pStyle w:val="BodyText"/>
        <w:rPr>
          <w:rFonts w:ascii="Arial" w:hAnsi="Arial" w:cs="Arial"/>
        </w:rPr>
      </w:pPr>
      <w:r w:rsidRPr="00A6158A">
        <w:rPr>
          <w:rFonts w:ascii="Arial" w:hAnsi="Arial" w:cs="Arial"/>
        </w:rPr>
        <w:t xml:space="preserve">Licence application DIR 188 from </w:t>
      </w:r>
      <w:proofErr w:type="spellStart"/>
      <w:r w:rsidRPr="00A6158A">
        <w:rPr>
          <w:rFonts w:ascii="Arial" w:hAnsi="Arial" w:cs="Arial"/>
        </w:rPr>
        <w:t>NuSeed</w:t>
      </w:r>
      <w:proofErr w:type="spellEnd"/>
      <w:r w:rsidRPr="00A6158A">
        <w:rPr>
          <w:rFonts w:ascii="Arial" w:hAnsi="Arial" w:cs="Arial"/>
        </w:rPr>
        <w:t xml:space="preserve"> Pty Ltd</w:t>
      </w:r>
      <w:r w:rsidR="00A6158A" w:rsidRPr="00A6158A">
        <w:rPr>
          <w:rFonts w:ascii="Arial" w:hAnsi="Arial" w:cs="Arial"/>
        </w:rPr>
        <w:t xml:space="preserve"> is for a field trial of GM canola and Indian mustard modified for altered oil content and herbicide tolerance. The trial would be conducted at up to 20 sites with a maximum planting area of 150 hectares each year from November 2022 to December 2027.</w:t>
      </w:r>
    </w:p>
    <w:p w14:paraId="58828CB7" w14:textId="7CB13E32" w:rsidR="007D2244" w:rsidRDefault="00A6158A" w:rsidP="007D2244">
      <w:pPr>
        <w:pStyle w:val="BodyText"/>
        <w:keepNext/>
        <w:rPr>
          <w:rFonts w:ascii="Arial" w:hAnsi="Arial" w:cs="Arial"/>
        </w:rPr>
      </w:pPr>
      <w:r>
        <w:rPr>
          <w:rFonts w:ascii="Arial" w:hAnsi="Arial" w:cs="Arial"/>
        </w:rPr>
        <w:lastRenderedPageBreak/>
        <w:t xml:space="preserve">GTTAC noted the conclusion of the RARMP that </w:t>
      </w:r>
      <w:r w:rsidRPr="00524267">
        <w:rPr>
          <w:rFonts w:ascii="Arial" w:hAnsi="Arial" w:cs="Arial"/>
        </w:rPr>
        <w:t xml:space="preserve">risks to the health and safety of people or the environment from the proposed </w:t>
      </w:r>
      <w:r>
        <w:rPr>
          <w:rFonts w:ascii="Arial" w:hAnsi="Arial" w:cs="Arial"/>
        </w:rPr>
        <w:t>release</w:t>
      </w:r>
      <w:r w:rsidRPr="00524267">
        <w:rPr>
          <w:rFonts w:ascii="Arial" w:hAnsi="Arial" w:cs="Arial"/>
        </w:rPr>
        <w:t xml:space="preserve"> are negligible.</w:t>
      </w:r>
      <w:r>
        <w:rPr>
          <w:rFonts w:ascii="Arial" w:hAnsi="Arial" w:cs="Arial"/>
        </w:rPr>
        <w:t xml:space="preserve"> The Committee discussed the following topics:</w:t>
      </w:r>
    </w:p>
    <w:p w14:paraId="3007538E" w14:textId="1AA1062C" w:rsidR="007D2244" w:rsidRDefault="007D2244" w:rsidP="007D2244">
      <w:pPr>
        <w:pStyle w:val="BodyText"/>
        <w:numPr>
          <w:ilvl w:val="0"/>
          <w:numId w:val="8"/>
        </w:numPr>
        <w:rPr>
          <w:rFonts w:ascii="Arial" w:hAnsi="Arial" w:cs="Arial"/>
        </w:rPr>
      </w:pPr>
      <w:r>
        <w:rPr>
          <w:rFonts w:ascii="Arial" w:hAnsi="Arial" w:cs="Arial"/>
        </w:rPr>
        <w:t xml:space="preserve">the likelihood of small amounts of oil derived from the GMOs being consumed </w:t>
      </w:r>
      <w:r w:rsidR="005E6593">
        <w:rPr>
          <w:rFonts w:ascii="Arial" w:hAnsi="Arial" w:cs="Arial"/>
        </w:rPr>
        <w:t>during</w:t>
      </w:r>
      <w:r>
        <w:rPr>
          <w:rFonts w:ascii="Arial" w:hAnsi="Arial" w:cs="Arial"/>
        </w:rPr>
        <w:t xml:space="preserve"> the sensory analysis</w:t>
      </w:r>
    </w:p>
    <w:p w14:paraId="1BB2F880" w14:textId="4C4885D2" w:rsidR="007D2244" w:rsidRDefault="007D2244" w:rsidP="007D2244">
      <w:pPr>
        <w:pStyle w:val="BodyText"/>
        <w:numPr>
          <w:ilvl w:val="0"/>
          <w:numId w:val="8"/>
        </w:numPr>
        <w:rPr>
          <w:rFonts w:ascii="Arial" w:hAnsi="Arial" w:cs="Arial"/>
        </w:rPr>
      </w:pPr>
      <w:r>
        <w:rPr>
          <w:rFonts w:ascii="Arial" w:hAnsi="Arial" w:cs="Arial"/>
        </w:rPr>
        <w:t>the potential for outcrossing of the GMOs to commercial oilseed crops, noting the proposed licence conditions to manage this</w:t>
      </w:r>
    </w:p>
    <w:p w14:paraId="4B3F0A62" w14:textId="7EB22B69" w:rsidR="005C2A93" w:rsidRPr="007D2244" w:rsidRDefault="007D2244" w:rsidP="007D2244">
      <w:pPr>
        <w:pStyle w:val="BodyText"/>
        <w:numPr>
          <w:ilvl w:val="0"/>
          <w:numId w:val="8"/>
        </w:numPr>
        <w:spacing w:after="240"/>
        <w:rPr>
          <w:rFonts w:ascii="Arial" w:hAnsi="Arial" w:cs="Arial"/>
        </w:rPr>
      </w:pPr>
      <w:r w:rsidRPr="007D2244">
        <w:rPr>
          <w:rFonts w:ascii="Arial" w:hAnsi="Arial" w:cs="Arial"/>
        </w:rPr>
        <w:t>the potential for the genetic modification to cause unintended effects.</w:t>
      </w:r>
    </w:p>
    <w:tbl>
      <w:tblPr>
        <w:tblStyle w:val="TableGrid"/>
        <w:tblW w:w="0" w:type="auto"/>
        <w:tblLook w:val="04A0" w:firstRow="1" w:lastRow="0" w:firstColumn="1" w:lastColumn="0" w:noHBand="0" w:noVBand="1"/>
      </w:tblPr>
      <w:tblGrid>
        <w:gridCol w:w="9628"/>
      </w:tblGrid>
      <w:tr w:rsidR="005C2A93" w:rsidRPr="005C2A93" w14:paraId="7E96C43E" w14:textId="77777777" w:rsidTr="005C2A93">
        <w:tc>
          <w:tcPr>
            <w:tcW w:w="9628" w:type="dxa"/>
          </w:tcPr>
          <w:p w14:paraId="65CA0804" w14:textId="44D4EECD" w:rsidR="005C2A93" w:rsidRPr="005C2A93" w:rsidRDefault="005C2A93" w:rsidP="003467A2">
            <w:pPr>
              <w:pStyle w:val="Cmqheading3"/>
              <w:spacing w:before="120" w:line="264" w:lineRule="auto"/>
              <w:ind w:left="0" w:firstLine="0"/>
              <w:rPr>
                <w:color w:val="auto"/>
              </w:rPr>
            </w:pPr>
            <w:r w:rsidRPr="005C2A93">
              <w:rPr>
                <w:color w:val="auto"/>
              </w:rPr>
              <w:t>Resolution</w:t>
            </w:r>
            <w:r>
              <w:rPr>
                <w:color w:val="auto"/>
              </w:rPr>
              <w:t>s</w:t>
            </w:r>
            <w:r w:rsidRPr="005C2A93">
              <w:rPr>
                <w:color w:val="auto"/>
              </w:rPr>
              <w:t xml:space="preserve"> </w:t>
            </w:r>
          </w:p>
          <w:p w14:paraId="3456F216" w14:textId="4DFF796E" w:rsidR="005C2A93" w:rsidRPr="005C2A93" w:rsidRDefault="005C2A93" w:rsidP="005C2A93">
            <w:pPr>
              <w:pStyle w:val="ListParagraph"/>
              <w:numPr>
                <w:ilvl w:val="0"/>
                <w:numId w:val="4"/>
              </w:numPr>
              <w:spacing w:after="0"/>
              <w:contextualSpacing w:val="0"/>
              <w:rPr>
                <w:rFonts w:ascii="Arial" w:hAnsi="Arial" w:cs="Arial"/>
              </w:rPr>
            </w:pPr>
            <w:r w:rsidRPr="005C2A93">
              <w:rPr>
                <w:rFonts w:ascii="Arial" w:hAnsi="Arial" w:cs="Arial"/>
              </w:rPr>
              <w:t>The Committee agrees all plausible risk scenarios have been identified and did not identify additional relevant information</w:t>
            </w:r>
            <w:r>
              <w:rPr>
                <w:rFonts w:ascii="Arial" w:hAnsi="Arial" w:cs="Arial"/>
              </w:rPr>
              <w:t>.</w:t>
            </w:r>
          </w:p>
          <w:p w14:paraId="0692118F" w14:textId="5CE2475A" w:rsidR="005C2A93" w:rsidRPr="005C2A93" w:rsidRDefault="005C2A93" w:rsidP="005C2A93">
            <w:pPr>
              <w:pStyle w:val="ListParagraph"/>
              <w:numPr>
                <w:ilvl w:val="0"/>
                <w:numId w:val="4"/>
              </w:numPr>
              <w:spacing w:after="0"/>
              <w:contextualSpacing w:val="0"/>
              <w:rPr>
                <w:rFonts w:ascii="Arial" w:hAnsi="Arial" w:cs="Arial"/>
              </w:rPr>
            </w:pPr>
            <w:r w:rsidRPr="005C2A93">
              <w:rPr>
                <w:rFonts w:ascii="Arial" w:hAnsi="Arial" w:cs="Arial"/>
              </w:rPr>
              <w:t>The Regulator should further consider the wording around human sensory trials</w:t>
            </w:r>
            <w:r>
              <w:rPr>
                <w:rFonts w:ascii="Arial" w:hAnsi="Arial" w:cs="Arial"/>
              </w:rPr>
              <w:t>.</w:t>
            </w:r>
          </w:p>
          <w:p w14:paraId="2CB84D14" w14:textId="6FD83217" w:rsidR="005C2A93" w:rsidRPr="005C2A93" w:rsidRDefault="005C2A93" w:rsidP="005C2A93">
            <w:pPr>
              <w:pStyle w:val="ListParagraph"/>
              <w:numPr>
                <w:ilvl w:val="0"/>
                <w:numId w:val="4"/>
              </w:numPr>
              <w:spacing w:after="0"/>
              <w:contextualSpacing w:val="0"/>
              <w:rPr>
                <w:rFonts w:ascii="Arial" w:hAnsi="Arial" w:cs="Arial"/>
              </w:rPr>
            </w:pPr>
            <w:r w:rsidRPr="005C2A93">
              <w:rPr>
                <w:rFonts w:ascii="Arial" w:hAnsi="Arial" w:cs="Arial"/>
              </w:rPr>
              <w:t>The Regulator should further consider the potential for outcrossing to commercial canola crops</w:t>
            </w:r>
            <w:r>
              <w:rPr>
                <w:rFonts w:ascii="Arial" w:hAnsi="Arial" w:cs="Arial"/>
              </w:rPr>
              <w:t>.</w:t>
            </w:r>
          </w:p>
          <w:p w14:paraId="3571BF99" w14:textId="540699DC" w:rsidR="005C2A93" w:rsidRPr="005C2A93" w:rsidRDefault="005C2A93" w:rsidP="005C2A93">
            <w:pPr>
              <w:pStyle w:val="ListParagraph"/>
              <w:numPr>
                <w:ilvl w:val="0"/>
                <w:numId w:val="4"/>
              </w:numPr>
              <w:spacing w:after="0"/>
              <w:contextualSpacing w:val="0"/>
              <w:rPr>
                <w:rFonts w:ascii="Arial" w:hAnsi="Arial" w:cs="Arial"/>
              </w:rPr>
            </w:pPr>
            <w:r w:rsidRPr="005C2A93">
              <w:rPr>
                <w:rFonts w:ascii="Arial" w:hAnsi="Arial" w:cs="Arial"/>
              </w:rPr>
              <w:t>The Committee agrees that the proposed limits and controls for the GM canola and Indian mustard are appropriate</w:t>
            </w:r>
            <w:r>
              <w:rPr>
                <w:rFonts w:ascii="Arial" w:hAnsi="Arial" w:cs="Arial"/>
              </w:rPr>
              <w:t>.</w:t>
            </w:r>
          </w:p>
          <w:p w14:paraId="238D4B84" w14:textId="67D0276C" w:rsidR="005C2A93" w:rsidRPr="005C2A93" w:rsidRDefault="005C2A93" w:rsidP="005C2A93">
            <w:pPr>
              <w:pStyle w:val="ListParagraph"/>
              <w:numPr>
                <w:ilvl w:val="0"/>
                <w:numId w:val="4"/>
              </w:numPr>
              <w:spacing w:after="0"/>
              <w:contextualSpacing w:val="0"/>
              <w:rPr>
                <w:rFonts w:ascii="Arial" w:eastAsiaTheme="minorHAnsi" w:hAnsi="Arial" w:cs="Arial"/>
              </w:rPr>
            </w:pPr>
            <w:r w:rsidRPr="005C2A93">
              <w:rPr>
                <w:rFonts w:ascii="Arial" w:hAnsi="Arial" w:cs="Arial"/>
              </w:rPr>
              <w:t>The Committee agrees with the overall conclusion of the RARMP.</w:t>
            </w:r>
          </w:p>
        </w:tc>
      </w:tr>
    </w:tbl>
    <w:p w14:paraId="208838DF" w14:textId="245A8BD4" w:rsidR="005C4D58" w:rsidRDefault="0083369E" w:rsidP="005C4D58">
      <w:pPr>
        <w:pStyle w:val="Cmqheading3"/>
        <w:spacing w:line="264" w:lineRule="auto"/>
        <w:ind w:left="1077" w:hanging="1077"/>
        <w:rPr>
          <w:color w:val="auto"/>
        </w:rPr>
      </w:pPr>
      <w:hyperlink r:id="rId8" w:history="1">
        <w:r w:rsidR="005C4D58" w:rsidRPr="005C4D58">
          <w:rPr>
            <w:rStyle w:val="Hyperlink"/>
            <w:color w:val="0000FF"/>
          </w:rPr>
          <w:t>DIR 18</w:t>
        </w:r>
        <w:r w:rsidR="005C4D58">
          <w:rPr>
            <w:rStyle w:val="Hyperlink"/>
            <w:color w:val="0000FF"/>
          </w:rPr>
          <w:t>9</w:t>
        </w:r>
      </w:hyperlink>
      <w:r w:rsidR="005C4D58" w:rsidRPr="005C4D58">
        <w:rPr>
          <w:color w:val="auto"/>
        </w:rPr>
        <w:t xml:space="preserve"> –</w:t>
      </w:r>
      <w:r w:rsidR="005C4D58">
        <w:rPr>
          <w:color w:val="auto"/>
        </w:rPr>
        <w:t xml:space="preserve"> </w:t>
      </w:r>
      <w:r w:rsidR="005C4D58" w:rsidRPr="005C4D58">
        <w:rPr>
          <w:color w:val="auto"/>
        </w:rPr>
        <w:t>Limited and controlled</w:t>
      </w:r>
      <w:r w:rsidR="005C4D58">
        <w:rPr>
          <w:color w:val="auto"/>
        </w:rPr>
        <w:t xml:space="preserve"> </w:t>
      </w:r>
      <w:r w:rsidR="005C4D58" w:rsidRPr="005C4D58">
        <w:rPr>
          <w:color w:val="auto"/>
        </w:rPr>
        <w:t xml:space="preserve">release of </w:t>
      </w:r>
      <w:r w:rsidR="00524267" w:rsidRPr="00524267">
        <w:rPr>
          <w:color w:val="auto"/>
        </w:rPr>
        <w:t>s</w:t>
      </w:r>
      <w:r w:rsidR="005C4D58" w:rsidRPr="00524267">
        <w:rPr>
          <w:color w:val="auto"/>
        </w:rPr>
        <w:t>orghum</w:t>
      </w:r>
      <w:r w:rsidR="005C4D58" w:rsidRPr="00524267">
        <w:rPr>
          <w:i/>
          <w:iCs/>
          <w:color w:val="auto"/>
        </w:rPr>
        <w:t xml:space="preserve"> </w:t>
      </w:r>
      <w:r w:rsidR="005C4D58" w:rsidRPr="005C4D58">
        <w:rPr>
          <w:color w:val="auto"/>
        </w:rPr>
        <w:t>genetically modified for</w:t>
      </w:r>
      <w:r w:rsidR="005C4D58">
        <w:rPr>
          <w:color w:val="auto"/>
        </w:rPr>
        <w:t xml:space="preserve"> </w:t>
      </w:r>
      <w:bookmarkStart w:id="2" w:name="_Hlk103076705"/>
      <w:r w:rsidR="005C4D58" w:rsidRPr="005C4D58">
        <w:rPr>
          <w:color w:val="auto"/>
        </w:rPr>
        <w:t>asexual</w:t>
      </w:r>
      <w:r w:rsidR="00524267">
        <w:rPr>
          <w:color w:val="auto"/>
        </w:rPr>
        <w:t xml:space="preserve"> seed formation</w:t>
      </w:r>
    </w:p>
    <w:bookmarkEnd w:id="2"/>
    <w:p w14:paraId="3120A01C" w14:textId="31FD634E" w:rsidR="00524267" w:rsidRDefault="005C2A93" w:rsidP="00524267">
      <w:pPr>
        <w:pStyle w:val="BodyText"/>
        <w:rPr>
          <w:rFonts w:ascii="Arial" w:hAnsi="Arial" w:cs="Arial"/>
        </w:rPr>
      </w:pPr>
      <w:r w:rsidRPr="005C2A93">
        <w:rPr>
          <w:rFonts w:ascii="Arial" w:hAnsi="Arial" w:cs="Arial"/>
        </w:rPr>
        <w:t>Licence application DIR 189 from The University of Queensland</w:t>
      </w:r>
      <w:r w:rsidR="00524267">
        <w:rPr>
          <w:rFonts w:ascii="Arial" w:hAnsi="Arial" w:cs="Arial"/>
        </w:rPr>
        <w:t xml:space="preserve"> is for a field trial of GM sorghum modified for an asexual seed formation trait. </w:t>
      </w:r>
      <w:r w:rsidR="00524267" w:rsidRPr="00524267">
        <w:rPr>
          <w:rFonts w:ascii="Arial" w:hAnsi="Arial" w:cs="Arial"/>
        </w:rPr>
        <w:t xml:space="preserve">The trial is proposed to take place between September 2022 and June 2025, on one site </w:t>
      </w:r>
      <w:r w:rsidR="00524267">
        <w:rPr>
          <w:rFonts w:ascii="Arial" w:hAnsi="Arial" w:cs="Arial"/>
        </w:rPr>
        <w:t xml:space="preserve">in Queensland </w:t>
      </w:r>
      <w:r w:rsidR="00524267" w:rsidRPr="00524267">
        <w:rPr>
          <w:rFonts w:ascii="Arial" w:hAnsi="Arial" w:cs="Arial"/>
        </w:rPr>
        <w:t>with a maximum area of one hectare per season.</w:t>
      </w:r>
    </w:p>
    <w:p w14:paraId="1FF098BE" w14:textId="5EAB0F79" w:rsidR="005C2A93" w:rsidRDefault="00524267" w:rsidP="005C2A93">
      <w:pPr>
        <w:pStyle w:val="BodyText"/>
        <w:rPr>
          <w:rFonts w:ascii="Arial" w:hAnsi="Arial" w:cs="Arial"/>
        </w:rPr>
      </w:pPr>
      <w:r>
        <w:rPr>
          <w:rFonts w:ascii="Arial" w:hAnsi="Arial" w:cs="Arial"/>
        </w:rPr>
        <w:t xml:space="preserve">GTTAC noted the conclusion of the RARMP that </w:t>
      </w:r>
      <w:r w:rsidRPr="00524267">
        <w:rPr>
          <w:rFonts w:ascii="Arial" w:hAnsi="Arial" w:cs="Arial"/>
        </w:rPr>
        <w:t xml:space="preserve">risks to the health and safety of people or the environment from the proposed </w:t>
      </w:r>
      <w:r>
        <w:rPr>
          <w:rFonts w:ascii="Arial" w:hAnsi="Arial" w:cs="Arial"/>
        </w:rPr>
        <w:t>trial</w:t>
      </w:r>
      <w:r w:rsidRPr="00524267">
        <w:rPr>
          <w:rFonts w:ascii="Arial" w:hAnsi="Arial" w:cs="Arial"/>
        </w:rPr>
        <w:t xml:space="preserve"> are negligible.</w:t>
      </w:r>
      <w:r>
        <w:rPr>
          <w:rFonts w:ascii="Arial" w:hAnsi="Arial" w:cs="Arial"/>
        </w:rPr>
        <w:t xml:space="preserve"> The Committee discussed the following key topics:</w:t>
      </w:r>
    </w:p>
    <w:p w14:paraId="637D7696" w14:textId="625E6E4F" w:rsidR="00524267" w:rsidRDefault="007068A4" w:rsidP="00524267">
      <w:pPr>
        <w:pStyle w:val="BodyText"/>
        <w:numPr>
          <w:ilvl w:val="0"/>
          <w:numId w:val="8"/>
        </w:numPr>
        <w:rPr>
          <w:rFonts w:ascii="Arial" w:hAnsi="Arial" w:cs="Arial"/>
        </w:rPr>
      </w:pPr>
      <w:r>
        <w:rPr>
          <w:rFonts w:ascii="Arial" w:hAnsi="Arial" w:cs="Arial"/>
        </w:rPr>
        <w:t>t</w:t>
      </w:r>
      <w:r w:rsidR="00524267">
        <w:rPr>
          <w:rFonts w:ascii="Arial" w:hAnsi="Arial" w:cs="Arial"/>
        </w:rPr>
        <w:t>he possibility of the modification occurring in a background that would increase the likelihood of achieving asexual reproduction</w:t>
      </w:r>
    </w:p>
    <w:p w14:paraId="57E1526D" w14:textId="6015A54C" w:rsidR="007068A4" w:rsidRDefault="007068A4" w:rsidP="00524267">
      <w:pPr>
        <w:pStyle w:val="BodyText"/>
        <w:numPr>
          <w:ilvl w:val="0"/>
          <w:numId w:val="8"/>
        </w:numPr>
        <w:rPr>
          <w:rFonts w:ascii="Arial" w:hAnsi="Arial" w:cs="Arial"/>
        </w:rPr>
      </w:pPr>
      <w:r>
        <w:rPr>
          <w:rFonts w:ascii="Arial" w:hAnsi="Arial" w:cs="Arial"/>
        </w:rPr>
        <w:t>t</w:t>
      </w:r>
      <w:r w:rsidR="00524267">
        <w:rPr>
          <w:rFonts w:ascii="Arial" w:hAnsi="Arial" w:cs="Arial"/>
        </w:rPr>
        <w:t>he</w:t>
      </w:r>
      <w:r>
        <w:rPr>
          <w:rFonts w:ascii="Arial" w:hAnsi="Arial" w:cs="Arial"/>
        </w:rPr>
        <w:t xml:space="preserve"> use of different sorghum backgrounds </w:t>
      </w:r>
      <w:r w:rsidRPr="007068A4">
        <w:rPr>
          <w:rFonts w:ascii="Arial" w:hAnsi="Arial" w:cs="Arial"/>
        </w:rPr>
        <w:t xml:space="preserve">containing the </w:t>
      </w:r>
      <w:r w:rsidR="003467A2">
        <w:rPr>
          <w:rFonts w:ascii="Arial" w:hAnsi="Arial" w:cs="Arial"/>
        </w:rPr>
        <w:t xml:space="preserve">introduced </w:t>
      </w:r>
      <w:r w:rsidRPr="007068A4">
        <w:rPr>
          <w:rFonts w:ascii="Arial" w:hAnsi="Arial" w:cs="Arial"/>
        </w:rPr>
        <w:t xml:space="preserve">gene </w:t>
      </w:r>
      <w:r>
        <w:rPr>
          <w:rFonts w:ascii="Arial" w:hAnsi="Arial" w:cs="Arial"/>
        </w:rPr>
        <w:t>in the trial</w:t>
      </w:r>
    </w:p>
    <w:p w14:paraId="06794F5A" w14:textId="06D5198F" w:rsidR="007068A4" w:rsidRDefault="007068A4" w:rsidP="00524267">
      <w:pPr>
        <w:pStyle w:val="BodyText"/>
        <w:numPr>
          <w:ilvl w:val="0"/>
          <w:numId w:val="8"/>
        </w:numPr>
        <w:rPr>
          <w:rFonts w:ascii="Arial" w:hAnsi="Arial" w:cs="Arial"/>
        </w:rPr>
      </w:pPr>
      <w:r>
        <w:rPr>
          <w:rFonts w:ascii="Arial" w:hAnsi="Arial" w:cs="Arial"/>
        </w:rPr>
        <w:t xml:space="preserve">the potential for ectopic seed formation </w:t>
      </w:r>
    </w:p>
    <w:p w14:paraId="24FA9609" w14:textId="0A66E307" w:rsidR="005C4D58" w:rsidRPr="007068A4" w:rsidRDefault="007068A4" w:rsidP="007068A4">
      <w:pPr>
        <w:pStyle w:val="BodyText"/>
        <w:numPr>
          <w:ilvl w:val="0"/>
          <w:numId w:val="8"/>
        </w:numPr>
        <w:rPr>
          <w:rFonts w:ascii="Arial" w:hAnsi="Arial" w:cs="Arial"/>
        </w:rPr>
      </w:pPr>
      <w:r>
        <w:rPr>
          <w:rFonts w:ascii="Arial" w:hAnsi="Arial" w:cs="Arial"/>
        </w:rPr>
        <w:t>t</w:t>
      </w:r>
      <w:r w:rsidRPr="007068A4">
        <w:rPr>
          <w:rFonts w:ascii="Arial" w:hAnsi="Arial" w:cs="Arial"/>
        </w:rPr>
        <w:t xml:space="preserve">he potential for flooding at the trial site, noting that </w:t>
      </w:r>
      <w:r w:rsidR="00D353B4">
        <w:rPr>
          <w:rFonts w:ascii="Arial" w:hAnsi="Arial" w:cs="Arial"/>
        </w:rPr>
        <w:t xml:space="preserve">the applicant </w:t>
      </w:r>
      <w:r w:rsidRPr="007068A4">
        <w:rPr>
          <w:rFonts w:ascii="Arial" w:hAnsi="Arial" w:cs="Arial"/>
        </w:rPr>
        <w:t xml:space="preserve">stated the site is 300m away from the nearest creek </w:t>
      </w:r>
      <w:r w:rsidR="003467A2">
        <w:rPr>
          <w:rFonts w:ascii="Arial" w:hAnsi="Arial" w:cs="Arial"/>
        </w:rPr>
        <w:t xml:space="preserve">and </w:t>
      </w:r>
      <w:r w:rsidRPr="007068A4">
        <w:rPr>
          <w:rFonts w:ascii="Arial" w:hAnsi="Arial" w:cs="Arial"/>
        </w:rPr>
        <w:t>that DIR licences contain standard provisions for reporting and implementing contingency plans if a severe weather event affects a field trial.</w:t>
      </w:r>
    </w:p>
    <w:tbl>
      <w:tblPr>
        <w:tblStyle w:val="TableGrid"/>
        <w:tblW w:w="0" w:type="auto"/>
        <w:tblLook w:val="04A0" w:firstRow="1" w:lastRow="0" w:firstColumn="1" w:lastColumn="0" w:noHBand="0" w:noVBand="1"/>
      </w:tblPr>
      <w:tblGrid>
        <w:gridCol w:w="9628"/>
      </w:tblGrid>
      <w:tr w:rsidR="005C2A93" w14:paraId="2F755F47" w14:textId="77777777" w:rsidTr="005C2A93">
        <w:tc>
          <w:tcPr>
            <w:tcW w:w="9628" w:type="dxa"/>
          </w:tcPr>
          <w:p w14:paraId="664F8449" w14:textId="77777777" w:rsidR="005C2A93" w:rsidRPr="005C2A93" w:rsidRDefault="005C2A93" w:rsidP="003467A2">
            <w:pPr>
              <w:pStyle w:val="Cmqheading3"/>
              <w:spacing w:before="120" w:line="264" w:lineRule="auto"/>
              <w:ind w:left="0" w:firstLine="0"/>
              <w:rPr>
                <w:color w:val="auto"/>
              </w:rPr>
            </w:pPr>
            <w:r w:rsidRPr="005C2A93">
              <w:rPr>
                <w:color w:val="auto"/>
              </w:rPr>
              <w:t>Resolution</w:t>
            </w:r>
            <w:r>
              <w:rPr>
                <w:color w:val="auto"/>
              </w:rPr>
              <w:t>s</w:t>
            </w:r>
            <w:r w:rsidRPr="005C2A93">
              <w:rPr>
                <w:color w:val="auto"/>
              </w:rPr>
              <w:t xml:space="preserve"> </w:t>
            </w:r>
          </w:p>
          <w:p w14:paraId="1E8557BD" w14:textId="114A6201" w:rsidR="005C2A93" w:rsidRPr="005C2A93" w:rsidRDefault="005C2A93" w:rsidP="005C2A93">
            <w:pPr>
              <w:pStyle w:val="ListParagraph"/>
              <w:numPr>
                <w:ilvl w:val="0"/>
                <w:numId w:val="4"/>
              </w:numPr>
              <w:spacing w:after="0"/>
              <w:contextualSpacing w:val="0"/>
              <w:rPr>
                <w:rFonts w:ascii="Arial" w:hAnsi="Arial" w:cs="Arial"/>
              </w:rPr>
            </w:pPr>
            <w:r w:rsidRPr="005C2A93">
              <w:rPr>
                <w:rFonts w:ascii="Arial" w:hAnsi="Arial" w:cs="Arial"/>
              </w:rPr>
              <w:t>The Committee agrees that all plausible risk scenarios have been identified and did not identify additional relevant information that should be considered</w:t>
            </w:r>
            <w:r>
              <w:rPr>
                <w:rFonts w:ascii="Arial" w:hAnsi="Arial" w:cs="Arial"/>
              </w:rPr>
              <w:t>.</w:t>
            </w:r>
          </w:p>
          <w:p w14:paraId="7C83AA80" w14:textId="6D9E7410" w:rsidR="005C2A93" w:rsidRPr="005C2A93" w:rsidRDefault="005C2A93" w:rsidP="005C2A93">
            <w:pPr>
              <w:pStyle w:val="ListParagraph"/>
              <w:numPr>
                <w:ilvl w:val="0"/>
                <w:numId w:val="4"/>
              </w:numPr>
              <w:spacing w:after="0"/>
              <w:contextualSpacing w:val="0"/>
              <w:rPr>
                <w:rFonts w:ascii="Arial" w:hAnsi="Arial" w:cs="Arial"/>
              </w:rPr>
            </w:pPr>
            <w:r w:rsidRPr="005C2A93">
              <w:rPr>
                <w:rFonts w:ascii="Arial" w:hAnsi="Arial" w:cs="Arial"/>
              </w:rPr>
              <w:t>The Committee agrees that the proposed limits and controls for the GM sorghum are appropriate</w:t>
            </w:r>
            <w:r>
              <w:rPr>
                <w:rFonts w:ascii="Arial" w:hAnsi="Arial" w:cs="Arial"/>
              </w:rPr>
              <w:t>.</w:t>
            </w:r>
          </w:p>
          <w:p w14:paraId="2286FBC4" w14:textId="72D77063" w:rsidR="005C2A93" w:rsidRDefault="005C2A93" w:rsidP="005C2A93">
            <w:pPr>
              <w:pStyle w:val="ListParagraph"/>
              <w:numPr>
                <w:ilvl w:val="0"/>
                <w:numId w:val="4"/>
              </w:numPr>
              <w:spacing w:after="0"/>
              <w:contextualSpacing w:val="0"/>
              <w:rPr>
                <w:rFonts w:ascii="Arial" w:hAnsi="Arial" w:cs="Arial"/>
              </w:rPr>
            </w:pPr>
            <w:r w:rsidRPr="005C2A93">
              <w:rPr>
                <w:rFonts w:ascii="Arial" w:hAnsi="Arial" w:cs="Arial"/>
              </w:rPr>
              <w:t>The Committee agrees with the overall conclusion of the RARMP</w:t>
            </w:r>
            <w:r>
              <w:rPr>
                <w:rFonts w:ascii="Arial" w:hAnsi="Arial" w:cs="Arial"/>
              </w:rPr>
              <w:t>.</w:t>
            </w:r>
          </w:p>
        </w:tc>
      </w:tr>
    </w:tbl>
    <w:p w14:paraId="6836E610" w14:textId="7A2F54FB" w:rsidR="009D35E9" w:rsidRPr="009D1580" w:rsidRDefault="009D35E9" w:rsidP="009D35E9">
      <w:pPr>
        <w:pStyle w:val="Cmqheading2"/>
        <w:spacing w:line="264" w:lineRule="auto"/>
        <w:rPr>
          <w:color w:val="auto"/>
        </w:rPr>
      </w:pPr>
      <w:r w:rsidRPr="009D1580">
        <w:rPr>
          <w:color w:val="auto"/>
        </w:rPr>
        <w:lastRenderedPageBreak/>
        <w:t xml:space="preserve">Advice on </w:t>
      </w:r>
      <w:r w:rsidR="00CF449B">
        <w:rPr>
          <w:color w:val="auto"/>
        </w:rPr>
        <w:t>applications</w:t>
      </w:r>
      <w:r w:rsidRPr="009D1580">
        <w:rPr>
          <w:color w:val="auto"/>
        </w:rPr>
        <w:t xml:space="preserve"> – </w:t>
      </w:r>
      <w:r w:rsidR="00034B85" w:rsidRPr="009D1580">
        <w:rPr>
          <w:color w:val="auto"/>
        </w:rPr>
        <w:t>COMMERCIAL</w:t>
      </w:r>
      <w:r w:rsidRPr="009D1580">
        <w:rPr>
          <w:color w:val="auto"/>
        </w:rPr>
        <w:t xml:space="preserve"> release</w:t>
      </w:r>
    </w:p>
    <w:bookmarkEnd w:id="1"/>
    <w:p w14:paraId="05D2FF4C" w14:textId="686E784D" w:rsidR="009D35E9" w:rsidRPr="009D1580" w:rsidRDefault="00034B85" w:rsidP="00270F68">
      <w:pPr>
        <w:pStyle w:val="Cmqheading3"/>
        <w:spacing w:line="264" w:lineRule="auto"/>
        <w:ind w:left="1077" w:hanging="1077"/>
        <w:rPr>
          <w:bCs/>
          <w:color w:val="auto"/>
        </w:rPr>
      </w:pPr>
      <w:r w:rsidRPr="002A5C35">
        <w:rPr>
          <w:color w:val="0000FF"/>
        </w:rPr>
        <w:fldChar w:fldCharType="begin"/>
      </w:r>
      <w:r w:rsidR="009D1580">
        <w:rPr>
          <w:color w:val="0000FF"/>
        </w:rPr>
        <w:instrText>HYPERLINK "https://www.ogtr.gov.au/gmo-dealings/dealings-involving-intentional-release/dir-191"</w:instrText>
      </w:r>
      <w:r w:rsidRPr="002A5C35">
        <w:rPr>
          <w:color w:val="0000FF"/>
        </w:rPr>
        <w:fldChar w:fldCharType="separate"/>
      </w:r>
      <w:r w:rsidR="009D35E9" w:rsidRPr="002A5C35">
        <w:rPr>
          <w:rStyle w:val="Hyperlink"/>
          <w:color w:val="0000FF"/>
        </w:rPr>
        <w:t xml:space="preserve">DIR </w:t>
      </w:r>
      <w:r w:rsidRPr="002A5C35">
        <w:rPr>
          <w:rStyle w:val="Hyperlink"/>
          <w:color w:val="0000FF"/>
        </w:rPr>
        <w:t>19</w:t>
      </w:r>
      <w:r w:rsidR="009D1580">
        <w:rPr>
          <w:rStyle w:val="Hyperlink"/>
          <w:color w:val="0000FF"/>
        </w:rPr>
        <w:t>1</w:t>
      </w:r>
      <w:r w:rsidRPr="002A5C35">
        <w:rPr>
          <w:color w:val="0000FF"/>
        </w:rPr>
        <w:fldChar w:fldCharType="end"/>
      </w:r>
      <w:r w:rsidR="009D35E9" w:rsidRPr="002A5C35">
        <w:rPr>
          <w:color w:val="0000FF"/>
        </w:rPr>
        <w:t xml:space="preserve"> </w:t>
      </w:r>
      <w:r w:rsidR="009D35E9" w:rsidRPr="009D1580">
        <w:rPr>
          <w:color w:val="auto"/>
        </w:rPr>
        <w:t xml:space="preserve">– </w:t>
      </w:r>
      <w:r w:rsidR="009D1580" w:rsidRPr="009D1580">
        <w:rPr>
          <w:color w:val="auto"/>
        </w:rPr>
        <w:t>Commercial import and distribution of chrysanthemum genetically modified for altered flower colour</w:t>
      </w:r>
    </w:p>
    <w:p w14:paraId="74D65FF2" w14:textId="19DFF215" w:rsidR="007068A4" w:rsidRPr="007527D6" w:rsidRDefault="009D35E9" w:rsidP="007068A4">
      <w:pPr>
        <w:pStyle w:val="BodyText"/>
        <w:rPr>
          <w:rFonts w:ascii="Arial" w:hAnsi="Arial" w:cs="Arial"/>
        </w:rPr>
      </w:pPr>
      <w:r w:rsidRPr="009D1580">
        <w:rPr>
          <w:rFonts w:ascii="Arial" w:hAnsi="Arial" w:cs="Arial"/>
        </w:rPr>
        <w:t>Licence application DIR 1</w:t>
      </w:r>
      <w:r w:rsidR="00034B85" w:rsidRPr="009D1580">
        <w:rPr>
          <w:rFonts w:ascii="Arial" w:hAnsi="Arial" w:cs="Arial"/>
        </w:rPr>
        <w:t>9</w:t>
      </w:r>
      <w:r w:rsidR="009D1580" w:rsidRPr="009D1580">
        <w:rPr>
          <w:rFonts w:ascii="Arial" w:hAnsi="Arial" w:cs="Arial"/>
        </w:rPr>
        <w:t>1</w:t>
      </w:r>
      <w:r w:rsidRPr="009D1580">
        <w:rPr>
          <w:rFonts w:ascii="Arial" w:hAnsi="Arial" w:cs="Arial"/>
        </w:rPr>
        <w:t xml:space="preserve"> from </w:t>
      </w:r>
      <w:r w:rsidR="009D1580" w:rsidRPr="009D1580">
        <w:rPr>
          <w:rFonts w:ascii="Arial" w:hAnsi="Arial" w:cs="Arial"/>
        </w:rPr>
        <w:t>International Flower Developments Pty Ltd</w:t>
      </w:r>
      <w:r w:rsidR="007068A4">
        <w:rPr>
          <w:rFonts w:ascii="Arial" w:hAnsi="Arial" w:cs="Arial"/>
        </w:rPr>
        <w:t xml:space="preserve"> is for commercial import of five types of GM chrysanthemum. </w:t>
      </w:r>
      <w:r w:rsidR="007068A4" w:rsidRPr="007068A4">
        <w:rPr>
          <w:rFonts w:ascii="Arial" w:hAnsi="Arial" w:cs="Arial"/>
        </w:rPr>
        <w:t xml:space="preserve">If a licence is issued, cut flowers of GM chrysanthemum would be imported into Australia and sold to the public through florists and supermarkets. The OGTR is preparing a RARMP for the application expected to be released for </w:t>
      </w:r>
      <w:r w:rsidR="007068A4" w:rsidRPr="007527D6">
        <w:rPr>
          <w:rFonts w:ascii="Arial" w:hAnsi="Arial" w:cs="Arial"/>
        </w:rPr>
        <w:t>public comment and advice from experts, agencies, and authorities in September 2022.</w:t>
      </w:r>
    </w:p>
    <w:p w14:paraId="4929261D" w14:textId="1E6919FD" w:rsidR="009D35E9" w:rsidRPr="007527D6" w:rsidRDefault="009D35E9" w:rsidP="007527D6">
      <w:pPr>
        <w:pStyle w:val="BodyText"/>
        <w:keepNext/>
        <w:rPr>
          <w:rFonts w:ascii="Arial" w:hAnsi="Arial" w:cs="Arial"/>
        </w:rPr>
      </w:pPr>
      <w:bookmarkStart w:id="3" w:name="_Hlk97128518"/>
      <w:r w:rsidRPr="007527D6">
        <w:rPr>
          <w:rFonts w:ascii="Arial" w:hAnsi="Arial" w:cs="Arial"/>
        </w:rPr>
        <w:t xml:space="preserve">GTTAC discussed the </w:t>
      </w:r>
      <w:r w:rsidR="003467A2">
        <w:rPr>
          <w:rFonts w:ascii="Arial" w:hAnsi="Arial" w:cs="Arial"/>
        </w:rPr>
        <w:t>potential for</w:t>
      </w:r>
      <w:r w:rsidR="007068A4" w:rsidRPr="007527D6">
        <w:rPr>
          <w:rFonts w:ascii="Arial" w:hAnsi="Arial" w:cs="Arial"/>
        </w:rPr>
        <w:t xml:space="preserve"> the GM chrysanthemums to be consumed</w:t>
      </w:r>
      <w:r w:rsidR="007527D6" w:rsidRPr="007527D6">
        <w:rPr>
          <w:rFonts w:ascii="Arial" w:hAnsi="Arial" w:cs="Arial"/>
        </w:rPr>
        <w:t xml:space="preserve">, noting the GMOs would not be authorised for use in commercial human food or animal feed. The Committee discussed the effectiveness of treating cut flowers with glyphosate and whether </w:t>
      </w:r>
      <w:r w:rsidR="007527D6">
        <w:rPr>
          <w:rFonts w:ascii="Arial" w:hAnsi="Arial" w:cs="Arial"/>
        </w:rPr>
        <w:t xml:space="preserve">this would be sufficient to prevent </w:t>
      </w:r>
      <w:r w:rsidR="007527D6" w:rsidRPr="007527D6">
        <w:rPr>
          <w:rFonts w:ascii="Arial" w:hAnsi="Arial" w:cs="Arial"/>
        </w:rPr>
        <w:t>people</w:t>
      </w:r>
      <w:r w:rsidR="007527D6">
        <w:rPr>
          <w:rFonts w:ascii="Arial" w:hAnsi="Arial" w:cs="Arial"/>
        </w:rPr>
        <w:t xml:space="preserve"> from </w:t>
      </w:r>
      <w:r w:rsidR="007527D6" w:rsidRPr="007527D6">
        <w:rPr>
          <w:rFonts w:ascii="Arial" w:hAnsi="Arial" w:cs="Arial"/>
        </w:rPr>
        <w:t>propagat</w:t>
      </w:r>
      <w:r w:rsidR="007527D6">
        <w:rPr>
          <w:rFonts w:ascii="Arial" w:hAnsi="Arial" w:cs="Arial"/>
        </w:rPr>
        <w:t>ing</w:t>
      </w:r>
      <w:r w:rsidR="007527D6" w:rsidRPr="007527D6">
        <w:rPr>
          <w:rFonts w:ascii="Arial" w:hAnsi="Arial" w:cs="Arial"/>
        </w:rPr>
        <w:t xml:space="preserve"> the </w:t>
      </w:r>
      <w:r w:rsidR="007527D6">
        <w:rPr>
          <w:rFonts w:ascii="Arial" w:hAnsi="Arial" w:cs="Arial"/>
        </w:rPr>
        <w:t>GM chrysanthemums</w:t>
      </w:r>
      <w:r w:rsidR="007527D6" w:rsidRPr="007527D6">
        <w:rPr>
          <w:rFonts w:ascii="Arial" w:hAnsi="Arial" w:cs="Arial"/>
        </w:rPr>
        <w:t>.</w:t>
      </w:r>
      <w:bookmarkEnd w:id="3"/>
    </w:p>
    <w:tbl>
      <w:tblPr>
        <w:tblStyle w:val="TableGrid"/>
        <w:tblW w:w="9639" w:type="dxa"/>
        <w:tblInd w:w="-5" w:type="dxa"/>
        <w:tblLook w:val="04A0" w:firstRow="1" w:lastRow="0" w:firstColumn="1" w:lastColumn="0" w:noHBand="0" w:noVBand="1"/>
        <w:tblCaption w:val="Resolutions"/>
      </w:tblPr>
      <w:tblGrid>
        <w:gridCol w:w="9639"/>
      </w:tblGrid>
      <w:tr w:rsidR="005C2A93" w:rsidRPr="005C2A93" w14:paraId="4F8C085A" w14:textId="77777777" w:rsidTr="0044644B">
        <w:trPr>
          <w:tblHeader/>
        </w:trPr>
        <w:tc>
          <w:tcPr>
            <w:tcW w:w="9639" w:type="dxa"/>
          </w:tcPr>
          <w:p w14:paraId="4AA7FBE1" w14:textId="439C7D0B" w:rsidR="009D35E9" w:rsidRPr="005C2A93" w:rsidRDefault="009D35E9" w:rsidP="003467A2">
            <w:pPr>
              <w:pStyle w:val="Cmqheading3"/>
              <w:spacing w:before="120" w:line="264" w:lineRule="auto"/>
              <w:ind w:left="0" w:firstLine="0"/>
              <w:rPr>
                <w:color w:val="auto"/>
              </w:rPr>
            </w:pPr>
            <w:r w:rsidRPr="005C2A93">
              <w:rPr>
                <w:color w:val="auto"/>
              </w:rPr>
              <w:t>Resolution</w:t>
            </w:r>
            <w:r w:rsidR="005C2A93" w:rsidRPr="005C2A93">
              <w:rPr>
                <w:color w:val="auto"/>
              </w:rPr>
              <w:t>s</w:t>
            </w:r>
            <w:r w:rsidRPr="005C2A93">
              <w:rPr>
                <w:color w:val="auto"/>
              </w:rPr>
              <w:t xml:space="preserve"> </w:t>
            </w:r>
          </w:p>
          <w:p w14:paraId="0CD4351D" w14:textId="20D11CCB" w:rsidR="005C2A93" w:rsidRPr="005C2A93" w:rsidRDefault="005C2A93" w:rsidP="005C2A93">
            <w:pPr>
              <w:pStyle w:val="ListParagraph"/>
              <w:numPr>
                <w:ilvl w:val="0"/>
                <w:numId w:val="4"/>
              </w:numPr>
              <w:spacing w:after="0"/>
              <w:rPr>
                <w:rFonts w:ascii="Arial" w:hAnsi="Arial" w:cs="Arial"/>
              </w:rPr>
            </w:pPr>
            <w:r w:rsidRPr="005C2A93">
              <w:rPr>
                <w:rFonts w:ascii="Arial" w:hAnsi="Arial" w:cs="Arial"/>
              </w:rPr>
              <w:t>The Committee agrees that the matters identified by OGTR should be considered in the RARMP</w:t>
            </w:r>
            <w:r>
              <w:rPr>
                <w:rFonts w:ascii="Arial" w:hAnsi="Arial" w:cs="Arial"/>
              </w:rPr>
              <w:t>.</w:t>
            </w:r>
          </w:p>
          <w:p w14:paraId="04731F7F" w14:textId="4DDC8B19" w:rsidR="009D35E9" w:rsidRPr="005C2A93" w:rsidRDefault="005C2A93" w:rsidP="005C2A93">
            <w:pPr>
              <w:pStyle w:val="ListParagraph"/>
              <w:numPr>
                <w:ilvl w:val="0"/>
                <w:numId w:val="4"/>
              </w:numPr>
              <w:spacing w:after="0"/>
              <w:contextualSpacing w:val="0"/>
              <w:rPr>
                <w:rFonts w:ascii="Arial" w:eastAsiaTheme="minorHAnsi" w:hAnsi="Arial" w:cs="Arial"/>
              </w:rPr>
            </w:pPr>
            <w:r>
              <w:rPr>
                <w:rFonts w:ascii="Arial" w:hAnsi="Arial" w:cs="Arial"/>
              </w:rPr>
              <w:t>T</w:t>
            </w:r>
            <w:r w:rsidRPr="005C2A93">
              <w:rPr>
                <w:rFonts w:ascii="Arial" w:hAnsi="Arial" w:cs="Arial"/>
              </w:rPr>
              <w:t xml:space="preserve">he Regulator should consider the effectiveness of the Department of Agriculture, </w:t>
            </w:r>
            <w:proofErr w:type="gramStart"/>
            <w:r w:rsidRPr="005C2A93">
              <w:rPr>
                <w:rFonts w:ascii="Arial" w:hAnsi="Arial" w:cs="Arial"/>
              </w:rPr>
              <w:t>Water</w:t>
            </w:r>
            <w:proofErr w:type="gramEnd"/>
            <w:r w:rsidRPr="005C2A93">
              <w:rPr>
                <w:rFonts w:ascii="Arial" w:hAnsi="Arial" w:cs="Arial"/>
              </w:rPr>
              <w:t xml:space="preserve"> and the Environment mandated glyphosate treatment</w:t>
            </w:r>
            <w:r w:rsidR="0027799F" w:rsidRPr="005C2A93">
              <w:rPr>
                <w:rFonts w:ascii="Arial" w:hAnsi="Arial" w:cs="Arial"/>
              </w:rPr>
              <w:t>.</w:t>
            </w:r>
          </w:p>
        </w:tc>
      </w:tr>
    </w:tbl>
    <w:p w14:paraId="5B49E486" w14:textId="4F05AEB8" w:rsidR="009D35E9" w:rsidRPr="002A5C35" w:rsidRDefault="009D35E9" w:rsidP="00E02999">
      <w:pPr>
        <w:pStyle w:val="CmqHeading1"/>
      </w:pPr>
      <w:r w:rsidRPr="002A5C35">
        <w:t>Enquiries and Risk Assessment and Risk Management Plans</w:t>
      </w:r>
    </w:p>
    <w:p w14:paraId="621A27E8" w14:textId="3DD5D63D" w:rsidR="009D35E9" w:rsidRPr="002A5C35" w:rsidRDefault="009D35E9" w:rsidP="005C2A93">
      <w:pPr>
        <w:pStyle w:val="BodyText"/>
        <w:rPr>
          <w:rFonts w:ascii="Arial" w:hAnsi="Arial" w:cs="Arial"/>
        </w:rPr>
      </w:pPr>
      <w:r w:rsidRPr="002A5C35">
        <w:rPr>
          <w:rFonts w:ascii="Arial" w:hAnsi="Arial" w:cs="Arial"/>
        </w:rPr>
        <w:t xml:space="preserve">For all enquiries and to obtain copies of applications or RARMPs for Dealings involving the Intentional Release (DIR) of GMOs into the environment, please call the OGTR on 1800 181 030 or email </w:t>
      </w:r>
      <w:hyperlink r:id="rId9" w:history="1">
        <w:r w:rsidRPr="002A5C35">
          <w:rPr>
            <w:rFonts w:ascii="Arial" w:hAnsi="Arial" w:cs="Arial"/>
            <w:u w:val="single"/>
          </w:rPr>
          <w:t>ogtr@health.gov.au</w:t>
        </w:r>
      </w:hyperlink>
      <w:r w:rsidRPr="002A5C35">
        <w:rPr>
          <w:rFonts w:ascii="Arial" w:hAnsi="Arial" w:cs="Arial"/>
        </w:rPr>
        <w:t xml:space="preserve">. DIR RARMPs are also available on the </w:t>
      </w:r>
      <w:hyperlink r:id="rId10" w:history="1">
        <w:r w:rsidRPr="002A5C35">
          <w:rPr>
            <w:rStyle w:val="Hyperlink"/>
            <w:rFonts w:ascii="Arial" w:hAnsi="Arial" w:cs="Arial"/>
            <w:color w:val="auto"/>
          </w:rPr>
          <w:t>OGTR website</w:t>
        </w:r>
      </w:hyperlink>
      <w:r w:rsidRPr="002A5C35">
        <w:rPr>
          <w:rFonts w:ascii="Arial" w:hAnsi="Arial" w:cs="Arial"/>
        </w:rPr>
        <w:t>.</w:t>
      </w:r>
    </w:p>
    <w:sectPr w:rsidR="009D35E9" w:rsidRPr="002A5C35" w:rsidSect="00091301">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56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A3B9" w14:textId="77777777" w:rsidR="00C31BB4" w:rsidRDefault="00C31BB4">
      <w:pPr>
        <w:spacing w:after="0" w:line="240" w:lineRule="auto"/>
      </w:pPr>
      <w:r>
        <w:separator/>
      </w:r>
    </w:p>
  </w:endnote>
  <w:endnote w:type="continuationSeparator" w:id="0">
    <w:p w14:paraId="62D60B77" w14:textId="77777777" w:rsidR="00C31BB4" w:rsidRDefault="00C3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6AC6" w14:textId="77777777" w:rsidR="00F32CB5" w:rsidRDefault="009D35E9" w:rsidP="002723BB">
    <w:pPr>
      <w:pStyle w:val="Footer"/>
      <w:framePr w:w="106" w:h="286" w:hRule="exact" w:wrap="around" w:vAnchor="text" w:hAnchor="page" w:x="10651" w:y="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F21555" w14:textId="77777777" w:rsidR="00F32CB5" w:rsidRDefault="0083369E" w:rsidP="002723BB">
    <w:pPr>
      <w:pStyle w:val="Footer"/>
      <w:spacing w:after="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F9D4" w14:textId="2EE0878A" w:rsidR="00E003FF" w:rsidRPr="006224A0" w:rsidRDefault="006224A0" w:rsidP="006224A0">
    <w:pPr>
      <w:pStyle w:val="Footer"/>
      <w:tabs>
        <w:tab w:val="clear" w:pos="8306"/>
        <w:tab w:val="left" w:pos="8505"/>
      </w:tabs>
      <w:spacing w:after="0"/>
      <w:rPr>
        <w:rFonts w:ascii="Arial" w:hAnsi="Arial" w:cs="Arial"/>
        <w:sz w:val="20"/>
        <w:szCs w:val="20"/>
      </w:rPr>
    </w:pPr>
    <w:r w:rsidRPr="006224A0">
      <w:rPr>
        <w:rFonts w:ascii="Arial" w:hAnsi="Arial" w:cs="Arial"/>
        <w:sz w:val="20"/>
        <w:szCs w:val="20"/>
      </w:rPr>
      <w:t>GTTAC Communiqué 28 April 2022</w:t>
    </w:r>
    <w:r w:rsidRPr="006224A0">
      <w:rPr>
        <w:rFonts w:ascii="Arial" w:hAnsi="Arial" w:cs="Arial"/>
        <w:sz w:val="20"/>
        <w:szCs w:val="20"/>
      </w:rPr>
      <w:tab/>
    </w:r>
    <w:r w:rsidRPr="006224A0">
      <w:rPr>
        <w:rFonts w:ascii="Arial" w:hAnsi="Arial" w:cs="Arial"/>
        <w:sz w:val="20"/>
        <w:szCs w:val="20"/>
      </w:rPr>
      <w:tab/>
      <w:t xml:space="preserve">Page </w:t>
    </w:r>
    <w:sdt>
      <w:sdtPr>
        <w:rPr>
          <w:rFonts w:ascii="Arial" w:hAnsi="Arial" w:cs="Arial"/>
          <w:sz w:val="20"/>
          <w:szCs w:val="20"/>
        </w:rPr>
        <w:id w:val="-52394294"/>
        <w:docPartObj>
          <w:docPartGallery w:val="Page Numbers (Bottom of Page)"/>
          <w:docPartUnique/>
        </w:docPartObj>
      </w:sdtPr>
      <w:sdtEndPr>
        <w:rPr>
          <w:noProof/>
        </w:rPr>
      </w:sdtEndPr>
      <w:sdtContent>
        <w:r w:rsidRPr="006224A0">
          <w:rPr>
            <w:rFonts w:ascii="Arial" w:hAnsi="Arial" w:cs="Arial"/>
            <w:sz w:val="20"/>
            <w:szCs w:val="20"/>
          </w:rPr>
          <w:fldChar w:fldCharType="begin"/>
        </w:r>
        <w:r w:rsidRPr="006224A0">
          <w:rPr>
            <w:rFonts w:ascii="Arial" w:hAnsi="Arial" w:cs="Arial"/>
            <w:sz w:val="20"/>
            <w:szCs w:val="20"/>
          </w:rPr>
          <w:instrText xml:space="preserve"> PAGE   \* MERGEFORMAT </w:instrText>
        </w:r>
        <w:r w:rsidRPr="006224A0">
          <w:rPr>
            <w:rFonts w:ascii="Arial" w:hAnsi="Arial" w:cs="Arial"/>
            <w:sz w:val="20"/>
            <w:szCs w:val="20"/>
          </w:rPr>
          <w:fldChar w:fldCharType="separate"/>
        </w:r>
        <w:r>
          <w:rPr>
            <w:rFonts w:ascii="Arial" w:hAnsi="Arial" w:cs="Arial"/>
            <w:sz w:val="20"/>
            <w:szCs w:val="20"/>
          </w:rPr>
          <w:t>1</w:t>
        </w:r>
        <w:r w:rsidRPr="006224A0">
          <w:rPr>
            <w:rFonts w:ascii="Arial" w:hAnsi="Arial" w:cs="Arial"/>
            <w:noProof/>
            <w:sz w:val="20"/>
            <w:szCs w:val="20"/>
          </w:rPr>
          <w:fldChar w:fldCharType="end"/>
        </w:r>
        <w:r w:rsidRPr="006224A0">
          <w:rPr>
            <w:rFonts w:ascii="Arial" w:hAnsi="Arial" w:cs="Arial"/>
            <w:noProof/>
            <w:sz w:val="20"/>
            <w:szCs w:val="20"/>
          </w:rPr>
          <w:t xml:space="preserve"> of </w:t>
        </w:r>
        <w:r w:rsidRPr="006224A0">
          <w:rPr>
            <w:rFonts w:ascii="Arial" w:hAnsi="Arial" w:cs="Arial"/>
            <w:noProof/>
            <w:sz w:val="20"/>
            <w:szCs w:val="20"/>
          </w:rPr>
          <w:fldChar w:fldCharType="begin"/>
        </w:r>
        <w:r w:rsidRPr="006224A0">
          <w:rPr>
            <w:rFonts w:ascii="Arial" w:hAnsi="Arial" w:cs="Arial"/>
            <w:noProof/>
            <w:sz w:val="20"/>
            <w:szCs w:val="20"/>
          </w:rPr>
          <w:instrText xml:space="preserve"> NUMPAGES   \* MERGEFORMAT </w:instrText>
        </w:r>
        <w:r w:rsidRPr="006224A0">
          <w:rPr>
            <w:rFonts w:ascii="Arial" w:hAnsi="Arial" w:cs="Arial"/>
            <w:noProof/>
            <w:sz w:val="20"/>
            <w:szCs w:val="20"/>
          </w:rPr>
          <w:fldChar w:fldCharType="separate"/>
        </w:r>
        <w:r>
          <w:rPr>
            <w:rFonts w:ascii="Arial" w:hAnsi="Arial" w:cs="Arial"/>
            <w:noProof/>
            <w:sz w:val="20"/>
            <w:szCs w:val="20"/>
          </w:rPr>
          <w:t>3</w:t>
        </w:r>
        <w:r w:rsidRPr="006224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5F4B" w14:textId="5C1E51F7" w:rsidR="00E003FF" w:rsidRPr="006224A0" w:rsidRDefault="00E003FF" w:rsidP="006224A0">
    <w:pPr>
      <w:pStyle w:val="Footer"/>
      <w:tabs>
        <w:tab w:val="clear" w:pos="8306"/>
        <w:tab w:val="left" w:pos="8505"/>
      </w:tabs>
      <w:spacing w:after="0"/>
      <w:rPr>
        <w:rFonts w:ascii="Arial" w:hAnsi="Arial" w:cs="Arial"/>
        <w:sz w:val="20"/>
        <w:szCs w:val="20"/>
      </w:rPr>
    </w:pPr>
    <w:r w:rsidRPr="006224A0">
      <w:rPr>
        <w:rFonts w:ascii="Arial" w:hAnsi="Arial" w:cs="Arial"/>
        <w:sz w:val="20"/>
        <w:szCs w:val="20"/>
      </w:rPr>
      <w:t xml:space="preserve">GTTAC Communiqué </w:t>
    </w:r>
    <w:r w:rsidR="00034B85" w:rsidRPr="006224A0">
      <w:rPr>
        <w:rFonts w:ascii="Arial" w:hAnsi="Arial" w:cs="Arial"/>
        <w:sz w:val="20"/>
        <w:szCs w:val="20"/>
      </w:rPr>
      <w:t>28</w:t>
    </w:r>
    <w:r w:rsidRPr="006224A0">
      <w:rPr>
        <w:rFonts w:ascii="Arial" w:hAnsi="Arial" w:cs="Arial"/>
        <w:sz w:val="20"/>
        <w:szCs w:val="20"/>
      </w:rPr>
      <w:t xml:space="preserve"> </w:t>
    </w:r>
    <w:r w:rsidR="006224A0" w:rsidRPr="006224A0">
      <w:rPr>
        <w:rFonts w:ascii="Arial" w:hAnsi="Arial" w:cs="Arial"/>
        <w:sz w:val="20"/>
        <w:szCs w:val="20"/>
      </w:rPr>
      <w:t>April</w:t>
    </w:r>
    <w:r w:rsidRPr="006224A0">
      <w:rPr>
        <w:rFonts w:ascii="Arial" w:hAnsi="Arial" w:cs="Arial"/>
        <w:sz w:val="20"/>
        <w:szCs w:val="20"/>
      </w:rPr>
      <w:t xml:space="preserve"> 202</w:t>
    </w:r>
    <w:r w:rsidR="00034B85" w:rsidRPr="006224A0">
      <w:rPr>
        <w:rFonts w:ascii="Arial" w:hAnsi="Arial" w:cs="Arial"/>
        <w:sz w:val="20"/>
        <w:szCs w:val="20"/>
      </w:rPr>
      <w:t>2</w:t>
    </w:r>
    <w:r w:rsidRPr="006224A0">
      <w:rPr>
        <w:rFonts w:ascii="Arial" w:hAnsi="Arial" w:cs="Arial"/>
        <w:sz w:val="20"/>
        <w:szCs w:val="20"/>
      </w:rPr>
      <w:tab/>
    </w:r>
    <w:r w:rsidR="006224A0" w:rsidRPr="006224A0">
      <w:rPr>
        <w:rFonts w:ascii="Arial" w:hAnsi="Arial" w:cs="Arial"/>
        <w:sz w:val="20"/>
        <w:szCs w:val="20"/>
      </w:rPr>
      <w:tab/>
      <w:t xml:space="preserve">Page </w:t>
    </w:r>
    <w:sdt>
      <w:sdtPr>
        <w:rPr>
          <w:rFonts w:ascii="Arial" w:hAnsi="Arial" w:cs="Arial"/>
          <w:sz w:val="20"/>
          <w:szCs w:val="20"/>
        </w:rPr>
        <w:id w:val="1937241287"/>
        <w:docPartObj>
          <w:docPartGallery w:val="Page Numbers (Bottom of Page)"/>
          <w:docPartUnique/>
        </w:docPartObj>
      </w:sdtPr>
      <w:sdtEndPr>
        <w:rPr>
          <w:noProof/>
        </w:rPr>
      </w:sdtEndPr>
      <w:sdtContent>
        <w:r w:rsidRPr="006224A0">
          <w:rPr>
            <w:rFonts w:ascii="Arial" w:hAnsi="Arial" w:cs="Arial"/>
            <w:sz w:val="20"/>
            <w:szCs w:val="20"/>
          </w:rPr>
          <w:fldChar w:fldCharType="begin"/>
        </w:r>
        <w:r w:rsidRPr="006224A0">
          <w:rPr>
            <w:rFonts w:ascii="Arial" w:hAnsi="Arial" w:cs="Arial"/>
            <w:sz w:val="20"/>
            <w:szCs w:val="20"/>
          </w:rPr>
          <w:instrText xml:space="preserve"> PAGE   \* MERGEFORMAT </w:instrText>
        </w:r>
        <w:r w:rsidRPr="006224A0">
          <w:rPr>
            <w:rFonts w:ascii="Arial" w:hAnsi="Arial" w:cs="Arial"/>
            <w:sz w:val="20"/>
            <w:szCs w:val="20"/>
          </w:rPr>
          <w:fldChar w:fldCharType="separate"/>
        </w:r>
        <w:r w:rsidRPr="006224A0">
          <w:rPr>
            <w:rFonts w:ascii="Arial" w:hAnsi="Arial" w:cs="Arial"/>
            <w:noProof/>
            <w:sz w:val="20"/>
            <w:szCs w:val="20"/>
          </w:rPr>
          <w:t>2</w:t>
        </w:r>
        <w:r w:rsidRPr="006224A0">
          <w:rPr>
            <w:rFonts w:ascii="Arial" w:hAnsi="Arial" w:cs="Arial"/>
            <w:noProof/>
            <w:sz w:val="20"/>
            <w:szCs w:val="20"/>
          </w:rPr>
          <w:fldChar w:fldCharType="end"/>
        </w:r>
        <w:r w:rsidR="006224A0" w:rsidRPr="006224A0">
          <w:rPr>
            <w:rFonts w:ascii="Arial" w:hAnsi="Arial" w:cs="Arial"/>
            <w:noProof/>
            <w:sz w:val="20"/>
            <w:szCs w:val="20"/>
          </w:rPr>
          <w:t xml:space="preserve"> of </w:t>
        </w:r>
        <w:r w:rsidR="006224A0" w:rsidRPr="006224A0">
          <w:rPr>
            <w:rFonts w:ascii="Arial" w:hAnsi="Arial" w:cs="Arial"/>
            <w:noProof/>
            <w:sz w:val="20"/>
            <w:szCs w:val="20"/>
          </w:rPr>
          <w:fldChar w:fldCharType="begin"/>
        </w:r>
        <w:r w:rsidR="006224A0" w:rsidRPr="006224A0">
          <w:rPr>
            <w:rFonts w:ascii="Arial" w:hAnsi="Arial" w:cs="Arial"/>
            <w:noProof/>
            <w:sz w:val="20"/>
            <w:szCs w:val="20"/>
          </w:rPr>
          <w:instrText xml:space="preserve"> NUMPAGES   \* MERGEFORMAT </w:instrText>
        </w:r>
        <w:r w:rsidR="006224A0" w:rsidRPr="006224A0">
          <w:rPr>
            <w:rFonts w:ascii="Arial" w:hAnsi="Arial" w:cs="Arial"/>
            <w:noProof/>
            <w:sz w:val="20"/>
            <w:szCs w:val="20"/>
          </w:rPr>
          <w:fldChar w:fldCharType="separate"/>
        </w:r>
        <w:r w:rsidR="006224A0" w:rsidRPr="006224A0">
          <w:rPr>
            <w:rFonts w:ascii="Arial" w:hAnsi="Arial" w:cs="Arial"/>
            <w:noProof/>
            <w:sz w:val="20"/>
            <w:szCs w:val="20"/>
          </w:rPr>
          <w:t>3</w:t>
        </w:r>
        <w:r w:rsidR="006224A0" w:rsidRPr="006224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66B4" w14:textId="77777777" w:rsidR="00C31BB4" w:rsidRDefault="00C31BB4">
      <w:pPr>
        <w:spacing w:after="0" w:line="240" w:lineRule="auto"/>
      </w:pPr>
      <w:r>
        <w:separator/>
      </w:r>
    </w:p>
  </w:footnote>
  <w:footnote w:type="continuationSeparator" w:id="0">
    <w:p w14:paraId="40245B97" w14:textId="77777777" w:rsidR="00C31BB4" w:rsidRDefault="00C31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827B" w14:textId="27AE7610" w:rsidR="007D2244" w:rsidRPr="007D2244" w:rsidRDefault="007D2244" w:rsidP="007D2244">
    <w:pPr>
      <w:pStyle w:val="Header"/>
      <w:spacing w:after="0"/>
      <w:jc w:val="center"/>
      <w:rPr>
        <w:b/>
        <w:bCs/>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F5C4" w14:textId="609EDA93" w:rsidR="00F32CB5" w:rsidRDefault="00091301" w:rsidP="00091301">
    <w:pPr>
      <w:pStyle w:val="Header"/>
      <w:tabs>
        <w:tab w:val="clear" w:pos="4153"/>
        <w:tab w:val="clear" w:pos="8306"/>
        <w:tab w:val="left" w:pos="5245"/>
        <w:tab w:val="right" w:pos="9498"/>
      </w:tabs>
      <w:spacing w:after="0"/>
      <w:jc w:val="center"/>
      <w:rPr>
        <w:b/>
        <w:lang w:val="en-AU"/>
      </w:rPr>
    </w:pPr>
    <w:r>
      <w:rPr>
        <w:noProof/>
        <w:lang w:eastAsia="en-AU"/>
      </w:rPr>
      <w:drawing>
        <wp:inline distT="0" distB="0" distL="0" distR="0" wp14:anchorId="482AB8BF" wp14:editId="29FE5413">
          <wp:extent cx="2352675" cy="1219200"/>
          <wp:effectExtent l="0" t="0" r="9525" b="0"/>
          <wp:docPr id="4" name="Picture 4"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62CD"/>
    <w:multiLevelType w:val="hybridMultilevel"/>
    <w:tmpl w:val="45B22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A4472"/>
    <w:multiLevelType w:val="hybridMultilevel"/>
    <w:tmpl w:val="01A42D96"/>
    <w:lvl w:ilvl="0" w:tplc="84A652DE">
      <w:start w:val="1"/>
      <w:numFmt w:val="bullet"/>
      <w:lvlText w:val=""/>
      <w:lvlJc w:val="left"/>
      <w:pPr>
        <w:tabs>
          <w:tab w:val="num" w:pos="910"/>
        </w:tabs>
        <w:ind w:left="91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3719D9"/>
    <w:multiLevelType w:val="hybridMultilevel"/>
    <w:tmpl w:val="B85651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B60C0B"/>
    <w:multiLevelType w:val="hybridMultilevel"/>
    <w:tmpl w:val="8D1E37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14122FE"/>
    <w:multiLevelType w:val="hybridMultilevel"/>
    <w:tmpl w:val="48ECE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530C45"/>
    <w:multiLevelType w:val="hybridMultilevel"/>
    <w:tmpl w:val="AD9CB4E0"/>
    <w:lvl w:ilvl="0" w:tplc="95C059B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F3A00EC"/>
    <w:multiLevelType w:val="hybridMultilevel"/>
    <w:tmpl w:val="FEA6C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D76462"/>
    <w:multiLevelType w:val="hybridMultilevel"/>
    <w:tmpl w:val="FA00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E9"/>
    <w:rsid w:val="00001FA9"/>
    <w:rsid w:val="0001495A"/>
    <w:rsid w:val="00034B85"/>
    <w:rsid w:val="00082892"/>
    <w:rsid w:val="00091301"/>
    <w:rsid w:val="00096576"/>
    <w:rsid w:val="000A6EEA"/>
    <w:rsid w:val="000D451C"/>
    <w:rsid w:val="001235E1"/>
    <w:rsid w:val="001A6276"/>
    <w:rsid w:val="001E413D"/>
    <w:rsid w:val="001E6075"/>
    <w:rsid w:val="00203F58"/>
    <w:rsid w:val="0020710A"/>
    <w:rsid w:val="00212C38"/>
    <w:rsid w:val="00270F68"/>
    <w:rsid w:val="0027799F"/>
    <w:rsid w:val="00280050"/>
    <w:rsid w:val="002A5C35"/>
    <w:rsid w:val="002D606E"/>
    <w:rsid w:val="0030277C"/>
    <w:rsid w:val="003467A2"/>
    <w:rsid w:val="00371AF4"/>
    <w:rsid w:val="003D1705"/>
    <w:rsid w:val="004416F9"/>
    <w:rsid w:val="004E19EC"/>
    <w:rsid w:val="00524267"/>
    <w:rsid w:val="0054661D"/>
    <w:rsid w:val="005C2A93"/>
    <w:rsid w:val="005C4D58"/>
    <w:rsid w:val="005E6593"/>
    <w:rsid w:val="006224A0"/>
    <w:rsid w:val="006766FD"/>
    <w:rsid w:val="006F725F"/>
    <w:rsid w:val="007068A4"/>
    <w:rsid w:val="007105B0"/>
    <w:rsid w:val="00724223"/>
    <w:rsid w:val="0074309F"/>
    <w:rsid w:val="007527D6"/>
    <w:rsid w:val="00752BF4"/>
    <w:rsid w:val="007D2244"/>
    <w:rsid w:val="007F795B"/>
    <w:rsid w:val="00816450"/>
    <w:rsid w:val="0083369E"/>
    <w:rsid w:val="008539BF"/>
    <w:rsid w:val="008846B3"/>
    <w:rsid w:val="008F5B7A"/>
    <w:rsid w:val="00924E54"/>
    <w:rsid w:val="00966A36"/>
    <w:rsid w:val="009B338B"/>
    <w:rsid w:val="009C1E39"/>
    <w:rsid w:val="009D1580"/>
    <w:rsid w:val="009D35E9"/>
    <w:rsid w:val="00A377D1"/>
    <w:rsid w:val="00A53221"/>
    <w:rsid w:val="00A6158A"/>
    <w:rsid w:val="00AA4BA2"/>
    <w:rsid w:val="00AD0055"/>
    <w:rsid w:val="00AD1CA4"/>
    <w:rsid w:val="00AE26D5"/>
    <w:rsid w:val="00B00F84"/>
    <w:rsid w:val="00B22734"/>
    <w:rsid w:val="00BA1223"/>
    <w:rsid w:val="00BB7C76"/>
    <w:rsid w:val="00C13D2D"/>
    <w:rsid w:val="00C31BB4"/>
    <w:rsid w:val="00C603A1"/>
    <w:rsid w:val="00C715A3"/>
    <w:rsid w:val="00C7740E"/>
    <w:rsid w:val="00C9753E"/>
    <w:rsid w:val="00CF449B"/>
    <w:rsid w:val="00D353B4"/>
    <w:rsid w:val="00D84EF5"/>
    <w:rsid w:val="00DA5B53"/>
    <w:rsid w:val="00DC52C4"/>
    <w:rsid w:val="00DD5F7F"/>
    <w:rsid w:val="00DF439C"/>
    <w:rsid w:val="00E003FF"/>
    <w:rsid w:val="00E02999"/>
    <w:rsid w:val="00E14969"/>
    <w:rsid w:val="00E6067E"/>
    <w:rsid w:val="00E63855"/>
    <w:rsid w:val="00E659AF"/>
    <w:rsid w:val="00E87B35"/>
    <w:rsid w:val="00EE4AB4"/>
    <w:rsid w:val="00EF2CF2"/>
    <w:rsid w:val="00F14D6C"/>
    <w:rsid w:val="00F36532"/>
    <w:rsid w:val="00F41403"/>
    <w:rsid w:val="00F96531"/>
    <w:rsid w:val="00FA3A0B"/>
    <w:rsid w:val="00FE4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B0429"/>
  <w15:chartTrackingRefBased/>
  <w15:docId w15:val="{F1914E45-6B12-46F7-A464-BF475A8D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E9"/>
    <w:pPr>
      <w:spacing w:after="200" w:line="276" w:lineRule="auto"/>
    </w:pPr>
    <w:rPr>
      <w:rFonts w:asciiTheme="minorHAnsi" w:eastAsiaTheme="minorEastAsia" w:hAnsiTheme="minorHAnsi" w:cstheme="minorBidi"/>
      <w:sz w:val="22"/>
      <w:szCs w:val="22"/>
      <w:lang w:eastAsia="en-AU"/>
    </w:rPr>
  </w:style>
  <w:style w:type="paragraph" w:styleId="Heading1">
    <w:name w:val="heading 1"/>
    <w:aliases w:val="c"/>
    <w:basedOn w:val="Normal"/>
    <w:next w:val="Normal"/>
    <w:link w:val="Heading1Char"/>
    <w:qFormat/>
    <w:rsid w:val="009D35E9"/>
    <w:pPr>
      <w:spacing w:before="480" w:after="0"/>
      <w:contextualSpacing/>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D35E9"/>
    <w:pPr>
      <w:spacing w:before="200" w:after="120" w:line="240" w:lineRule="auto"/>
      <w:ind w:left="1843" w:hanging="1843"/>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semiHidden/>
    <w:unhideWhenUsed/>
    <w:qFormat/>
    <w:rsid w:val="009D35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rsid w:val="009D35E9"/>
    <w:rPr>
      <w:rFonts w:asciiTheme="majorHAnsi" w:eastAsiaTheme="majorEastAsia" w:hAnsiTheme="majorHAnsi" w:cstheme="majorBidi"/>
      <w:b/>
      <w:bCs/>
      <w:sz w:val="28"/>
      <w:szCs w:val="28"/>
      <w:lang w:eastAsia="en-AU"/>
    </w:rPr>
  </w:style>
  <w:style w:type="character" w:customStyle="1" w:styleId="Heading2Char">
    <w:name w:val="Heading 2 Char"/>
    <w:basedOn w:val="DefaultParagraphFont"/>
    <w:link w:val="Heading2"/>
    <w:uiPriority w:val="9"/>
    <w:rsid w:val="009D35E9"/>
    <w:rPr>
      <w:rFonts w:asciiTheme="majorHAnsi" w:eastAsiaTheme="majorEastAsia" w:hAnsiTheme="majorHAnsi" w:cstheme="majorBidi"/>
      <w:b/>
      <w:bCs/>
      <w:szCs w:val="26"/>
      <w:lang w:eastAsia="en-AU"/>
    </w:rPr>
  </w:style>
  <w:style w:type="paragraph" w:styleId="Header">
    <w:name w:val="header"/>
    <w:basedOn w:val="Normal"/>
    <w:link w:val="HeaderChar"/>
    <w:rsid w:val="009D35E9"/>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9D35E9"/>
    <w:rPr>
      <w:rFonts w:asciiTheme="minorHAnsi" w:eastAsiaTheme="minorEastAsia" w:hAnsiTheme="minorHAnsi" w:cstheme="minorBidi"/>
      <w:snapToGrid w:val="0"/>
      <w:sz w:val="22"/>
      <w:szCs w:val="22"/>
      <w:lang w:val="en-US"/>
    </w:rPr>
  </w:style>
  <w:style w:type="paragraph" w:styleId="Footer">
    <w:name w:val="footer"/>
    <w:basedOn w:val="Normal"/>
    <w:link w:val="FooterChar"/>
    <w:uiPriority w:val="99"/>
    <w:rsid w:val="009D35E9"/>
    <w:pPr>
      <w:tabs>
        <w:tab w:val="center" w:pos="4153"/>
        <w:tab w:val="right" w:pos="8306"/>
      </w:tabs>
    </w:pPr>
  </w:style>
  <w:style w:type="character" w:customStyle="1" w:styleId="FooterChar">
    <w:name w:val="Footer Char"/>
    <w:basedOn w:val="DefaultParagraphFont"/>
    <w:link w:val="Footer"/>
    <w:uiPriority w:val="99"/>
    <w:rsid w:val="009D35E9"/>
    <w:rPr>
      <w:rFonts w:asciiTheme="minorHAnsi" w:eastAsiaTheme="minorEastAsia" w:hAnsiTheme="minorHAnsi" w:cstheme="minorBidi"/>
      <w:sz w:val="22"/>
      <w:szCs w:val="22"/>
      <w:lang w:eastAsia="en-AU"/>
    </w:rPr>
  </w:style>
  <w:style w:type="character" w:styleId="PageNumber">
    <w:name w:val="page number"/>
    <w:basedOn w:val="DefaultParagraphFont"/>
    <w:rsid w:val="009D35E9"/>
  </w:style>
  <w:style w:type="paragraph" w:styleId="BodyText">
    <w:name w:val="Body Text"/>
    <w:basedOn w:val="Normal"/>
    <w:link w:val="BodyTextChar"/>
    <w:rsid w:val="009D35E9"/>
    <w:pPr>
      <w:spacing w:before="120" w:after="120" w:line="264" w:lineRule="auto"/>
    </w:pPr>
  </w:style>
  <w:style w:type="character" w:customStyle="1" w:styleId="BodyTextChar">
    <w:name w:val="Body Text Char"/>
    <w:basedOn w:val="DefaultParagraphFont"/>
    <w:link w:val="BodyText"/>
    <w:rsid w:val="009D35E9"/>
    <w:rPr>
      <w:rFonts w:asciiTheme="minorHAnsi" w:eastAsiaTheme="minorEastAsia" w:hAnsiTheme="minorHAnsi" w:cstheme="minorBidi"/>
      <w:sz w:val="22"/>
      <w:szCs w:val="22"/>
      <w:lang w:eastAsia="en-AU"/>
    </w:rPr>
  </w:style>
  <w:style w:type="paragraph" w:customStyle="1" w:styleId="Default">
    <w:name w:val="Default"/>
    <w:rsid w:val="009D35E9"/>
    <w:pPr>
      <w:autoSpaceDE w:val="0"/>
      <w:autoSpaceDN w:val="0"/>
      <w:adjustRightInd w:val="0"/>
      <w:spacing w:after="200" w:line="276" w:lineRule="auto"/>
    </w:pPr>
    <w:rPr>
      <w:rFonts w:ascii="Arial" w:eastAsiaTheme="minorEastAsia" w:hAnsi="Arial" w:cs="Arial"/>
      <w:color w:val="000000"/>
      <w:lang w:val="en-US"/>
    </w:rPr>
  </w:style>
  <w:style w:type="paragraph" w:styleId="ListParagraph">
    <w:name w:val="List Paragraph"/>
    <w:basedOn w:val="Normal"/>
    <w:link w:val="ListParagraphChar"/>
    <w:uiPriority w:val="34"/>
    <w:qFormat/>
    <w:rsid w:val="009D35E9"/>
    <w:pPr>
      <w:ind w:left="720"/>
      <w:contextualSpacing/>
    </w:pPr>
  </w:style>
  <w:style w:type="paragraph" w:styleId="NoSpacing">
    <w:name w:val="No Spacing"/>
    <w:basedOn w:val="Normal"/>
    <w:uiPriority w:val="1"/>
    <w:qFormat/>
    <w:rsid w:val="009D35E9"/>
    <w:pPr>
      <w:spacing w:after="0" w:line="240" w:lineRule="auto"/>
    </w:pPr>
  </w:style>
  <w:style w:type="character" w:styleId="SubtleEmphasis">
    <w:name w:val="Subtle Emphasis"/>
    <w:uiPriority w:val="19"/>
    <w:qFormat/>
    <w:rsid w:val="009D35E9"/>
    <w:rPr>
      <w:i/>
      <w:iCs/>
    </w:rPr>
  </w:style>
  <w:style w:type="character" w:customStyle="1" w:styleId="ListParagraphChar">
    <w:name w:val="List Paragraph Char"/>
    <w:basedOn w:val="DefaultParagraphFont"/>
    <w:link w:val="ListParagraph"/>
    <w:uiPriority w:val="34"/>
    <w:rsid w:val="009D35E9"/>
    <w:rPr>
      <w:rFonts w:asciiTheme="minorHAnsi" w:eastAsiaTheme="minorEastAsia" w:hAnsiTheme="minorHAnsi" w:cstheme="minorBidi"/>
      <w:sz w:val="22"/>
      <w:szCs w:val="22"/>
      <w:lang w:eastAsia="en-AU"/>
    </w:rPr>
  </w:style>
  <w:style w:type="paragraph" w:customStyle="1" w:styleId="CmqHeading1">
    <w:name w:val="Cmq Heading 1"/>
    <w:basedOn w:val="Heading3"/>
    <w:link w:val="CmqHeading1Char"/>
    <w:autoRedefine/>
    <w:qFormat/>
    <w:rsid w:val="00E02999"/>
    <w:pPr>
      <w:keepLines w:val="0"/>
      <w:spacing w:before="360" w:after="120" w:line="240" w:lineRule="auto"/>
    </w:pPr>
    <w:rPr>
      <w:rFonts w:ascii="Arial Bold" w:eastAsia="Times" w:hAnsi="Arial Bold" w:cs="Arial"/>
      <w:b/>
      <w:caps/>
      <w:color w:val="auto"/>
      <w:sz w:val="26"/>
      <w:szCs w:val="26"/>
    </w:rPr>
  </w:style>
  <w:style w:type="paragraph" w:customStyle="1" w:styleId="Cmqheading2">
    <w:name w:val="Cmq heading 2"/>
    <w:basedOn w:val="BodyText"/>
    <w:link w:val="Cmqheading2Char"/>
    <w:qFormat/>
    <w:rsid w:val="009D35E9"/>
    <w:pPr>
      <w:keepNext/>
      <w:spacing w:before="360" w:after="240" w:line="240" w:lineRule="auto"/>
    </w:pPr>
    <w:rPr>
      <w:rFonts w:ascii="Arial" w:eastAsia="Times" w:hAnsi="Arial" w:cs="Arial"/>
      <w:b/>
      <w:bCs/>
      <w:i/>
      <w:caps/>
      <w:color w:val="000000"/>
    </w:rPr>
  </w:style>
  <w:style w:type="character" w:customStyle="1" w:styleId="CmqHeading1Char">
    <w:name w:val="Cmq Heading 1 Char"/>
    <w:basedOn w:val="Heading3Char"/>
    <w:link w:val="CmqHeading1"/>
    <w:rsid w:val="00E02999"/>
    <w:rPr>
      <w:rFonts w:ascii="Arial Bold" w:eastAsia="Times" w:hAnsi="Arial Bold" w:cs="Arial"/>
      <w:b/>
      <w:caps/>
      <w:color w:val="1F3763" w:themeColor="accent1" w:themeShade="7F"/>
      <w:sz w:val="26"/>
      <w:szCs w:val="26"/>
      <w:lang w:eastAsia="en-AU"/>
    </w:rPr>
  </w:style>
  <w:style w:type="paragraph" w:customStyle="1" w:styleId="Cmqheading3">
    <w:name w:val="Cmq heading 3"/>
    <w:basedOn w:val="Heading3"/>
    <w:link w:val="Cmqheading3Char"/>
    <w:qFormat/>
    <w:rsid w:val="009D35E9"/>
    <w:pPr>
      <w:keepNext w:val="0"/>
      <w:keepLines w:val="0"/>
      <w:spacing w:before="240" w:after="120" w:line="23" w:lineRule="atLeast"/>
      <w:ind w:left="1191" w:hanging="1191"/>
      <w:contextualSpacing/>
      <w:outlineLvl w:val="9"/>
    </w:pPr>
    <w:rPr>
      <w:rFonts w:ascii="Arial" w:hAnsi="Arial" w:cs="Arial"/>
      <w:b/>
      <w:sz w:val="22"/>
      <w:szCs w:val="22"/>
    </w:rPr>
  </w:style>
  <w:style w:type="character" w:customStyle="1" w:styleId="Cmqheading2Char">
    <w:name w:val="Cmq heading 2 Char"/>
    <w:basedOn w:val="BodyTextChar"/>
    <w:link w:val="Cmqheading2"/>
    <w:rsid w:val="009D35E9"/>
    <w:rPr>
      <w:rFonts w:ascii="Arial" w:eastAsia="Times" w:hAnsi="Arial" w:cs="Arial"/>
      <w:b/>
      <w:bCs/>
      <w:i/>
      <w:caps/>
      <w:color w:val="000000"/>
      <w:sz w:val="22"/>
      <w:szCs w:val="22"/>
      <w:lang w:eastAsia="en-AU"/>
    </w:rPr>
  </w:style>
  <w:style w:type="paragraph" w:customStyle="1" w:styleId="CmqTitle1">
    <w:name w:val="Cmq Title 1"/>
    <w:basedOn w:val="Normal"/>
    <w:qFormat/>
    <w:rsid w:val="009D35E9"/>
    <w:pPr>
      <w:spacing w:before="120" w:after="120" w:line="260" w:lineRule="exact"/>
      <w:jc w:val="center"/>
    </w:pPr>
    <w:rPr>
      <w:rFonts w:ascii="Arial" w:eastAsiaTheme="minorHAnsi" w:hAnsi="Arial" w:cs="Arial"/>
      <w:b/>
      <w:bCs/>
      <w:color w:val="000000"/>
      <w:sz w:val="24"/>
      <w:szCs w:val="28"/>
      <w:lang w:eastAsia="en-US"/>
    </w:rPr>
  </w:style>
  <w:style w:type="character" w:customStyle="1" w:styleId="Cmqheading3Char">
    <w:name w:val="Cmq heading 3 Char"/>
    <w:basedOn w:val="Heading3Char"/>
    <w:link w:val="Cmqheading3"/>
    <w:rsid w:val="009D35E9"/>
    <w:rPr>
      <w:rFonts w:ascii="Arial" w:eastAsiaTheme="majorEastAsia" w:hAnsi="Arial" w:cs="Arial"/>
      <w:b/>
      <w:color w:val="1F3763" w:themeColor="accent1" w:themeShade="7F"/>
      <w:sz w:val="22"/>
      <w:szCs w:val="22"/>
      <w:lang w:eastAsia="en-AU"/>
    </w:rPr>
  </w:style>
  <w:style w:type="paragraph" w:customStyle="1" w:styleId="CmqTitle2">
    <w:name w:val="Cmq Title 2"/>
    <w:basedOn w:val="Normal"/>
    <w:qFormat/>
    <w:rsid w:val="009D35E9"/>
    <w:pPr>
      <w:pBdr>
        <w:top w:val="single" w:sz="4" w:space="12" w:color="auto"/>
        <w:bottom w:val="single" w:sz="4" w:space="12" w:color="auto"/>
      </w:pBdr>
      <w:spacing w:after="0" w:line="240" w:lineRule="auto"/>
      <w:ind w:left="360"/>
      <w:jc w:val="center"/>
    </w:pPr>
    <w:rPr>
      <w:rFonts w:ascii="Arial" w:eastAsia="Times" w:hAnsi="Arial" w:cs="Arial"/>
      <w:b/>
      <w:i/>
      <w:iCs/>
      <w:lang w:eastAsia="en-US"/>
    </w:rPr>
  </w:style>
  <w:style w:type="character" w:styleId="Hyperlink">
    <w:name w:val="Hyperlink"/>
    <w:basedOn w:val="DefaultParagraphFont"/>
    <w:uiPriority w:val="99"/>
    <w:unhideWhenUsed/>
    <w:rsid w:val="009D35E9"/>
    <w:rPr>
      <w:color w:val="0563C1" w:themeColor="hyperlink"/>
      <w:u w:val="single"/>
    </w:rPr>
  </w:style>
  <w:style w:type="table" w:styleId="TableGrid">
    <w:name w:val="Table Grid"/>
    <w:basedOn w:val="TableNormal"/>
    <w:uiPriority w:val="59"/>
    <w:rsid w:val="009D35E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D35E9"/>
    <w:rPr>
      <w:rFonts w:asciiTheme="majorHAnsi" w:eastAsiaTheme="majorEastAsia" w:hAnsiTheme="majorHAnsi" w:cstheme="majorBidi"/>
      <w:color w:val="1F3763" w:themeColor="accent1" w:themeShade="7F"/>
      <w:lang w:eastAsia="en-AU"/>
    </w:rPr>
  </w:style>
  <w:style w:type="character" w:styleId="FollowedHyperlink">
    <w:name w:val="FollowedHyperlink"/>
    <w:basedOn w:val="DefaultParagraphFont"/>
    <w:uiPriority w:val="99"/>
    <w:semiHidden/>
    <w:unhideWhenUsed/>
    <w:rsid w:val="009D35E9"/>
    <w:rPr>
      <w:color w:val="954F72" w:themeColor="followedHyperlink"/>
      <w:u w:val="single"/>
    </w:rPr>
  </w:style>
  <w:style w:type="character" w:styleId="UnresolvedMention">
    <w:name w:val="Unresolved Mention"/>
    <w:basedOn w:val="DefaultParagraphFont"/>
    <w:uiPriority w:val="99"/>
    <w:semiHidden/>
    <w:unhideWhenUsed/>
    <w:rsid w:val="0001495A"/>
    <w:rPr>
      <w:color w:val="605E5C"/>
      <w:shd w:val="clear" w:color="auto" w:fill="E1DFDD"/>
    </w:rPr>
  </w:style>
  <w:style w:type="character" w:styleId="CommentReference">
    <w:name w:val="annotation reference"/>
    <w:basedOn w:val="DefaultParagraphFont"/>
    <w:uiPriority w:val="99"/>
    <w:semiHidden/>
    <w:unhideWhenUsed/>
    <w:rsid w:val="00E87B35"/>
    <w:rPr>
      <w:sz w:val="16"/>
      <w:szCs w:val="16"/>
    </w:rPr>
  </w:style>
  <w:style w:type="paragraph" w:styleId="CommentText">
    <w:name w:val="annotation text"/>
    <w:basedOn w:val="Normal"/>
    <w:link w:val="CommentTextChar"/>
    <w:uiPriority w:val="99"/>
    <w:semiHidden/>
    <w:unhideWhenUsed/>
    <w:rsid w:val="00E87B35"/>
    <w:pPr>
      <w:spacing w:line="240" w:lineRule="auto"/>
    </w:pPr>
    <w:rPr>
      <w:sz w:val="20"/>
      <w:szCs w:val="20"/>
    </w:rPr>
  </w:style>
  <w:style w:type="character" w:customStyle="1" w:styleId="CommentTextChar">
    <w:name w:val="Comment Text Char"/>
    <w:basedOn w:val="DefaultParagraphFont"/>
    <w:link w:val="CommentText"/>
    <w:uiPriority w:val="99"/>
    <w:semiHidden/>
    <w:rsid w:val="00E87B35"/>
    <w:rPr>
      <w:rFonts w:asciiTheme="minorHAnsi" w:eastAsiaTheme="minorEastAsia" w:hAnsiTheme="minorHAnsi" w:cstheme="minorBidi"/>
      <w:sz w:val="20"/>
      <w:szCs w:val="20"/>
      <w:lang w:eastAsia="en-AU"/>
    </w:rPr>
  </w:style>
  <w:style w:type="paragraph" w:styleId="CommentSubject">
    <w:name w:val="annotation subject"/>
    <w:basedOn w:val="CommentText"/>
    <w:next w:val="CommentText"/>
    <w:link w:val="CommentSubjectChar"/>
    <w:uiPriority w:val="99"/>
    <w:semiHidden/>
    <w:unhideWhenUsed/>
    <w:rsid w:val="00E87B35"/>
    <w:rPr>
      <w:b/>
      <w:bCs/>
    </w:rPr>
  </w:style>
  <w:style w:type="character" w:customStyle="1" w:styleId="CommentSubjectChar">
    <w:name w:val="Comment Subject Char"/>
    <w:basedOn w:val="CommentTextChar"/>
    <w:link w:val="CommentSubject"/>
    <w:uiPriority w:val="99"/>
    <w:semiHidden/>
    <w:rsid w:val="00E87B35"/>
    <w:rPr>
      <w:rFonts w:asciiTheme="minorHAnsi" w:eastAsiaTheme="minorEastAsia" w:hAnsiTheme="minorHAnsi" w:cstheme="minorBid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5827">
      <w:bodyDiv w:val="1"/>
      <w:marLeft w:val="0"/>
      <w:marRight w:val="0"/>
      <w:marTop w:val="0"/>
      <w:marBottom w:val="0"/>
      <w:divBdr>
        <w:top w:val="none" w:sz="0" w:space="0" w:color="auto"/>
        <w:left w:val="none" w:sz="0" w:space="0" w:color="auto"/>
        <w:bottom w:val="none" w:sz="0" w:space="0" w:color="auto"/>
        <w:right w:val="none" w:sz="0" w:space="0" w:color="auto"/>
      </w:divBdr>
    </w:div>
    <w:div w:id="6517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18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gtr.gov.au/gmo-dealings/dealings-involving-intentional-release/dir-18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ogtr.gov.au" TargetMode="External"/><Relationship Id="rId4" Type="http://schemas.openxmlformats.org/officeDocument/2006/relationships/webSettings" Target="webSettings.xml"/><Relationship Id="rId9" Type="http://schemas.openxmlformats.org/officeDocument/2006/relationships/hyperlink" Target="mailto:ogtr@health.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Technology Technical Advisory Committee 28 April 2022 Communiqué</dc:title>
  <dc:subject/>
  <dc:creator>OGTR.Voicemail@health.gov.au</dc:creator>
  <cp:keywords/>
  <dc:description/>
  <cp:lastModifiedBy>SMITH, Justine</cp:lastModifiedBy>
  <cp:revision>2</cp:revision>
  <dcterms:created xsi:type="dcterms:W3CDTF">2022-10-04T02:19:00Z</dcterms:created>
  <dcterms:modified xsi:type="dcterms:W3CDTF">2022-10-04T02:19:00Z</dcterms:modified>
</cp:coreProperties>
</file>