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5BD6" w14:textId="77777777" w:rsidR="00580AED" w:rsidRPr="0000143A" w:rsidRDefault="00580AED" w:rsidP="00580AED">
      <w:pPr>
        <w:pStyle w:val="Heading1"/>
      </w:pPr>
      <w:bookmarkStart w:id="0" w:name="_Toc47536733"/>
      <w:bookmarkStart w:id="1" w:name="_Toc114230310"/>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0143A">
        <w:t>Summary of the Risk Assessment and Risk Management Plan</w:t>
      </w:r>
      <w:bookmarkEnd w:id="0"/>
      <w:bookmarkEnd w:id="1"/>
    </w:p>
    <w:p w14:paraId="6FFDFD80" w14:textId="77777777" w:rsidR="00580AED" w:rsidRPr="0000143A" w:rsidRDefault="00580AED" w:rsidP="00580AED">
      <w:pPr>
        <w:keepNext/>
        <w:jc w:val="center"/>
        <w:rPr>
          <w:rFonts w:cs="Arial"/>
          <w:b/>
          <w:bCs/>
          <w:kern w:val="32"/>
          <w:sz w:val="28"/>
          <w:szCs w:val="28"/>
          <w:lang w:eastAsia="en-US"/>
        </w:rPr>
      </w:pPr>
      <w:r w:rsidRPr="0000143A">
        <w:rPr>
          <w:rFonts w:cs="Arial"/>
          <w:b/>
          <w:bCs/>
          <w:kern w:val="32"/>
          <w:sz w:val="28"/>
          <w:szCs w:val="28"/>
          <w:lang w:eastAsia="en-US"/>
        </w:rPr>
        <w:t>for</w:t>
      </w:r>
    </w:p>
    <w:p w14:paraId="7DF312C1" w14:textId="77777777" w:rsidR="00580AED" w:rsidRPr="00F736DB" w:rsidRDefault="00580AED" w:rsidP="00580AED">
      <w:pPr>
        <w:keepNext/>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 xml:space="preserve">Application DIR </w:t>
      </w:r>
      <w:r w:rsidRPr="002E7944">
        <w:rPr>
          <w:rFonts w:cs="Arial"/>
          <w:b/>
          <w:bCs/>
          <w:kern w:val="32"/>
          <w:sz w:val="36"/>
          <w:szCs w:val="36"/>
          <w:lang w:eastAsia="en-US"/>
        </w:rPr>
        <w:t>1</w:t>
      </w:r>
      <w:r>
        <w:rPr>
          <w:rFonts w:cs="Arial"/>
          <w:b/>
          <w:bCs/>
          <w:kern w:val="32"/>
          <w:sz w:val="36"/>
          <w:szCs w:val="36"/>
          <w:lang w:eastAsia="en-US"/>
        </w:rPr>
        <w:t>92</w:t>
      </w:r>
    </w:p>
    <w:p w14:paraId="71236EAC" w14:textId="77777777" w:rsidR="00580AED" w:rsidRPr="00F736DB" w:rsidRDefault="00580AED" w:rsidP="00580AED">
      <w:pPr>
        <w:pStyle w:val="Heading2"/>
        <w:numPr>
          <w:ilvl w:val="0"/>
          <w:numId w:val="0"/>
        </w:numPr>
        <w:rPr>
          <w:lang w:eastAsia="en-US"/>
        </w:rPr>
      </w:pPr>
      <w:bookmarkStart w:id="10" w:name="_Toc114230311"/>
      <w:r>
        <w:rPr>
          <w:lang w:eastAsia="en-US"/>
        </w:rPr>
        <w:t>Decision</w:t>
      </w:r>
      <w:bookmarkEnd w:id="10"/>
    </w:p>
    <w:p w14:paraId="7759A05C" w14:textId="77777777" w:rsidR="00580AED" w:rsidRPr="007C11BE" w:rsidRDefault="00580AED" w:rsidP="00580AED">
      <w:pPr>
        <w:rPr>
          <w:iCs/>
        </w:rPr>
      </w:pPr>
      <w:bookmarkStart w:id="11" w:name="_Toc342042135"/>
      <w:bookmarkStart w:id="12" w:name="_Toc47536735"/>
      <w:bookmarkStart w:id="13" w:name="_Toc291151777"/>
      <w:bookmarkStart w:id="14" w:name="_Toc274904727"/>
      <w:bookmarkStart w:id="15" w:name="_Toc209859548"/>
      <w:bookmarkEnd w:id="2"/>
      <w:bookmarkEnd w:id="3"/>
      <w:bookmarkEnd w:id="4"/>
      <w:bookmarkEnd w:id="5"/>
      <w:bookmarkEnd w:id="6"/>
      <w:bookmarkEnd w:id="7"/>
      <w:bookmarkEnd w:id="8"/>
      <w:bookmarkEnd w:id="9"/>
      <w:r w:rsidRPr="004E066E">
        <w:t xml:space="preserve">The Gene Technology Regulator (the Regulator) has </w:t>
      </w:r>
      <w:r>
        <w:t>decided to issue</w:t>
      </w:r>
      <w:r w:rsidRPr="004E066E">
        <w:t xml:space="preserve"> a licence application </w:t>
      </w:r>
      <w:r>
        <w:t>for</w:t>
      </w:r>
      <w:r w:rsidRPr="004E066E">
        <w:t xml:space="preserve"> a clinical trial using a genetically modified organism (GMO). It qualifies as Dealings involving the Intentional Release</w:t>
      </w:r>
      <w:r>
        <w:t xml:space="preserve"> (DIR)</w:t>
      </w:r>
      <w:r w:rsidRPr="004E066E">
        <w:t xml:space="preserve"> </w:t>
      </w:r>
      <w:r>
        <w:t>o</w:t>
      </w:r>
      <w:r w:rsidRPr="004E066E">
        <w:t>f genetically modified organisms into the Australian environment under the</w:t>
      </w:r>
      <w:r w:rsidRPr="004E066E">
        <w:rPr>
          <w:i/>
        </w:rPr>
        <w:t xml:space="preserve"> Gene Technology Act 2000</w:t>
      </w:r>
      <w:r>
        <w:rPr>
          <w:i/>
        </w:rPr>
        <w:t xml:space="preserve"> </w:t>
      </w:r>
      <w:r w:rsidRPr="00127231">
        <w:rPr>
          <w:iCs/>
        </w:rPr>
        <w:t>(the Act)</w:t>
      </w:r>
      <w:r w:rsidRPr="009C127F">
        <w:rPr>
          <w:iCs/>
        </w:rPr>
        <w:t>.</w:t>
      </w:r>
    </w:p>
    <w:p w14:paraId="4469EE92" w14:textId="77777777" w:rsidR="00580AED" w:rsidRDefault="00580AED" w:rsidP="00580AED">
      <w:pPr>
        <w:rPr>
          <w:rFonts w:cs="Calibri"/>
          <w:szCs w:val="22"/>
        </w:rPr>
      </w:pPr>
      <w:r w:rsidRPr="004E066E">
        <w:t xml:space="preserve">The applicant, </w:t>
      </w:r>
      <w:proofErr w:type="spellStart"/>
      <w:r w:rsidRPr="004E066E">
        <w:rPr>
          <w:rFonts w:asciiTheme="minorHAnsi" w:hAnsiTheme="minorHAnsi" w:cstheme="minorHAnsi"/>
          <w:szCs w:val="22"/>
        </w:rPr>
        <w:t>Medpace</w:t>
      </w:r>
      <w:proofErr w:type="spellEnd"/>
      <w:r w:rsidRPr="004E066E">
        <w:rPr>
          <w:rFonts w:asciiTheme="minorHAnsi" w:hAnsiTheme="minorHAnsi" w:cstheme="minorHAnsi"/>
          <w:szCs w:val="22"/>
        </w:rPr>
        <w:t xml:space="preserve"> Australia Pty Ltd</w:t>
      </w:r>
      <w:r w:rsidRPr="004E066E">
        <w:t xml:space="preserve"> (</w:t>
      </w:r>
      <w:proofErr w:type="spellStart"/>
      <w:r w:rsidRPr="004E066E">
        <w:t>Medpace</w:t>
      </w:r>
      <w:proofErr w:type="spellEnd"/>
      <w:r w:rsidRPr="004E066E">
        <w:t xml:space="preserve">) proposes to conduct a clinical trial to evaluate the safety and efficacy of a genetically modified (GM) chimeric </w:t>
      </w:r>
      <w:r>
        <w:t>ortho</w:t>
      </w:r>
      <w:r w:rsidRPr="004E066E">
        <w:t xml:space="preserve">poxvirus (CF33-hNIS), </w:t>
      </w:r>
      <w:r w:rsidRPr="004E066E">
        <w:rPr>
          <w:rFonts w:asciiTheme="minorHAnsi" w:hAnsiTheme="minorHAnsi" w:cstheme="minorHAnsi"/>
          <w:szCs w:val="22"/>
        </w:rPr>
        <w:t>alone or in combination with</w:t>
      </w:r>
      <w:r w:rsidRPr="009F147B">
        <w:rPr>
          <w:rFonts w:asciiTheme="minorHAnsi" w:hAnsiTheme="minorHAnsi" w:cstheme="minorHAnsi"/>
        </w:rPr>
        <w:t xml:space="preserve"> an existing cancer therapy (Pembrolizumab),</w:t>
      </w:r>
      <w:r w:rsidRPr="004E066E">
        <w:rPr>
          <w:rFonts w:asciiTheme="minorHAnsi" w:hAnsiTheme="minorHAnsi" w:cstheme="minorHAnsi"/>
          <w:szCs w:val="22"/>
        </w:rPr>
        <w:t xml:space="preserve"> for the treatment of Australian patients</w:t>
      </w:r>
      <w:r w:rsidRPr="004E066E">
        <w:rPr>
          <w:rFonts w:cs="Calibri"/>
          <w:szCs w:val="22"/>
        </w:rPr>
        <w:t xml:space="preserve"> with metastatic or advanced solid cancerous tumours.</w:t>
      </w:r>
    </w:p>
    <w:p w14:paraId="2EF22856" w14:textId="77777777" w:rsidR="00580AED" w:rsidRPr="004E066E" w:rsidRDefault="00580AED" w:rsidP="00580AED">
      <w:r w:rsidRPr="004E066E">
        <w:t xml:space="preserve">The GMO was modified from the oncolytic virus CF33, a chimeric </w:t>
      </w:r>
      <w:r>
        <w:t>o</w:t>
      </w:r>
      <w:r w:rsidRPr="004E066E">
        <w:t>rthopoxvirus</w:t>
      </w:r>
      <w:r>
        <w:t xml:space="preserve"> (OPXV)</w:t>
      </w:r>
      <w:r w:rsidRPr="004E066E">
        <w:t xml:space="preserve"> strain which has been shown to target cancer cells. </w:t>
      </w:r>
      <w:r w:rsidRPr="00985F4D">
        <w:rPr>
          <w:rFonts w:asciiTheme="minorHAnsi" w:hAnsiTheme="minorHAnsi" w:cstheme="minorHAnsi"/>
          <w:szCs w:val="22"/>
        </w:rPr>
        <w:t>The genetic modifications</w:t>
      </w:r>
      <w:r>
        <w:rPr>
          <w:rFonts w:asciiTheme="minorHAnsi" w:hAnsiTheme="minorHAnsi" w:cstheme="minorHAnsi"/>
          <w:szCs w:val="22"/>
        </w:rPr>
        <w:t xml:space="preserve"> lead to higher levels of viral replication in cancer cells compared to normal cells</w:t>
      </w:r>
      <w:r w:rsidRPr="004E066E">
        <w:t xml:space="preserve">. Additionally, the genetic modifications facilitate the visualisation of the GMO after administration to patients by medical imaging. </w:t>
      </w:r>
    </w:p>
    <w:p w14:paraId="1B024828" w14:textId="77777777" w:rsidR="00580AED" w:rsidRPr="00A51210" w:rsidRDefault="00580AED" w:rsidP="00580AED">
      <w:pPr>
        <w:spacing w:after="240"/>
        <w:rPr>
          <w:szCs w:val="22"/>
          <w:highlight w:val="yellow"/>
        </w:rPr>
      </w:pPr>
      <w:r>
        <w:t xml:space="preserve">The GMO </w:t>
      </w:r>
      <w:r>
        <w:rPr>
          <w:rFonts w:asciiTheme="minorHAnsi" w:hAnsiTheme="minorHAnsi"/>
          <w:szCs w:val="22"/>
        </w:rPr>
        <w:t>would</w:t>
      </w:r>
      <w:r w:rsidRPr="009A2BA4">
        <w:rPr>
          <w:rFonts w:asciiTheme="minorHAnsi" w:hAnsiTheme="minorHAnsi"/>
          <w:szCs w:val="22"/>
        </w:rPr>
        <w:t xml:space="preserve"> be manufactured overseas and imported into Australia.</w:t>
      </w:r>
      <w:r>
        <w:rPr>
          <w:rFonts w:asciiTheme="minorHAnsi" w:hAnsiTheme="minorHAnsi"/>
          <w:szCs w:val="22"/>
        </w:rPr>
        <w:t xml:space="preserve"> </w:t>
      </w:r>
      <w:r w:rsidRPr="009A2BA4">
        <w:rPr>
          <w:rFonts w:asciiTheme="minorHAnsi" w:hAnsiTheme="minorHAnsi"/>
          <w:szCs w:val="22"/>
        </w:rPr>
        <w:t xml:space="preserve">It would be administered by </w:t>
      </w:r>
      <w:proofErr w:type="spellStart"/>
      <w:r>
        <w:rPr>
          <w:rFonts w:asciiTheme="minorHAnsi" w:hAnsiTheme="minorHAnsi"/>
          <w:szCs w:val="22"/>
        </w:rPr>
        <w:t>intratumoural</w:t>
      </w:r>
      <w:proofErr w:type="spellEnd"/>
      <w:r>
        <w:rPr>
          <w:rFonts w:asciiTheme="minorHAnsi" w:hAnsiTheme="minorHAnsi"/>
          <w:szCs w:val="22"/>
        </w:rPr>
        <w:t xml:space="preserve"> injection or </w:t>
      </w:r>
      <w:r w:rsidRPr="009A2BA4">
        <w:rPr>
          <w:rFonts w:asciiTheme="minorHAnsi" w:hAnsiTheme="minorHAnsi"/>
          <w:szCs w:val="22"/>
        </w:rPr>
        <w:t xml:space="preserve">intravenous infusion </w:t>
      </w:r>
      <w:r>
        <w:rPr>
          <w:rFonts w:asciiTheme="minorHAnsi" w:hAnsiTheme="minorHAnsi"/>
          <w:szCs w:val="22"/>
        </w:rPr>
        <w:t>in</w:t>
      </w:r>
      <w:r w:rsidRPr="009A2BA4">
        <w:rPr>
          <w:rFonts w:asciiTheme="minorHAnsi" w:hAnsiTheme="minorHAnsi"/>
          <w:szCs w:val="22"/>
        </w:rPr>
        <w:t xml:space="preserve"> up to </w:t>
      </w:r>
      <w:r>
        <w:rPr>
          <w:rFonts w:asciiTheme="minorHAnsi" w:hAnsiTheme="minorHAnsi"/>
          <w:szCs w:val="22"/>
        </w:rPr>
        <w:t>18</w:t>
      </w:r>
      <w:r w:rsidRPr="009A2BA4">
        <w:rPr>
          <w:rFonts w:asciiTheme="minorHAnsi" w:hAnsiTheme="minorHAnsi"/>
          <w:szCs w:val="22"/>
        </w:rPr>
        <w:t xml:space="preserve"> </w:t>
      </w:r>
      <w:r w:rsidRPr="009A2BA4">
        <w:rPr>
          <w:rFonts w:cs="Calibri"/>
          <w:szCs w:val="22"/>
        </w:rPr>
        <w:t xml:space="preserve">Australian patients </w:t>
      </w:r>
      <w:r w:rsidRPr="009A2BA4">
        <w:rPr>
          <w:rFonts w:asciiTheme="minorHAnsi" w:hAnsiTheme="minorHAnsi"/>
          <w:szCs w:val="22"/>
        </w:rPr>
        <w:t xml:space="preserve">at clinical </w:t>
      </w:r>
      <w:r>
        <w:rPr>
          <w:rFonts w:asciiTheme="minorHAnsi" w:hAnsiTheme="minorHAnsi"/>
          <w:szCs w:val="22"/>
        </w:rPr>
        <w:t xml:space="preserve">trial sites </w:t>
      </w:r>
      <w:r w:rsidRPr="009A2BA4">
        <w:rPr>
          <w:rFonts w:asciiTheme="minorHAnsi" w:hAnsiTheme="minorHAnsi"/>
          <w:szCs w:val="22"/>
        </w:rPr>
        <w:t>and hospitals in Australia</w:t>
      </w:r>
      <w:r w:rsidRPr="009A2BA4">
        <w:rPr>
          <w:szCs w:val="22"/>
        </w:rPr>
        <w:t xml:space="preserve">. </w:t>
      </w:r>
    </w:p>
    <w:p w14:paraId="4196E300" w14:textId="55BC3B11" w:rsidR="00580AED" w:rsidRPr="00A51210" w:rsidRDefault="00580AED" w:rsidP="00580AED">
      <w:r w:rsidRPr="00A51210">
        <w:t xml:space="preserve">Clinical trials in Australia are conducted in accordance with requirements of the </w:t>
      </w:r>
      <w:r w:rsidRPr="00A51210">
        <w:rPr>
          <w:i/>
        </w:rPr>
        <w:t>Therapeutic Goods Act 1989</w:t>
      </w:r>
      <w:r w:rsidRPr="00A51210">
        <w:t xml:space="preserve">, which is administered by the Therapeutic Goods Administration (TGA). Therefore, in addition to approval by the Regulator, </w:t>
      </w:r>
      <w:proofErr w:type="spellStart"/>
      <w:r w:rsidRPr="00A51210">
        <w:t>Medpace</w:t>
      </w:r>
      <w:proofErr w:type="spellEnd"/>
      <w:r w:rsidRPr="00A51210">
        <w:t xml:space="preserve"> would also require authorisation from TGA before the trial commences. Clinical trials conducted in Australia must also be </w:t>
      </w:r>
      <w:r w:rsidRPr="006551FC">
        <w:t xml:space="preserve">conducted in accordance with the </w:t>
      </w:r>
      <w:hyperlink r:id="rId7" w:history="1">
        <w:r w:rsidRPr="006551FC">
          <w:rPr>
            <w:rStyle w:val="Hyperlink"/>
          </w:rPr>
          <w:t>National Statement on Ethical Conduct in Human Research</w:t>
        </w:r>
      </w:hyperlink>
      <w:r w:rsidRPr="006551FC">
        <w:rPr>
          <w:i/>
        </w:rPr>
        <w:t xml:space="preserve"> </w:t>
      </w:r>
      <w:r w:rsidRPr="006551FC">
        <w:t xml:space="preserve">and with the </w:t>
      </w:r>
      <w:hyperlink r:id="rId8" w:history="1">
        <w:r w:rsidRPr="006551FC">
          <w:rPr>
            <w:rStyle w:val="Hyperlink"/>
          </w:rPr>
          <w:t>Guidelines for Good Clinical Practice</w:t>
        </w:r>
      </w:hyperlink>
      <w:r w:rsidRPr="00A51210">
        <w:t xml:space="preserve"> of the International Council for Harmonisation of Technical Requirements for Registration of Pharmaceuticals for Human Use. </w:t>
      </w:r>
      <w:proofErr w:type="spellStart"/>
      <w:r w:rsidRPr="00A51210">
        <w:t>Medpace</w:t>
      </w:r>
      <w:proofErr w:type="spellEnd"/>
      <w:r w:rsidRPr="00A51210">
        <w:t xml:space="preserve"> would also require approval from the</w:t>
      </w:r>
      <w:r>
        <w:t xml:space="preserve"> </w:t>
      </w:r>
      <w:r w:rsidRPr="00CD5087">
        <w:t>Department of Agriculture, Fisheries and Forestry</w:t>
      </w:r>
      <w:r>
        <w:t xml:space="preserve"> for</w:t>
      </w:r>
      <w:r w:rsidRPr="00A51210">
        <w:t xml:space="preserve"> import of the GMO.</w:t>
      </w:r>
      <w:r>
        <w:t xml:space="preserve"> </w:t>
      </w:r>
      <w:r w:rsidRPr="00236062">
        <w:t>A Risk Assessment and Risk Management Plan (RARMP) for this application has been prepared</w:t>
      </w:r>
      <w:r w:rsidRPr="00236062" w:rsidDel="002F4DCA">
        <w:t xml:space="preserve"> </w:t>
      </w:r>
      <w:r w:rsidRPr="00236062">
        <w:t xml:space="preserve">by the Regulator in accordance with the Act and corresponding state and territory legislation, and finalised following consultation with a wide range of experts, agencies and authorities, and the public. The RARMP concluded that the proposed </w:t>
      </w:r>
      <w:r>
        <w:t>clinical</w:t>
      </w:r>
      <w:r w:rsidRPr="00236062">
        <w:t xml:space="preserve"> trial poses negligible risks to human health and safety and the environment and that any risks posed by the dealings can be managed by imposing conditions on the release.</w:t>
      </w:r>
    </w:p>
    <w:p w14:paraId="548F40E1" w14:textId="4036DFEB" w:rsidR="00580AED" w:rsidRPr="00DB5481" w:rsidRDefault="00580AED" w:rsidP="00580AED">
      <w:pPr>
        <w:pStyle w:val="Heading2"/>
        <w:numPr>
          <w:ilvl w:val="0"/>
          <w:numId w:val="0"/>
        </w:numPr>
      </w:pPr>
      <w:bookmarkStart w:id="16" w:name="_Toc114230312"/>
      <w:r w:rsidRPr="0000143A">
        <w:lastRenderedPageBreak/>
        <w:t>The application</w:t>
      </w:r>
      <w:bookmarkEnd w:id="11"/>
      <w:bookmarkEnd w:id="12"/>
      <w:bookmarkEnd w:id="1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6670"/>
      </w:tblGrid>
      <w:tr w:rsidR="00580AED" w:rsidRPr="002E4447" w14:paraId="6AD80C9C" w14:textId="77777777" w:rsidTr="006C0C33">
        <w:trPr>
          <w:jc w:val="center"/>
        </w:trPr>
        <w:tc>
          <w:tcPr>
            <w:tcW w:w="2681" w:type="dxa"/>
            <w:vAlign w:val="center"/>
          </w:tcPr>
          <w:p w14:paraId="16B8D554" w14:textId="77777777" w:rsidR="00580AED" w:rsidRPr="0025434A" w:rsidRDefault="00580AED" w:rsidP="002A191E">
            <w:pPr>
              <w:pStyle w:val="LEFTLIST"/>
              <w:rPr>
                <w:rFonts w:asciiTheme="minorHAnsi" w:hAnsiTheme="minorHAnsi" w:cstheme="minorHAnsi"/>
              </w:rPr>
            </w:pPr>
            <w:bookmarkStart w:id="17" w:name="_Toc342042136"/>
            <w:bookmarkStart w:id="18" w:name="_Toc47536736"/>
            <w:r w:rsidRPr="0025434A">
              <w:rPr>
                <w:rFonts w:asciiTheme="minorHAnsi" w:hAnsiTheme="minorHAnsi" w:cstheme="minorHAnsi"/>
              </w:rPr>
              <w:t>Project Title</w:t>
            </w:r>
          </w:p>
        </w:tc>
        <w:tc>
          <w:tcPr>
            <w:tcW w:w="6670" w:type="dxa"/>
            <w:vAlign w:val="center"/>
          </w:tcPr>
          <w:p w14:paraId="4BDCA5F9" w14:textId="77777777" w:rsidR="00580AED" w:rsidRPr="001C7E3E" w:rsidRDefault="00580AED" w:rsidP="006C0C33">
            <w:pPr>
              <w:pStyle w:val="RIGHTLIST"/>
              <w:ind w:right="37"/>
              <w:rPr>
                <w:rFonts w:asciiTheme="minorHAnsi" w:hAnsiTheme="minorHAnsi" w:cstheme="minorHAnsi"/>
              </w:rPr>
            </w:pPr>
            <w:r w:rsidRPr="008F0AD9">
              <w:rPr>
                <w:rFonts w:asciiTheme="minorHAnsi" w:hAnsiTheme="minorHAnsi" w:cstheme="minorHAnsi"/>
              </w:rPr>
              <w:t xml:space="preserve">Clinical trial of a genetically modified (GM) chimeric </w:t>
            </w:r>
            <w:r>
              <w:rPr>
                <w:rFonts w:asciiTheme="minorHAnsi" w:hAnsiTheme="minorHAnsi" w:cstheme="minorHAnsi"/>
              </w:rPr>
              <w:t>ortho</w:t>
            </w:r>
            <w:r w:rsidRPr="008F0AD9">
              <w:rPr>
                <w:rFonts w:asciiTheme="minorHAnsi" w:hAnsiTheme="minorHAnsi" w:cstheme="minorHAnsi"/>
              </w:rPr>
              <w:t>poxvirus</w:t>
            </w:r>
            <w:r>
              <w:rPr>
                <w:rFonts w:asciiTheme="minorHAnsi" w:hAnsiTheme="minorHAnsi" w:cstheme="minorHAnsi"/>
              </w:rPr>
              <w:t xml:space="preserve"> (CF33-hNIS)</w:t>
            </w:r>
            <w:r w:rsidRPr="008F0AD9">
              <w:rPr>
                <w:rFonts w:asciiTheme="minorHAnsi" w:hAnsiTheme="minorHAnsi" w:cstheme="minorHAnsi"/>
              </w:rPr>
              <w:t xml:space="preserve"> as a cancer treatment</w:t>
            </w:r>
            <w:r w:rsidRPr="001C7E3E">
              <w:rPr>
                <w:rStyle w:val="FootnoteReference"/>
                <w:rFonts w:asciiTheme="minorHAnsi" w:hAnsiTheme="minorHAnsi" w:cstheme="minorHAnsi"/>
              </w:rPr>
              <w:t xml:space="preserve"> </w:t>
            </w:r>
            <w:r w:rsidRPr="001C7E3E">
              <w:rPr>
                <w:rStyle w:val="FootnoteReference"/>
                <w:rFonts w:asciiTheme="minorHAnsi" w:hAnsiTheme="minorHAnsi" w:cstheme="minorHAnsi"/>
              </w:rPr>
              <w:footnoteReference w:id="1"/>
            </w:r>
          </w:p>
        </w:tc>
      </w:tr>
      <w:tr w:rsidR="00580AED" w:rsidRPr="002E4447" w14:paraId="4AF57C29" w14:textId="77777777" w:rsidTr="006C0C33">
        <w:trPr>
          <w:jc w:val="center"/>
        </w:trPr>
        <w:tc>
          <w:tcPr>
            <w:tcW w:w="2681" w:type="dxa"/>
            <w:vAlign w:val="center"/>
          </w:tcPr>
          <w:p w14:paraId="7D689DA0" w14:textId="77777777" w:rsidR="00580AED" w:rsidRPr="0025434A" w:rsidRDefault="00580AED" w:rsidP="002A191E">
            <w:pPr>
              <w:pStyle w:val="LEFTLIST"/>
              <w:rPr>
                <w:rFonts w:asciiTheme="minorHAnsi" w:hAnsiTheme="minorHAnsi" w:cstheme="minorHAnsi"/>
              </w:rPr>
            </w:pPr>
            <w:r w:rsidRPr="0025434A">
              <w:rPr>
                <w:rFonts w:asciiTheme="minorHAnsi" w:hAnsiTheme="minorHAnsi" w:cstheme="minorHAnsi"/>
              </w:rPr>
              <w:t>Parent organism</w:t>
            </w:r>
          </w:p>
        </w:tc>
        <w:tc>
          <w:tcPr>
            <w:tcW w:w="6670" w:type="dxa"/>
            <w:vAlign w:val="center"/>
          </w:tcPr>
          <w:p w14:paraId="31740520" w14:textId="77777777" w:rsidR="00580AED" w:rsidRPr="001C7E3E" w:rsidRDefault="00580AED" w:rsidP="002A191E">
            <w:pPr>
              <w:pStyle w:val="RIGHTLIST"/>
              <w:rPr>
                <w:rFonts w:asciiTheme="minorHAnsi" w:hAnsiTheme="minorHAnsi" w:cstheme="minorHAnsi"/>
              </w:rPr>
            </w:pPr>
            <w:r>
              <w:rPr>
                <w:rFonts w:ascii="Calibri" w:hAnsi="Calibri" w:cs="Calibri"/>
              </w:rPr>
              <w:t>C</w:t>
            </w:r>
            <w:r w:rsidRPr="00A55D9C">
              <w:rPr>
                <w:rFonts w:ascii="Calibri" w:hAnsi="Calibri" w:cs="Calibri"/>
              </w:rPr>
              <w:t>himeric</w:t>
            </w:r>
            <w:r>
              <w:rPr>
                <w:rFonts w:ascii="Calibri" w:hAnsi="Calibri" w:cs="Calibri"/>
              </w:rPr>
              <w:t xml:space="preserve"> orthopoxvirus (CF33)</w:t>
            </w:r>
          </w:p>
        </w:tc>
      </w:tr>
      <w:tr w:rsidR="00580AED" w:rsidRPr="002E4447" w14:paraId="3F83D6E5" w14:textId="77777777" w:rsidTr="006C0C33">
        <w:trPr>
          <w:jc w:val="center"/>
        </w:trPr>
        <w:tc>
          <w:tcPr>
            <w:tcW w:w="2681" w:type="dxa"/>
            <w:vAlign w:val="center"/>
          </w:tcPr>
          <w:p w14:paraId="46A8FB13" w14:textId="77777777" w:rsidR="00580AED" w:rsidRPr="0025434A" w:rsidRDefault="00580AED" w:rsidP="002A191E">
            <w:pPr>
              <w:pStyle w:val="LEFTLIST"/>
              <w:rPr>
                <w:rFonts w:asciiTheme="minorHAnsi" w:hAnsiTheme="minorHAnsi" w:cstheme="minorHAnsi"/>
              </w:rPr>
            </w:pPr>
            <w:r w:rsidRPr="0025434A">
              <w:rPr>
                <w:rFonts w:asciiTheme="minorHAnsi" w:hAnsiTheme="minorHAnsi" w:cstheme="minorHAnsi"/>
              </w:rPr>
              <w:t>Genetic modifications</w:t>
            </w:r>
          </w:p>
        </w:tc>
        <w:tc>
          <w:tcPr>
            <w:tcW w:w="6670" w:type="dxa"/>
            <w:vAlign w:val="center"/>
          </w:tcPr>
          <w:p w14:paraId="5BB4DAFF" w14:textId="77777777" w:rsidR="00580AED" w:rsidRPr="002A57B0" w:rsidRDefault="00580AED" w:rsidP="00580AED">
            <w:pPr>
              <w:pStyle w:val="ListParagraph"/>
              <w:numPr>
                <w:ilvl w:val="0"/>
                <w:numId w:val="3"/>
              </w:numPr>
              <w:tabs>
                <w:tab w:val="left" w:pos="5670"/>
                <w:tab w:val="left" w:pos="6946"/>
                <w:tab w:val="left" w:pos="7655"/>
              </w:tabs>
              <w:spacing w:before="60" w:after="60"/>
              <w:contextualSpacing/>
              <w:rPr>
                <w:rFonts w:cs="Calibri"/>
                <w:szCs w:val="22"/>
              </w:rPr>
            </w:pPr>
            <w:r w:rsidRPr="002A57B0">
              <w:rPr>
                <w:rFonts w:cs="Calibri"/>
              </w:rPr>
              <w:t>D</w:t>
            </w:r>
            <w:r>
              <w:rPr>
                <w:rFonts w:cs="Calibri"/>
              </w:rPr>
              <w:t>eletion</w:t>
            </w:r>
            <w:r w:rsidRPr="002A57B0">
              <w:rPr>
                <w:rFonts w:cs="Calibri"/>
              </w:rPr>
              <w:t xml:space="preserve"> of </w:t>
            </w:r>
            <w:r w:rsidRPr="002A57B0">
              <w:rPr>
                <w:rFonts w:cs="Calibri"/>
                <w:i/>
                <w:iCs/>
              </w:rPr>
              <w:t>J2R</w:t>
            </w:r>
            <w:r w:rsidRPr="002A57B0">
              <w:rPr>
                <w:rFonts w:cs="Calibri"/>
              </w:rPr>
              <w:t xml:space="preserve"> gene (viral thymidine kinase) – </w:t>
            </w:r>
            <w:r w:rsidRPr="002A57B0">
              <w:rPr>
                <w:rFonts w:cs="Calibri"/>
                <w:szCs w:val="22"/>
              </w:rPr>
              <w:t xml:space="preserve">leading to preferential viral multiplication in cancer cells. </w:t>
            </w:r>
          </w:p>
          <w:p w14:paraId="44425356" w14:textId="77777777" w:rsidR="00580AED" w:rsidRPr="001C7E3E" w:rsidRDefault="00580AED" w:rsidP="00580AED">
            <w:pPr>
              <w:pStyle w:val="ListParagraph"/>
              <w:numPr>
                <w:ilvl w:val="0"/>
                <w:numId w:val="3"/>
              </w:numPr>
              <w:tabs>
                <w:tab w:val="left" w:pos="5670"/>
                <w:tab w:val="left" w:pos="6946"/>
                <w:tab w:val="left" w:pos="7655"/>
              </w:tabs>
              <w:spacing w:before="60" w:after="60"/>
              <w:contextualSpacing/>
              <w:rPr>
                <w:rFonts w:asciiTheme="minorHAnsi" w:hAnsiTheme="minorHAnsi" w:cstheme="minorHAnsi"/>
                <w:i/>
              </w:rPr>
            </w:pPr>
            <w:r w:rsidRPr="00A55D9C">
              <w:rPr>
                <w:rFonts w:cs="Calibri"/>
              </w:rPr>
              <w:t>Insertion of the human sodium-iodide symporter (</w:t>
            </w:r>
            <w:proofErr w:type="spellStart"/>
            <w:r w:rsidRPr="00A55D9C">
              <w:rPr>
                <w:rFonts w:cs="Calibri"/>
              </w:rPr>
              <w:t>hNIS</w:t>
            </w:r>
            <w:proofErr w:type="spellEnd"/>
            <w:r w:rsidRPr="00A55D9C">
              <w:rPr>
                <w:rFonts w:cs="Calibri"/>
              </w:rPr>
              <w:t xml:space="preserve">) gene – </w:t>
            </w:r>
            <w:r>
              <w:rPr>
                <w:rFonts w:cs="Calibri"/>
              </w:rPr>
              <w:t xml:space="preserve">to facilitate the </w:t>
            </w:r>
            <w:r w:rsidRPr="00A55D9C">
              <w:rPr>
                <w:rFonts w:cs="Calibri"/>
              </w:rPr>
              <w:t>visualisation of the viru</w:t>
            </w:r>
            <w:r>
              <w:rPr>
                <w:rFonts w:cs="Calibri"/>
              </w:rPr>
              <w:t>s by medical imaging.</w:t>
            </w:r>
          </w:p>
        </w:tc>
      </w:tr>
      <w:tr w:rsidR="00580AED" w:rsidRPr="002E4447" w14:paraId="52C8F453" w14:textId="77777777" w:rsidTr="006C0C33">
        <w:trPr>
          <w:jc w:val="center"/>
        </w:trPr>
        <w:tc>
          <w:tcPr>
            <w:tcW w:w="2681" w:type="dxa"/>
            <w:vAlign w:val="center"/>
          </w:tcPr>
          <w:p w14:paraId="3FD7E210" w14:textId="77777777" w:rsidR="00580AED" w:rsidRPr="0025434A" w:rsidRDefault="00580AED" w:rsidP="002A191E">
            <w:pPr>
              <w:pStyle w:val="LEFTLIST"/>
              <w:rPr>
                <w:rFonts w:asciiTheme="minorHAnsi" w:hAnsiTheme="minorHAnsi" w:cstheme="minorHAnsi"/>
              </w:rPr>
            </w:pPr>
            <w:r w:rsidRPr="0025434A">
              <w:rPr>
                <w:rFonts w:asciiTheme="minorHAnsi" w:hAnsiTheme="minorHAnsi" w:cstheme="minorHAnsi"/>
              </w:rPr>
              <w:t>Principal purpose</w:t>
            </w:r>
          </w:p>
        </w:tc>
        <w:tc>
          <w:tcPr>
            <w:tcW w:w="6670" w:type="dxa"/>
            <w:vAlign w:val="center"/>
          </w:tcPr>
          <w:p w14:paraId="5808559B" w14:textId="77777777" w:rsidR="00580AED" w:rsidRPr="001C7E3E" w:rsidRDefault="00580AED" w:rsidP="002A191E">
            <w:pPr>
              <w:pStyle w:val="RIGHTLIST"/>
              <w:rPr>
                <w:rFonts w:asciiTheme="minorHAnsi" w:hAnsiTheme="minorHAnsi" w:cstheme="minorHAnsi"/>
              </w:rPr>
            </w:pPr>
            <w:r w:rsidRPr="009F147B">
              <w:rPr>
                <w:rFonts w:asciiTheme="minorHAnsi" w:hAnsiTheme="minorHAnsi" w:cstheme="minorHAnsi"/>
              </w:rPr>
              <w:t>The proposed trial is a Phase 1 study designed to</w:t>
            </w:r>
            <w:r>
              <w:rPr>
                <w:rFonts w:asciiTheme="minorHAnsi" w:hAnsiTheme="minorHAnsi" w:cstheme="minorHAnsi"/>
              </w:rPr>
              <w:t xml:space="preserve"> evaluate </w:t>
            </w:r>
            <w:r w:rsidRPr="009F147B">
              <w:rPr>
                <w:rFonts w:asciiTheme="minorHAnsi" w:hAnsiTheme="minorHAnsi" w:cstheme="minorHAnsi"/>
              </w:rPr>
              <w:t xml:space="preserve">the safety and efficacy of </w:t>
            </w:r>
            <w:r>
              <w:rPr>
                <w:rFonts w:asciiTheme="minorHAnsi" w:hAnsiTheme="minorHAnsi" w:cstheme="minorHAnsi"/>
              </w:rPr>
              <w:t xml:space="preserve">a </w:t>
            </w:r>
            <w:r w:rsidRPr="009F147B">
              <w:rPr>
                <w:rFonts w:asciiTheme="minorHAnsi" w:hAnsiTheme="minorHAnsi" w:cstheme="minorHAnsi"/>
              </w:rPr>
              <w:t xml:space="preserve">GM </w:t>
            </w:r>
            <w:r w:rsidRPr="009F147B">
              <w:rPr>
                <w:rFonts w:ascii="Calibri" w:hAnsi="Calibri"/>
              </w:rPr>
              <w:t xml:space="preserve">chimeric </w:t>
            </w:r>
            <w:r>
              <w:rPr>
                <w:rFonts w:ascii="Calibri" w:hAnsi="Calibri"/>
              </w:rPr>
              <w:t>ortho</w:t>
            </w:r>
            <w:r w:rsidRPr="009F147B">
              <w:rPr>
                <w:rFonts w:ascii="Calibri" w:hAnsi="Calibri"/>
              </w:rPr>
              <w:t>poxvirus</w:t>
            </w:r>
            <w:r w:rsidRPr="009F147B">
              <w:rPr>
                <w:rFonts w:asciiTheme="minorHAnsi" w:hAnsiTheme="minorHAnsi" w:cstheme="minorHAnsi"/>
              </w:rPr>
              <w:t>, (known as CF33-hNIS</w:t>
            </w:r>
            <w:r>
              <w:rPr>
                <w:rFonts w:asciiTheme="minorHAnsi" w:hAnsiTheme="minorHAnsi" w:cstheme="minorHAnsi"/>
              </w:rPr>
              <w:t xml:space="preserve">; </w:t>
            </w:r>
            <w:proofErr w:type="spellStart"/>
            <w:r>
              <w:rPr>
                <w:rFonts w:asciiTheme="minorHAnsi" w:hAnsiTheme="minorHAnsi" w:cstheme="minorHAnsi"/>
              </w:rPr>
              <w:t>VAXinia</w:t>
            </w:r>
            <w:proofErr w:type="spellEnd"/>
            <w:r>
              <w:rPr>
                <w:rFonts w:asciiTheme="minorHAnsi" w:hAnsiTheme="minorHAnsi" w:cstheme="minorHAnsi"/>
              </w:rPr>
              <w:t>; HOV2</w:t>
            </w:r>
            <w:r w:rsidRPr="009F147B">
              <w:rPr>
                <w:rFonts w:asciiTheme="minorHAnsi" w:hAnsiTheme="minorHAnsi" w:cstheme="minorHAnsi"/>
              </w:rPr>
              <w:t>),</w:t>
            </w:r>
            <w:r>
              <w:rPr>
                <w:rFonts w:asciiTheme="minorHAnsi" w:hAnsiTheme="minorHAnsi" w:cstheme="minorHAnsi"/>
              </w:rPr>
              <w:t xml:space="preserve"> </w:t>
            </w:r>
            <w:r w:rsidRPr="009F147B">
              <w:rPr>
                <w:rFonts w:asciiTheme="minorHAnsi" w:hAnsiTheme="minorHAnsi" w:cstheme="minorHAnsi"/>
              </w:rPr>
              <w:t>alone and in combination with an existing cancer therapy (Pembrolizumab), for the treatment of Australian patients with</w:t>
            </w:r>
            <w:r>
              <w:rPr>
                <w:rFonts w:asciiTheme="minorHAnsi" w:hAnsiTheme="minorHAnsi" w:cstheme="minorHAnsi"/>
              </w:rPr>
              <w:t xml:space="preserve"> metastatic or a</w:t>
            </w:r>
            <w:r w:rsidRPr="009F147B">
              <w:rPr>
                <w:rFonts w:asciiTheme="minorHAnsi" w:hAnsiTheme="minorHAnsi" w:cstheme="minorHAnsi"/>
              </w:rPr>
              <w:t>dvanced solid cancerous tumours.</w:t>
            </w:r>
          </w:p>
        </w:tc>
      </w:tr>
      <w:tr w:rsidR="00580AED" w:rsidRPr="002E4447" w14:paraId="25AA431E" w14:textId="77777777" w:rsidTr="006C0C33">
        <w:trPr>
          <w:jc w:val="center"/>
        </w:trPr>
        <w:tc>
          <w:tcPr>
            <w:tcW w:w="2681" w:type="dxa"/>
            <w:vAlign w:val="center"/>
          </w:tcPr>
          <w:p w14:paraId="0251E5E7" w14:textId="77777777" w:rsidR="00580AED" w:rsidRPr="0025434A" w:rsidRDefault="00580AED" w:rsidP="002A191E">
            <w:pPr>
              <w:pStyle w:val="LEFTLIST"/>
              <w:rPr>
                <w:rFonts w:asciiTheme="minorHAnsi" w:hAnsiTheme="minorHAnsi" w:cstheme="minorHAnsi"/>
              </w:rPr>
            </w:pPr>
            <w:r w:rsidRPr="0025434A">
              <w:rPr>
                <w:rFonts w:asciiTheme="minorHAnsi" w:hAnsiTheme="minorHAnsi" w:cstheme="minorHAnsi"/>
              </w:rPr>
              <w:t>Previous clinical trials</w:t>
            </w:r>
          </w:p>
        </w:tc>
        <w:tc>
          <w:tcPr>
            <w:tcW w:w="6670" w:type="dxa"/>
            <w:vAlign w:val="center"/>
          </w:tcPr>
          <w:p w14:paraId="1AED88EA" w14:textId="77777777" w:rsidR="00580AED" w:rsidRPr="001C7E3E" w:rsidRDefault="00580AED" w:rsidP="002A191E">
            <w:pPr>
              <w:pStyle w:val="RIGHTLIST"/>
              <w:rPr>
                <w:rFonts w:asciiTheme="minorHAnsi" w:hAnsiTheme="minorHAnsi" w:cstheme="minorHAnsi"/>
              </w:rPr>
            </w:pPr>
            <w:r w:rsidRPr="00D568EE">
              <w:rPr>
                <w:rFonts w:ascii="Calibri" w:hAnsi="Calibri" w:cs="Calibri"/>
              </w:rPr>
              <w:t>The proposed study is the first clinical trial to be conducted with CF33-hNIS</w:t>
            </w:r>
            <w:r>
              <w:rPr>
                <w:rFonts w:ascii="Calibri" w:hAnsi="Calibri" w:cs="Calibri"/>
              </w:rPr>
              <w:t xml:space="preserve"> (the GMO)</w:t>
            </w:r>
            <w:r w:rsidRPr="00D568EE">
              <w:rPr>
                <w:rFonts w:ascii="Calibri" w:hAnsi="Calibri" w:cs="Calibri"/>
              </w:rPr>
              <w:t>.</w:t>
            </w:r>
          </w:p>
        </w:tc>
      </w:tr>
      <w:tr w:rsidR="00580AED" w:rsidRPr="002E4447" w14:paraId="42506983" w14:textId="77777777" w:rsidTr="006C0C33">
        <w:trPr>
          <w:jc w:val="center"/>
        </w:trPr>
        <w:tc>
          <w:tcPr>
            <w:tcW w:w="9351" w:type="dxa"/>
            <w:gridSpan w:val="2"/>
          </w:tcPr>
          <w:p w14:paraId="0FDD92AB" w14:textId="77777777" w:rsidR="00580AED" w:rsidRPr="001C7E3E" w:rsidRDefault="00580AED" w:rsidP="002A191E">
            <w:pPr>
              <w:pStyle w:val="RIGHTLIST"/>
              <w:rPr>
                <w:rFonts w:asciiTheme="minorHAnsi" w:hAnsiTheme="minorHAnsi" w:cstheme="minorHAnsi"/>
                <w:b/>
                <w:bCs/>
              </w:rPr>
            </w:pPr>
            <w:r w:rsidRPr="001C7E3E">
              <w:rPr>
                <w:rFonts w:asciiTheme="minorHAnsi" w:hAnsiTheme="minorHAnsi" w:cstheme="minorHAnsi"/>
                <w:b/>
                <w:bCs/>
              </w:rPr>
              <w:t>Proposed limits and controls</w:t>
            </w:r>
          </w:p>
        </w:tc>
      </w:tr>
      <w:tr w:rsidR="00580AED" w:rsidRPr="008456DC" w14:paraId="485F67D4" w14:textId="77777777" w:rsidTr="006C0C33">
        <w:trPr>
          <w:jc w:val="center"/>
        </w:trPr>
        <w:tc>
          <w:tcPr>
            <w:tcW w:w="2681" w:type="dxa"/>
            <w:vAlign w:val="center"/>
          </w:tcPr>
          <w:p w14:paraId="21EC93B1" w14:textId="77777777" w:rsidR="00580AED" w:rsidRPr="0025434A" w:rsidRDefault="00580AED" w:rsidP="002A191E">
            <w:pPr>
              <w:pStyle w:val="LEFTLIST"/>
              <w:rPr>
                <w:rFonts w:asciiTheme="minorHAnsi" w:hAnsiTheme="minorHAnsi" w:cstheme="minorHAnsi"/>
                <w:b w:val="0"/>
                <w:bCs w:val="0"/>
              </w:rPr>
            </w:pPr>
            <w:r w:rsidRPr="0025434A">
              <w:rPr>
                <w:rFonts w:asciiTheme="minorHAnsi" w:hAnsiTheme="minorHAnsi" w:cstheme="minorHAnsi"/>
                <w:b w:val="0"/>
                <w:bCs w:val="0"/>
              </w:rPr>
              <w:t>Proposed duration</w:t>
            </w:r>
          </w:p>
        </w:tc>
        <w:tc>
          <w:tcPr>
            <w:tcW w:w="6670" w:type="dxa"/>
            <w:vAlign w:val="center"/>
          </w:tcPr>
          <w:p w14:paraId="0BEAC39F" w14:textId="77777777" w:rsidR="00580AED" w:rsidRPr="001C7E3E" w:rsidRDefault="00580AED" w:rsidP="002A191E">
            <w:pPr>
              <w:pStyle w:val="RIGHTLIST"/>
              <w:rPr>
                <w:rFonts w:asciiTheme="minorHAnsi" w:hAnsiTheme="minorHAnsi" w:cstheme="minorHAnsi"/>
              </w:rPr>
            </w:pPr>
            <w:r w:rsidRPr="001C7E3E">
              <w:rPr>
                <w:rFonts w:asciiTheme="minorHAnsi" w:hAnsiTheme="minorHAnsi" w:cstheme="minorHAnsi"/>
              </w:rPr>
              <w:t>5 years</w:t>
            </w:r>
          </w:p>
        </w:tc>
      </w:tr>
      <w:tr w:rsidR="00580AED" w:rsidRPr="008456DC" w14:paraId="7018D4BE" w14:textId="77777777" w:rsidTr="006C0C33">
        <w:trPr>
          <w:jc w:val="center"/>
        </w:trPr>
        <w:tc>
          <w:tcPr>
            <w:tcW w:w="2681" w:type="dxa"/>
            <w:vAlign w:val="center"/>
          </w:tcPr>
          <w:p w14:paraId="0F1F0B48" w14:textId="77777777" w:rsidR="00580AED" w:rsidRPr="0025434A" w:rsidRDefault="00580AED" w:rsidP="002A191E">
            <w:pPr>
              <w:pStyle w:val="LEFTLIST"/>
              <w:rPr>
                <w:rFonts w:asciiTheme="minorHAnsi" w:hAnsiTheme="minorHAnsi" w:cstheme="minorHAnsi"/>
                <w:b w:val="0"/>
                <w:bCs w:val="0"/>
              </w:rPr>
            </w:pPr>
            <w:r w:rsidRPr="0025434A">
              <w:rPr>
                <w:rFonts w:asciiTheme="minorHAnsi" w:hAnsiTheme="minorHAnsi" w:cstheme="minorHAnsi"/>
                <w:b w:val="0"/>
                <w:bCs w:val="0"/>
              </w:rPr>
              <w:t>Proposed release size</w:t>
            </w:r>
          </w:p>
        </w:tc>
        <w:tc>
          <w:tcPr>
            <w:tcW w:w="6670" w:type="dxa"/>
            <w:vAlign w:val="center"/>
          </w:tcPr>
          <w:p w14:paraId="350085C6" w14:textId="77777777" w:rsidR="00580AED" w:rsidRPr="001C7E3E" w:rsidRDefault="00580AED" w:rsidP="002A191E">
            <w:pPr>
              <w:pStyle w:val="RIGHTLIST"/>
              <w:rPr>
                <w:rFonts w:asciiTheme="minorHAnsi" w:hAnsiTheme="minorHAnsi" w:cstheme="minorHAnsi"/>
              </w:rPr>
            </w:pPr>
            <w:r w:rsidRPr="004840D3">
              <w:rPr>
                <w:rFonts w:ascii="Calibri" w:hAnsi="Calibri"/>
                <w:iCs/>
              </w:rPr>
              <w:t xml:space="preserve">Up to </w:t>
            </w:r>
            <w:r>
              <w:rPr>
                <w:rFonts w:ascii="Calibri" w:hAnsi="Calibri"/>
                <w:iCs/>
              </w:rPr>
              <w:t>18</w:t>
            </w:r>
            <w:r w:rsidRPr="004840D3">
              <w:rPr>
                <w:rFonts w:ascii="Calibri" w:hAnsi="Calibri"/>
                <w:iCs/>
              </w:rPr>
              <w:t xml:space="preserve"> participants w</w:t>
            </w:r>
            <w:r>
              <w:rPr>
                <w:rFonts w:ascii="Calibri" w:hAnsi="Calibri"/>
                <w:iCs/>
              </w:rPr>
              <w:t>ould</w:t>
            </w:r>
            <w:r w:rsidRPr="004840D3">
              <w:rPr>
                <w:rFonts w:ascii="Calibri" w:hAnsi="Calibri"/>
                <w:iCs/>
              </w:rPr>
              <w:t xml:space="preserve"> be enrolled in the trial</w:t>
            </w:r>
            <w:r>
              <w:rPr>
                <w:rFonts w:ascii="Calibri" w:hAnsi="Calibri"/>
              </w:rPr>
              <w:t xml:space="preserve"> in Australia</w:t>
            </w:r>
          </w:p>
        </w:tc>
      </w:tr>
      <w:tr w:rsidR="00580AED" w:rsidRPr="008456DC" w14:paraId="55C8BFD8" w14:textId="77777777" w:rsidTr="006C0C33">
        <w:trPr>
          <w:jc w:val="center"/>
        </w:trPr>
        <w:tc>
          <w:tcPr>
            <w:tcW w:w="2681" w:type="dxa"/>
            <w:vAlign w:val="center"/>
          </w:tcPr>
          <w:p w14:paraId="03A678BC" w14:textId="77777777" w:rsidR="00580AED" w:rsidRPr="0025434A" w:rsidRDefault="00580AED" w:rsidP="002A191E">
            <w:pPr>
              <w:pStyle w:val="LEFTLIST"/>
              <w:rPr>
                <w:rFonts w:asciiTheme="minorHAnsi" w:hAnsiTheme="minorHAnsi" w:cstheme="minorHAnsi"/>
                <w:b w:val="0"/>
                <w:bCs w:val="0"/>
              </w:rPr>
            </w:pPr>
            <w:r w:rsidRPr="0025434A">
              <w:rPr>
                <w:rFonts w:asciiTheme="minorHAnsi" w:hAnsiTheme="minorHAnsi" w:cstheme="minorHAnsi"/>
                <w:b w:val="0"/>
                <w:bCs w:val="0"/>
              </w:rPr>
              <w:t>Proposed locations</w:t>
            </w:r>
          </w:p>
        </w:tc>
        <w:tc>
          <w:tcPr>
            <w:tcW w:w="6670" w:type="dxa"/>
            <w:vAlign w:val="center"/>
          </w:tcPr>
          <w:p w14:paraId="24727394" w14:textId="77777777" w:rsidR="00580AED" w:rsidRPr="00441DA9" w:rsidRDefault="00580AED" w:rsidP="002A191E">
            <w:pPr>
              <w:pStyle w:val="RIGHTLIST"/>
              <w:rPr>
                <w:rFonts w:asciiTheme="minorHAnsi" w:hAnsiTheme="minorHAnsi" w:cstheme="minorHAnsi"/>
              </w:rPr>
            </w:pPr>
            <w:r w:rsidRPr="00EB3F18">
              <w:rPr>
                <w:rFonts w:ascii="Calibri" w:hAnsi="Calibri" w:cs="Calibri"/>
              </w:rPr>
              <w:t xml:space="preserve">This </w:t>
            </w:r>
            <w:r>
              <w:rPr>
                <w:rFonts w:ascii="Calibri" w:hAnsi="Calibri" w:cs="Calibri"/>
              </w:rPr>
              <w:t xml:space="preserve">clinical </w:t>
            </w:r>
            <w:r w:rsidRPr="00EB3F18">
              <w:rPr>
                <w:rFonts w:ascii="Calibri" w:hAnsi="Calibri" w:cs="Calibri"/>
              </w:rPr>
              <w:t xml:space="preserve">trial </w:t>
            </w:r>
            <w:r>
              <w:rPr>
                <w:rFonts w:ascii="Calibri" w:hAnsi="Calibri" w:cs="Calibri"/>
              </w:rPr>
              <w:t>would be conducted within clinical trial sites and hospitals in Australia. The number of sites and specific locations are yet to be determined.</w:t>
            </w:r>
          </w:p>
        </w:tc>
      </w:tr>
      <w:tr w:rsidR="00580AED" w:rsidRPr="002E4447" w14:paraId="57DC46F4" w14:textId="77777777" w:rsidTr="006C0C33">
        <w:trPr>
          <w:jc w:val="center"/>
        </w:trPr>
        <w:tc>
          <w:tcPr>
            <w:tcW w:w="2681" w:type="dxa"/>
          </w:tcPr>
          <w:p w14:paraId="11749B76" w14:textId="77777777" w:rsidR="00580AED" w:rsidRPr="0025434A" w:rsidRDefault="00580AED" w:rsidP="002A191E">
            <w:pPr>
              <w:pStyle w:val="LEFTLIST"/>
              <w:rPr>
                <w:rFonts w:asciiTheme="minorHAnsi" w:hAnsiTheme="minorHAnsi" w:cstheme="minorHAnsi"/>
                <w:b w:val="0"/>
                <w:bCs w:val="0"/>
              </w:rPr>
            </w:pPr>
            <w:r w:rsidRPr="0025434A">
              <w:rPr>
                <w:rFonts w:asciiTheme="minorHAnsi" w:hAnsiTheme="minorHAnsi" w:cstheme="minorHAnsi"/>
                <w:b w:val="0"/>
                <w:bCs w:val="0"/>
              </w:rPr>
              <w:t>Proposed controls</w:t>
            </w:r>
          </w:p>
        </w:tc>
        <w:tc>
          <w:tcPr>
            <w:tcW w:w="6670" w:type="dxa"/>
          </w:tcPr>
          <w:p w14:paraId="417CB71D" w14:textId="77777777" w:rsidR="00580AED" w:rsidRPr="00D821E8" w:rsidRDefault="00580AED" w:rsidP="00580AED">
            <w:pPr>
              <w:pStyle w:val="ListParagraph"/>
              <w:numPr>
                <w:ilvl w:val="0"/>
                <w:numId w:val="3"/>
              </w:numPr>
              <w:tabs>
                <w:tab w:val="left" w:pos="5670"/>
                <w:tab w:val="left" w:pos="6946"/>
                <w:tab w:val="left" w:pos="7655"/>
              </w:tabs>
              <w:spacing w:before="60" w:after="60"/>
              <w:contextualSpacing/>
              <w:rPr>
                <w:rFonts w:asciiTheme="minorHAnsi" w:hAnsiTheme="minorHAnsi" w:cstheme="minorHAnsi"/>
                <w:noProof/>
                <w:szCs w:val="22"/>
              </w:rPr>
            </w:pPr>
            <w:r w:rsidRPr="00D821E8">
              <w:rPr>
                <w:rFonts w:asciiTheme="minorHAnsi" w:hAnsiTheme="minorHAnsi" w:cstheme="minorHAnsi"/>
                <w:noProof/>
                <w:szCs w:val="22"/>
              </w:rPr>
              <w:t xml:space="preserve">The GMO </w:t>
            </w:r>
            <w:r>
              <w:rPr>
                <w:rFonts w:asciiTheme="minorHAnsi" w:hAnsiTheme="minorHAnsi" w:cstheme="minorHAnsi"/>
                <w:noProof/>
                <w:szCs w:val="22"/>
              </w:rPr>
              <w:t>would</w:t>
            </w:r>
            <w:r w:rsidRPr="00D821E8">
              <w:rPr>
                <w:rFonts w:asciiTheme="minorHAnsi" w:hAnsiTheme="minorHAnsi" w:cstheme="minorHAnsi"/>
                <w:noProof/>
                <w:szCs w:val="22"/>
              </w:rPr>
              <w:t xml:space="preserve"> be administered to trial participants within a suitable medical facility.</w:t>
            </w:r>
          </w:p>
          <w:p w14:paraId="6889A4AE" w14:textId="77777777" w:rsidR="00580AED" w:rsidRPr="002A57B0" w:rsidRDefault="00580AED" w:rsidP="00580AED">
            <w:pPr>
              <w:pStyle w:val="ListParagraph"/>
              <w:numPr>
                <w:ilvl w:val="0"/>
                <w:numId w:val="3"/>
              </w:numPr>
              <w:tabs>
                <w:tab w:val="left" w:pos="5670"/>
                <w:tab w:val="left" w:pos="6946"/>
                <w:tab w:val="left" w:pos="7655"/>
              </w:tabs>
              <w:spacing w:before="60" w:after="60"/>
              <w:contextualSpacing/>
              <w:rPr>
                <w:rFonts w:asciiTheme="minorHAnsi" w:hAnsiTheme="minorHAnsi" w:cstheme="minorHAnsi"/>
                <w:szCs w:val="22"/>
              </w:rPr>
            </w:pPr>
            <w:r w:rsidRPr="00D821E8">
              <w:rPr>
                <w:rFonts w:asciiTheme="minorHAnsi" w:hAnsiTheme="minorHAnsi" w:cstheme="minorHAnsi"/>
                <w:noProof/>
                <w:szCs w:val="22"/>
              </w:rPr>
              <w:t xml:space="preserve">Staff preparing and administering the GMO </w:t>
            </w:r>
            <w:r>
              <w:rPr>
                <w:rFonts w:asciiTheme="minorHAnsi" w:hAnsiTheme="minorHAnsi" w:cstheme="minorHAnsi"/>
                <w:noProof/>
                <w:szCs w:val="22"/>
              </w:rPr>
              <w:t>would</w:t>
            </w:r>
            <w:r w:rsidRPr="00D821E8">
              <w:rPr>
                <w:rFonts w:asciiTheme="minorHAnsi" w:hAnsiTheme="minorHAnsi" w:cstheme="minorHAnsi"/>
                <w:noProof/>
                <w:szCs w:val="22"/>
              </w:rPr>
              <w:t xml:space="preserve"> use personal protective equipment.</w:t>
            </w:r>
          </w:p>
          <w:p w14:paraId="037F9C8D" w14:textId="77777777" w:rsidR="00580AED" w:rsidRPr="00D821E8" w:rsidRDefault="00580AED" w:rsidP="00580AED">
            <w:pPr>
              <w:pStyle w:val="ListParagraph"/>
              <w:numPr>
                <w:ilvl w:val="0"/>
                <w:numId w:val="3"/>
              </w:numPr>
              <w:tabs>
                <w:tab w:val="left" w:pos="5670"/>
                <w:tab w:val="left" w:pos="6946"/>
                <w:tab w:val="left" w:pos="7655"/>
              </w:tabs>
              <w:spacing w:before="60" w:after="60"/>
              <w:contextualSpacing/>
              <w:rPr>
                <w:rFonts w:asciiTheme="minorHAnsi" w:hAnsiTheme="minorHAnsi" w:cstheme="minorHAnsi"/>
                <w:szCs w:val="22"/>
              </w:rPr>
            </w:pPr>
            <w:r w:rsidRPr="00D821E8">
              <w:rPr>
                <w:rFonts w:asciiTheme="minorHAnsi" w:hAnsiTheme="minorHAnsi" w:cstheme="minorHAnsi"/>
                <w:noProof/>
                <w:szCs w:val="22"/>
              </w:rPr>
              <w:t>Import, transport</w:t>
            </w:r>
            <w:r w:rsidRPr="00D821E8">
              <w:rPr>
                <w:rFonts w:asciiTheme="minorHAnsi" w:hAnsiTheme="minorHAnsi" w:cstheme="minorHAnsi"/>
                <w:szCs w:val="22"/>
              </w:rPr>
              <w:t xml:space="preserve"> and stor</w:t>
            </w:r>
            <w:r>
              <w:rPr>
                <w:rFonts w:asciiTheme="minorHAnsi" w:hAnsiTheme="minorHAnsi" w:cstheme="minorHAnsi"/>
                <w:szCs w:val="22"/>
              </w:rPr>
              <w:t>age of</w:t>
            </w:r>
            <w:r w:rsidRPr="00D821E8">
              <w:rPr>
                <w:rFonts w:asciiTheme="minorHAnsi" w:hAnsiTheme="minorHAnsi" w:cstheme="minorHAnsi"/>
                <w:szCs w:val="22"/>
              </w:rPr>
              <w:t xml:space="preserve"> the GMO </w:t>
            </w:r>
            <w:r>
              <w:rPr>
                <w:rFonts w:asciiTheme="minorHAnsi" w:hAnsiTheme="minorHAnsi" w:cstheme="minorHAnsi"/>
                <w:szCs w:val="22"/>
              </w:rPr>
              <w:t xml:space="preserve">would be carried out </w:t>
            </w:r>
            <w:r w:rsidRPr="00D821E8">
              <w:rPr>
                <w:rFonts w:asciiTheme="minorHAnsi" w:hAnsiTheme="minorHAnsi" w:cstheme="minorHAnsi"/>
                <w:szCs w:val="22"/>
              </w:rPr>
              <w:t xml:space="preserve">according to </w:t>
            </w:r>
            <w:r>
              <w:rPr>
                <w:rFonts w:asciiTheme="minorHAnsi" w:hAnsiTheme="minorHAnsi" w:cstheme="minorHAnsi"/>
                <w:szCs w:val="22"/>
              </w:rPr>
              <w:t xml:space="preserve">the OGTR </w:t>
            </w:r>
            <w:r w:rsidRPr="00D64A27">
              <w:rPr>
                <w:rFonts w:asciiTheme="minorHAnsi" w:hAnsiTheme="minorHAnsi" w:cstheme="minorHAnsi"/>
                <w:i/>
                <w:iCs/>
                <w:szCs w:val="22"/>
              </w:rPr>
              <w:t>Guidelines for the</w:t>
            </w:r>
            <w:r>
              <w:rPr>
                <w:rFonts w:asciiTheme="minorHAnsi" w:hAnsiTheme="minorHAnsi" w:cstheme="minorHAnsi"/>
                <w:szCs w:val="22"/>
              </w:rPr>
              <w:t xml:space="preserve"> T</w:t>
            </w:r>
            <w:r w:rsidRPr="00D821E8">
              <w:rPr>
                <w:rFonts w:asciiTheme="minorHAnsi" w:hAnsiTheme="minorHAnsi" w:cstheme="minorHAnsi"/>
                <w:i/>
                <w:szCs w:val="22"/>
              </w:rPr>
              <w:t xml:space="preserve">ransport, </w:t>
            </w:r>
            <w:r>
              <w:rPr>
                <w:rFonts w:asciiTheme="minorHAnsi" w:hAnsiTheme="minorHAnsi" w:cstheme="minorHAnsi"/>
                <w:i/>
                <w:szCs w:val="22"/>
              </w:rPr>
              <w:t>S</w:t>
            </w:r>
            <w:r w:rsidRPr="00D821E8">
              <w:rPr>
                <w:rFonts w:asciiTheme="minorHAnsi" w:hAnsiTheme="minorHAnsi" w:cstheme="minorHAnsi"/>
                <w:i/>
                <w:szCs w:val="22"/>
              </w:rPr>
              <w:t xml:space="preserve">torage and </w:t>
            </w:r>
            <w:r>
              <w:rPr>
                <w:rFonts w:asciiTheme="minorHAnsi" w:hAnsiTheme="minorHAnsi" w:cstheme="minorHAnsi"/>
                <w:i/>
                <w:szCs w:val="22"/>
              </w:rPr>
              <w:t>D</w:t>
            </w:r>
            <w:r w:rsidRPr="00D821E8">
              <w:rPr>
                <w:rFonts w:asciiTheme="minorHAnsi" w:hAnsiTheme="minorHAnsi" w:cstheme="minorHAnsi"/>
                <w:i/>
                <w:szCs w:val="22"/>
              </w:rPr>
              <w:t xml:space="preserve">isposal </w:t>
            </w:r>
            <w:r>
              <w:rPr>
                <w:rFonts w:asciiTheme="minorHAnsi" w:hAnsiTheme="minorHAnsi" w:cstheme="minorHAnsi"/>
                <w:i/>
                <w:szCs w:val="22"/>
              </w:rPr>
              <w:t>of</w:t>
            </w:r>
            <w:r w:rsidRPr="00D821E8">
              <w:rPr>
                <w:rFonts w:asciiTheme="minorHAnsi" w:hAnsiTheme="minorHAnsi" w:cstheme="minorHAnsi"/>
                <w:szCs w:val="22"/>
              </w:rPr>
              <w:t xml:space="preserve"> GMOs.</w:t>
            </w:r>
          </w:p>
          <w:p w14:paraId="51A591EE" w14:textId="77777777" w:rsidR="00580AED" w:rsidRPr="00044BBD" w:rsidRDefault="00580AED" w:rsidP="00580AED">
            <w:pPr>
              <w:pStyle w:val="ListParagraph"/>
              <w:numPr>
                <w:ilvl w:val="0"/>
                <w:numId w:val="3"/>
              </w:numPr>
              <w:tabs>
                <w:tab w:val="left" w:pos="5670"/>
                <w:tab w:val="left" w:pos="6946"/>
                <w:tab w:val="left" w:pos="7655"/>
              </w:tabs>
              <w:spacing w:before="60" w:after="60"/>
              <w:contextualSpacing/>
              <w:rPr>
                <w:rFonts w:asciiTheme="minorHAnsi" w:hAnsiTheme="minorHAnsi" w:cstheme="minorHAnsi"/>
                <w:szCs w:val="22"/>
              </w:rPr>
            </w:pPr>
            <w:r w:rsidRPr="00C83B3A">
              <w:rPr>
                <w:rFonts w:asciiTheme="minorHAnsi" w:hAnsiTheme="minorHAnsi" w:cstheme="minorHAnsi"/>
                <w:szCs w:val="22"/>
              </w:rPr>
              <w:t>Waste that may contain the GMO w</w:t>
            </w:r>
            <w:r>
              <w:rPr>
                <w:rFonts w:asciiTheme="minorHAnsi" w:hAnsiTheme="minorHAnsi" w:cstheme="minorHAnsi"/>
                <w:szCs w:val="22"/>
              </w:rPr>
              <w:t>ould</w:t>
            </w:r>
            <w:r w:rsidRPr="00C83B3A">
              <w:rPr>
                <w:rFonts w:asciiTheme="minorHAnsi" w:hAnsiTheme="minorHAnsi" w:cstheme="minorHAnsi"/>
                <w:szCs w:val="22"/>
              </w:rPr>
              <w:t xml:space="preserve"> be disposed </w:t>
            </w:r>
            <w:r>
              <w:rPr>
                <w:rFonts w:asciiTheme="minorHAnsi" w:hAnsiTheme="minorHAnsi" w:cstheme="minorHAnsi"/>
                <w:szCs w:val="22"/>
              </w:rPr>
              <w:t>of as infectious material (</w:t>
            </w:r>
            <w:proofErr w:type="gramStart"/>
            <w:r>
              <w:rPr>
                <w:rFonts w:asciiTheme="minorHAnsi" w:hAnsiTheme="minorHAnsi" w:cstheme="minorHAnsi"/>
                <w:szCs w:val="22"/>
              </w:rPr>
              <w:t>e.g.</w:t>
            </w:r>
            <w:proofErr w:type="gramEnd"/>
            <w:r>
              <w:rPr>
                <w:rFonts w:asciiTheme="minorHAnsi" w:hAnsiTheme="minorHAnsi" w:cstheme="minorHAnsi"/>
                <w:szCs w:val="22"/>
              </w:rPr>
              <w:t xml:space="preserve"> via the clinical waste stream).</w:t>
            </w:r>
          </w:p>
        </w:tc>
      </w:tr>
    </w:tbl>
    <w:p w14:paraId="13D0557B" w14:textId="77777777" w:rsidR="00580AED" w:rsidRPr="0000143A" w:rsidRDefault="00580AED" w:rsidP="00580AED">
      <w:pPr>
        <w:pStyle w:val="Heading2"/>
        <w:numPr>
          <w:ilvl w:val="0"/>
          <w:numId w:val="0"/>
        </w:numPr>
      </w:pPr>
      <w:bookmarkStart w:id="20" w:name="_Toc114230313"/>
      <w:bookmarkEnd w:id="13"/>
      <w:bookmarkEnd w:id="14"/>
      <w:bookmarkEnd w:id="15"/>
      <w:bookmarkEnd w:id="17"/>
      <w:bookmarkEnd w:id="18"/>
      <w:r w:rsidRPr="0000143A">
        <w:t>Risk assessment</w:t>
      </w:r>
      <w:bookmarkEnd w:id="20"/>
    </w:p>
    <w:p w14:paraId="3A6C125F" w14:textId="77777777" w:rsidR="00580AED" w:rsidRPr="00765998" w:rsidRDefault="00580AED" w:rsidP="00580AED">
      <w:pPr>
        <w:rPr>
          <w:bCs/>
        </w:rPr>
      </w:pPr>
      <w:r w:rsidRPr="00765998">
        <w:t xml:space="preserve">The risk assessment concludes that risks to the health and safety of people or the environment from the proposed clinical trial are </w:t>
      </w:r>
      <w:r w:rsidRPr="00765998">
        <w:rPr>
          <w:bCs/>
        </w:rPr>
        <w:t>negligible</w:t>
      </w:r>
      <w:r w:rsidRPr="00765998">
        <w:t>. N</w:t>
      </w:r>
      <w:r w:rsidRPr="00765998">
        <w:rPr>
          <w:bCs/>
        </w:rPr>
        <w:t>o specific risk treatment measures are required to manage these negligible risks.</w:t>
      </w:r>
    </w:p>
    <w:p w14:paraId="5F099350" w14:textId="77777777" w:rsidR="00580AED" w:rsidRPr="00765998" w:rsidRDefault="00580AED" w:rsidP="00580AED">
      <w:pPr>
        <w:spacing w:after="240"/>
      </w:pPr>
      <w:r w:rsidRPr="00765998">
        <w:t>The risk assessment process considers how the genetic modifications and proposed activities conducted with the GMO might lead to harm to people or the environment. Risks are characterised in relation to both the seriousness and likelihood of harm, considering information in the application (including proposed controls), relevant previous approvals and current scientific/technical knowledge. Both the short- and long-term impact are considered.</w:t>
      </w:r>
    </w:p>
    <w:p w14:paraId="0D6544E0" w14:textId="77777777" w:rsidR="00580AED" w:rsidRPr="00765998" w:rsidRDefault="00580AED" w:rsidP="00580AED">
      <w:pPr>
        <w:spacing w:after="240"/>
      </w:pPr>
      <w:r w:rsidRPr="00765998">
        <w:rPr>
          <w:rFonts w:cs="Calibri"/>
          <w:szCs w:val="22"/>
        </w:rPr>
        <w:lastRenderedPageBreak/>
        <w:t>Credible pathways to potential harm that were considered include the; potential exposure of people and animals to the GMO; and the potential for the GMO to transfer or acquire genetic material from other viruses. The potential for the GMO to be released into the environment and its effects were also considered.</w:t>
      </w:r>
    </w:p>
    <w:p w14:paraId="010FEC91" w14:textId="77777777" w:rsidR="00580AED" w:rsidRPr="00765998" w:rsidRDefault="00580AED" w:rsidP="00580AED">
      <w:pPr>
        <w:autoSpaceDE w:val="0"/>
        <w:autoSpaceDN w:val="0"/>
        <w:adjustRightInd w:val="0"/>
        <w:spacing w:before="0" w:after="0"/>
        <w:rPr>
          <w:rFonts w:cs="Calibri"/>
          <w:szCs w:val="22"/>
        </w:rPr>
      </w:pPr>
      <w:r w:rsidRPr="00765998">
        <w:rPr>
          <w:rFonts w:cs="Calibri"/>
          <w:szCs w:val="22"/>
        </w:rPr>
        <w:t xml:space="preserve">Important factors in reaching the conclusions of the risk assessment included that the GMO is designed to preferentially replicate in cancer cells, and unintended exposure to the GMOs would be minimised by the limits and controls. </w:t>
      </w:r>
    </w:p>
    <w:p w14:paraId="5AF32A13" w14:textId="77777777" w:rsidR="00580AED" w:rsidRPr="00765998" w:rsidRDefault="00580AED" w:rsidP="00580AED">
      <w:pPr>
        <w:pStyle w:val="RARMPnumberedparagraphs"/>
        <w:numPr>
          <w:ilvl w:val="0"/>
          <w:numId w:val="0"/>
        </w:numPr>
        <w:rPr>
          <w:highlight w:val="yellow"/>
        </w:rPr>
      </w:pPr>
      <w:r w:rsidRPr="00765998">
        <w:rPr>
          <w:rFonts w:cs="Calibri"/>
          <w:szCs w:val="22"/>
        </w:rPr>
        <w:t xml:space="preserve">As risks to the health and safety of people, or the environment, from the proposed trial of the </w:t>
      </w:r>
      <w:r>
        <w:rPr>
          <w:rFonts w:cs="Calibri"/>
          <w:szCs w:val="22"/>
        </w:rPr>
        <w:t>GMO</w:t>
      </w:r>
      <w:r w:rsidRPr="00765998">
        <w:rPr>
          <w:rFonts w:cs="Calibri"/>
          <w:i/>
          <w:iCs/>
          <w:szCs w:val="22"/>
        </w:rPr>
        <w:t xml:space="preserve"> </w:t>
      </w:r>
      <w:r w:rsidRPr="00765998">
        <w:rPr>
          <w:rFonts w:cs="Calibri"/>
          <w:szCs w:val="22"/>
        </w:rPr>
        <w:t xml:space="preserve">treatment have been assessed as negligible, the Regulator considers that the dealings involved do not pose a significant risk to either people or the environment. </w:t>
      </w:r>
    </w:p>
    <w:p w14:paraId="3DA20BF9" w14:textId="77777777" w:rsidR="00580AED" w:rsidRPr="00765998" w:rsidRDefault="00580AED" w:rsidP="00580AED">
      <w:pPr>
        <w:pStyle w:val="Heading2"/>
        <w:numPr>
          <w:ilvl w:val="0"/>
          <w:numId w:val="0"/>
        </w:numPr>
      </w:pPr>
      <w:bookmarkStart w:id="21" w:name="_Toc47536737"/>
      <w:bookmarkStart w:id="22" w:name="_Toc114230314"/>
      <w:r w:rsidRPr="00765998">
        <w:t>Risk ma</w:t>
      </w:r>
      <w:bookmarkStart w:id="23" w:name="_Toc209859549"/>
      <w:bookmarkStart w:id="24" w:name="_Toc342042137"/>
      <w:bookmarkStart w:id="25" w:name="_Toc291151778"/>
      <w:bookmarkStart w:id="26" w:name="_Toc274904728"/>
      <w:r w:rsidRPr="00765998">
        <w:t>nagement</w:t>
      </w:r>
      <w:bookmarkEnd w:id="21"/>
      <w:bookmarkEnd w:id="22"/>
      <w:bookmarkEnd w:id="23"/>
      <w:bookmarkEnd w:id="24"/>
      <w:bookmarkEnd w:id="25"/>
      <w:bookmarkEnd w:id="26"/>
    </w:p>
    <w:p w14:paraId="0CB21212" w14:textId="77777777" w:rsidR="00580AED" w:rsidRPr="00765998" w:rsidRDefault="00580AED" w:rsidP="00580AED">
      <w:pPr>
        <w:rPr>
          <w:rFonts w:eastAsia="SimSun"/>
          <w:szCs w:val="22"/>
        </w:rPr>
      </w:pPr>
      <w:r w:rsidRPr="00765998">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w:t>
      </w:r>
    </w:p>
    <w:p w14:paraId="266C0260" w14:textId="77777777" w:rsidR="00580AED" w:rsidRPr="00765998" w:rsidRDefault="00580AED" w:rsidP="00580AED">
      <w:pPr>
        <w:rPr>
          <w:rFonts w:eastAsia="SimSun"/>
          <w:szCs w:val="22"/>
        </w:rPr>
      </w:pPr>
      <w:r w:rsidRPr="00765998">
        <w:rPr>
          <w:rFonts w:eastAsia="SimSun"/>
          <w:szCs w:val="22"/>
        </w:rPr>
        <w:t>As the level of risk is considered negligible,</w:t>
      </w:r>
      <w:r w:rsidRPr="00765998" w:rsidDel="00DB4CC6">
        <w:rPr>
          <w:rFonts w:eastAsia="SimSun"/>
          <w:szCs w:val="22"/>
        </w:rPr>
        <w:t xml:space="preserve"> </w:t>
      </w:r>
      <w:r w:rsidRPr="00765998">
        <w:rPr>
          <w:rFonts w:eastAsia="SimSun"/>
          <w:szCs w:val="22"/>
        </w:rPr>
        <w:t xml:space="preserve">specific risk treatment is not required. However, since this is a clinical trial, the licence includes limits on the number of trial participants, </w:t>
      </w:r>
      <w:r w:rsidRPr="00765998">
        <w:rPr>
          <w:szCs w:val="22"/>
        </w:rPr>
        <w:t>types of facilities used and duration of the trial</w:t>
      </w:r>
      <w:r w:rsidRPr="00765998">
        <w:rPr>
          <w:rFonts w:eastAsia="SimSun"/>
          <w:szCs w:val="22"/>
        </w:rPr>
        <w:t xml:space="preserve">, as well as a range of controls to minimise the potential for the GMO to spread in the environment. In addition, there are several general conditions relating to ongoing licence holder suitability, </w:t>
      </w:r>
      <w:proofErr w:type="gramStart"/>
      <w:r w:rsidRPr="00765998">
        <w:rPr>
          <w:rFonts w:eastAsia="SimSun"/>
          <w:szCs w:val="22"/>
        </w:rPr>
        <w:t>auditing</w:t>
      </w:r>
      <w:proofErr w:type="gramEnd"/>
      <w:r w:rsidRPr="00765998">
        <w:rPr>
          <w:rFonts w:eastAsia="SimSun"/>
          <w:szCs w:val="22"/>
        </w:rPr>
        <w:t xml:space="preserve"> and monitoring, and reporting requirements which include an obligation to report any unintended effects.</w:t>
      </w:r>
    </w:p>
    <w:p w14:paraId="0D906966" w14:textId="77777777" w:rsidR="00BC4169" w:rsidRDefault="00422B44"/>
    <w:sectPr w:rsidR="00BC4169" w:rsidSect="006C0C33">
      <w:footerReference w:type="default" r:id="rId9"/>
      <w:headerReference w:type="first" r:id="rId10"/>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DAF1" w14:textId="77777777" w:rsidR="00580AED" w:rsidRDefault="00580AED" w:rsidP="00580AED">
      <w:pPr>
        <w:spacing w:before="0" w:after="0"/>
      </w:pPr>
      <w:r>
        <w:separator/>
      </w:r>
    </w:p>
  </w:endnote>
  <w:endnote w:type="continuationSeparator" w:id="0">
    <w:p w14:paraId="2360D634" w14:textId="77777777" w:rsidR="00580AED" w:rsidRDefault="00580AED" w:rsidP="00580A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9995" w14:textId="77777777" w:rsidR="00580AED" w:rsidRPr="00236287" w:rsidRDefault="00580AED" w:rsidP="00580AED">
    <w:pPr>
      <w:pBdr>
        <w:top w:val="single" w:sz="8" w:space="0" w:color="auto"/>
      </w:pBdr>
      <w:jc w:val="center"/>
      <w:rPr>
        <w:rFonts w:cs="Calibri"/>
        <w:noProof/>
        <w:sz w:val="20"/>
        <w:szCs w:val="20"/>
      </w:rPr>
    </w:pPr>
    <w:r w:rsidRPr="00236287">
      <w:rPr>
        <w:rFonts w:cs="Calibri"/>
        <w:noProof/>
        <w:sz w:val="20"/>
        <w:szCs w:val="20"/>
      </w:rPr>
      <w:t>Address: MDP 54 GPO Box 9848, Canberra ACT 2601  Website: www.ogtr.gov.au</w:t>
    </w:r>
  </w:p>
  <w:p w14:paraId="2B63863C" w14:textId="58FBD2BB" w:rsidR="00580AED" w:rsidRPr="00580AED" w:rsidRDefault="00580AED" w:rsidP="00580AED">
    <w:pPr>
      <w:pStyle w:val="Footer"/>
      <w:jc w:val="center"/>
      <w:rPr>
        <w:rFonts w:cs="Calibri"/>
        <w:sz w:val="20"/>
        <w:szCs w:val="20"/>
      </w:rP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CE25" w14:textId="77777777" w:rsidR="00580AED" w:rsidRDefault="00580AED" w:rsidP="00580AED">
      <w:pPr>
        <w:spacing w:before="0" w:after="0"/>
      </w:pPr>
      <w:r>
        <w:separator/>
      </w:r>
    </w:p>
  </w:footnote>
  <w:footnote w:type="continuationSeparator" w:id="0">
    <w:p w14:paraId="4EF276BC" w14:textId="77777777" w:rsidR="00580AED" w:rsidRDefault="00580AED" w:rsidP="00580AED">
      <w:pPr>
        <w:spacing w:before="0" w:after="0"/>
      </w:pPr>
      <w:r>
        <w:continuationSeparator/>
      </w:r>
    </w:p>
  </w:footnote>
  <w:footnote w:id="1">
    <w:p w14:paraId="18A3DB71" w14:textId="77777777" w:rsidR="00580AED" w:rsidRPr="0026559D" w:rsidRDefault="00580AED" w:rsidP="00580AED">
      <w:pPr>
        <w:pStyle w:val="FootnoteText"/>
        <w:rPr>
          <w:rFonts w:asciiTheme="minorHAnsi" w:hAnsiTheme="minorHAnsi" w:cstheme="minorHAnsi"/>
          <w:szCs w:val="22"/>
        </w:rPr>
      </w:pPr>
      <w:r w:rsidRPr="0026559D">
        <w:rPr>
          <w:rStyle w:val="FootnoteReference"/>
          <w:rFonts w:asciiTheme="minorHAnsi" w:hAnsiTheme="minorHAnsi" w:cstheme="minorHAnsi"/>
          <w:szCs w:val="22"/>
        </w:rPr>
        <w:footnoteRef/>
      </w:r>
      <w:r w:rsidRPr="0026559D">
        <w:rPr>
          <w:rFonts w:asciiTheme="minorHAnsi" w:hAnsiTheme="minorHAnsi" w:cstheme="minorHAnsi"/>
          <w:szCs w:val="22"/>
        </w:rPr>
        <w:t xml:space="preserve"> </w:t>
      </w:r>
      <w:r w:rsidRPr="00A96BFD">
        <w:rPr>
          <w:rFonts w:asciiTheme="minorHAnsi" w:hAnsiTheme="minorHAnsi" w:cstheme="minorHAnsi"/>
        </w:rPr>
        <w:t xml:space="preserve">The title of the project as supplied by the applicant is “A Phase I, Dose Escalation Safety and Tolerability Study of VAXINIA (CF33-hNIS), Administered Intratumorally or Intravenously as a Monotherapy or in Combination with Pembrolizumab in Adult Patients with </w:t>
      </w:r>
      <w:bookmarkStart w:id="19" w:name="_Hlk100836023"/>
      <w:r w:rsidRPr="00A96BFD">
        <w:rPr>
          <w:rFonts w:asciiTheme="minorHAnsi" w:hAnsiTheme="minorHAnsi" w:cstheme="minorHAnsi"/>
        </w:rPr>
        <w:t xml:space="preserve">Metastatic or </w:t>
      </w:r>
      <w:bookmarkEnd w:id="19"/>
      <w:r w:rsidRPr="00A96BFD">
        <w:rPr>
          <w:rFonts w:asciiTheme="minorHAnsi" w:hAnsiTheme="minorHAnsi" w:cstheme="minorHAnsi"/>
        </w:rPr>
        <w:t>Advanced Solid Tumors”</w:t>
      </w:r>
      <w:r>
        <w:rPr>
          <w:rFonts w:asciiTheme="minorHAnsi" w:hAnsiTheme="minorHAnsi" w:cstheme="minorHAnsi"/>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813A" w14:textId="39906B9F" w:rsidR="00580AED" w:rsidRDefault="00580AED">
    <w:pPr>
      <w:pStyle w:val="Header"/>
    </w:pPr>
    <w:r>
      <w:rPr>
        <w:noProof/>
      </w:rPr>
      <w:drawing>
        <wp:inline distT="0" distB="0" distL="0" distR="0" wp14:anchorId="7BFDCC13" wp14:editId="528B001E">
          <wp:extent cx="3348000" cy="767451"/>
          <wp:effectExtent l="0" t="0" r="508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747D7BBD" w14:textId="0C2FC785" w:rsidR="00580AED" w:rsidRDefault="00580AED" w:rsidP="00580AED">
    <w:pPr>
      <w:pStyle w:val="Header"/>
      <w:jc w:val="right"/>
    </w:pPr>
    <w:r>
      <w:t>15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D20CE1"/>
    <w:multiLevelType w:val="hybridMultilevel"/>
    <w:tmpl w:val="A160520A"/>
    <w:lvl w:ilvl="0" w:tplc="D0421B30">
      <w:start w:val="1"/>
      <w:numFmt w:val="bullet"/>
      <w:pStyle w:val="bulletedRARMP"/>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1" w15:restartNumberingAfterBreak="0">
    <w:nsid w:val="3A30062E"/>
    <w:multiLevelType w:val="multilevel"/>
    <w:tmpl w:val="4F889858"/>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3687"/>
        </w:tabs>
        <w:ind w:left="3403"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30D0491"/>
    <w:multiLevelType w:val="hybridMultilevel"/>
    <w:tmpl w:val="F75E6BBA"/>
    <w:lvl w:ilvl="0" w:tplc="2B1E796C">
      <w:start w:val="1"/>
      <w:numFmt w:val="decimal"/>
      <w:pStyle w:val="RARMPnumberedparagraphs"/>
      <w:lvlText w:val="%1."/>
      <w:lvlJc w:val="left"/>
      <w:pPr>
        <w:ind w:left="502"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ED"/>
    <w:rsid w:val="00153898"/>
    <w:rsid w:val="00401C93"/>
    <w:rsid w:val="00422B44"/>
    <w:rsid w:val="00580AED"/>
    <w:rsid w:val="006C0C33"/>
    <w:rsid w:val="00792E20"/>
    <w:rsid w:val="00AA4B03"/>
    <w:rsid w:val="00CA7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86B2A"/>
  <w15:chartTrackingRefBased/>
  <w15:docId w15:val="{A4753650-4619-488A-ADFD-9EFAA225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AED"/>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autoRedefine/>
    <w:qFormat/>
    <w:rsid w:val="00580AED"/>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580AED"/>
    <w:pPr>
      <w:keepNext/>
      <w:numPr>
        <w:ilvl w:val="1"/>
        <w:numId w:val="2"/>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580AED"/>
    <w:pPr>
      <w:keepNext/>
      <w:numPr>
        <w:ilvl w:val="2"/>
        <w:numId w:val="2"/>
      </w:numPr>
      <w:tabs>
        <w:tab w:val="left" w:pos="851"/>
      </w:tabs>
      <w:outlineLvl w:val="2"/>
    </w:pPr>
    <w:rPr>
      <w:rFonts w:ascii="Arial (W1)" w:hAnsi="Arial (W1)"/>
      <w:b/>
      <w:szCs w:val="20"/>
    </w:rPr>
  </w:style>
  <w:style w:type="paragraph" w:styleId="Heading4">
    <w:name w:val="heading 4"/>
    <w:basedOn w:val="Normal"/>
    <w:next w:val="Normal"/>
    <w:link w:val="Heading4Char"/>
    <w:qFormat/>
    <w:rsid w:val="00580AED"/>
    <w:pPr>
      <w:keepNext/>
      <w:numPr>
        <w:ilvl w:val="3"/>
        <w:numId w:val="2"/>
      </w:numPr>
      <w:tabs>
        <w:tab w:val="left" w:pos="851"/>
      </w:tabs>
      <w:outlineLvl w:val="3"/>
    </w:pPr>
    <w:rPr>
      <w:rFonts w:ascii="Arial (W1)" w:hAnsi="Arial (W1)"/>
      <w:b/>
      <w:i/>
      <w:szCs w:val="22"/>
    </w:rPr>
  </w:style>
  <w:style w:type="paragraph" w:styleId="Heading5">
    <w:name w:val="heading 5"/>
    <w:basedOn w:val="Normal"/>
    <w:next w:val="Normal"/>
    <w:link w:val="Heading5Char"/>
    <w:qFormat/>
    <w:rsid w:val="00580AED"/>
    <w:pPr>
      <w:keepNext/>
      <w:numPr>
        <w:ilvl w:val="4"/>
        <w:numId w:val="2"/>
      </w:numPr>
      <w:spacing w:before="240" w:after="60"/>
      <w:outlineLvl w:val="4"/>
    </w:pPr>
    <w:rPr>
      <w:bCs/>
      <w:iCs/>
      <w:u w:val="single"/>
    </w:rPr>
  </w:style>
  <w:style w:type="paragraph" w:styleId="Heading6">
    <w:name w:val="heading 6"/>
    <w:basedOn w:val="Normal"/>
    <w:next w:val="Normal"/>
    <w:link w:val="Heading6Char"/>
    <w:unhideWhenUsed/>
    <w:qFormat/>
    <w:rsid w:val="00580AED"/>
    <w:pPr>
      <w:numPr>
        <w:ilvl w:val="5"/>
        <w:numId w:val="2"/>
      </w:numPr>
      <w:spacing w:before="240" w:after="60"/>
      <w:outlineLvl w:val="5"/>
    </w:pPr>
    <w:rPr>
      <w:b/>
      <w:bCs/>
      <w:szCs w:val="22"/>
    </w:rPr>
  </w:style>
  <w:style w:type="paragraph" w:styleId="Heading7">
    <w:name w:val="heading 7"/>
    <w:basedOn w:val="Normal"/>
    <w:next w:val="Normal"/>
    <w:link w:val="Heading7Char"/>
    <w:unhideWhenUsed/>
    <w:qFormat/>
    <w:rsid w:val="00580AED"/>
    <w:pPr>
      <w:numPr>
        <w:ilvl w:val="6"/>
        <w:numId w:val="2"/>
      </w:numPr>
      <w:spacing w:before="240" w:after="60"/>
      <w:outlineLvl w:val="6"/>
    </w:pPr>
  </w:style>
  <w:style w:type="paragraph" w:styleId="Heading8">
    <w:name w:val="heading 8"/>
    <w:basedOn w:val="Normal"/>
    <w:next w:val="Normal"/>
    <w:link w:val="Heading8Char"/>
    <w:qFormat/>
    <w:rsid w:val="00580AED"/>
    <w:pPr>
      <w:numPr>
        <w:ilvl w:val="7"/>
        <w:numId w:val="2"/>
      </w:numPr>
      <w:spacing w:before="240" w:after="60"/>
      <w:outlineLvl w:val="7"/>
    </w:pPr>
    <w:rPr>
      <w:i/>
      <w:iCs/>
    </w:rPr>
  </w:style>
  <w:style w:type="paragraph" w:styleId="Heading9">
    <w:name w:val="heading 9"/>
    <w:basedOn w:val="Normal"/>
    <w:next w:val="Normal"/>
    <w:link w:val="Heading9Char"/>
    <w:unhideWhenUsed/>
    <w:qFormat/>
    <w:rsid w:val="00580AED"/>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AED"/>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580AED"/>
    <w:rPr>
      <w:rFonts w:ascii="Calibri" w:eastAsia="Times New Roman" w:hAnsi="Calibri" w:cs="Times New Roman"/>
      <w:b/>
      <w:i/>
      <w:sz w:val="28"/>
      <w:szCs w:val="28"/>
      <w:lang w:eastAsia="en-AU"/>
    </w:rPr>
  </w:style>
  <w:style w:type="character" w:customStyle="1" w:styleId="Heading3Char">
    <w:name w:val="Heading 3 Char"/>
    <w:basedOn w:val="DefaultParagraphFont"/>
    <w:link w:val="Heading3"/>
    <w:rsid w:val="00580AED"/>
    <w:rPr>
      <w:rFonts w:ascii="Arial (W1)" w:eastAsia="Times New Roman" w:hAnsi="Arial (W1)" w:cs="Times New Roman"/>
      <w:b/>
      <w:szCs w:val="20"/>
      <w:lang w:eastAsia="en-AU"/>
    </w:rPr>
  </w:style>
  <w:style w:type="character" w:customStyle="1" w:styleId="Heading4Char">
    <w:name w:val="Heading 4 Char"/>
    <w:basedOn w:val="DefaultParagraphFont"/>
    <w:link w:val="Heading4"/>
    <w:rsid w:val="00580AED"/>
    <w:rPr>
      <w:rFonts w:ascii="Arial (W1)" w:eastAsia="Times New Roman" w:hAnsi="Arial (W1)" w:cs="Times New Roman"/>
      <w:b/>
      <w:i/>
      <w:lang w:eastAsia="en-AU"/>
    </w:rPr>
  </w:style>
  <w:style w:type="character" w:customStyle="1" w:styleId="Heading5Char">
    <w:name w:val="Heading 5 Char"/>
    <w:basedOn w:val="DefaultParagraphFont"/>
    <w:link w:val="Heading5"/>
    <w:rsid w:val="00580AED"/>
    <w:rPr>
      <w:rFonts w:ascii="Calibri" w:eastAsia="Times New Roman" w:hAnsi="Calibri" w:cs="Times New Roman"/>
      <w:bCs/>
      <w:iCs/>
      <w:szCs w:val="24"/>
      <w:u w:val="single"/>
      <w:lang w:eastAsia="en-AU"/>
    </w:rPr>
  </w:style>
  <w:style w:type="character" w:customStyle="1" w:styleId="Heading6Char">
    <w:name w:val="Heading 6 Char"/>
    <w:basedOn w:val="DefaultParagraphFont"/>
    <w:link w:val="Heading6"/>
    <w:rsid w:val="00580AED"/>
    <w:rPr>
      <w:rFonts w:ascii="Calibri" w:eastAsia="Times New Roman" w:hAnsi="Calibri" w:cs="Times New Roman"/>
      <w:b/>
      <w:bCs/>
      <w:lang w:eastAsia="en-AU"/>
    </w:rPr>
  </w:style>
  <w:style w:type="character" w:customStyle="1" w:styleId="Heading7Char">
    <w:name w:val="Heading 7 Char"/>
    <w:basedOn w:val="DefaultParagraphFont"/>
    <w:link w:val="Heading7"/>
    <w:rsid w:val="00580AED"/>
    <w:rPr>
      <w:rFonts w:ascii="Calibri" w:eastAsia="Times New Roman" w:hAnsi="Calibri" w:cs="Times New Roman"/>
      <w:szCs w:val="24"/>
      <w:lang w:eastAsia="en-AU"/>
    </w:rPr>
  </w:style>
  <w:style w:type="character" w:customStyle="1" w:styleId="Heading8Char">
    <w:name w:val="Heading 8 Char"/>
    <w:basedOn w:val="DefaultParagraphFont"/>
    <w:link w:val="Heading8"/>
    <w:rsid w:val="00580AED"/>
    <w:rPr>
      <w:rFonts w:ascii="Calibri" w:eastAsia="Times New Roman" w:hAnsi="Calibri" w:cs="Times New Roman"/>
      <w:i/>
      <w:iCs/>
      <w:szCs w:val="24"/>
      <w:lang w:eastAsia="en-AU"/>
    </w:rPr>
  </w:style>
  <w:style w:type="character" w:customStyle="1" w:styleId="Heading9Char">
    <w:name w:val="Heading 9 Char"/>
    <w:basedOn w:val="DefaultParagraphFont"/>
    <w:link w:val="Heading9"/>
    <w:rsid w:val="00580AED"/>
    <w:rPr>
      <w:rFonts w:ascii="Arial" w:eastAsia="Times New Roman" w:hAnsi="Arial" w:cs="Arial"/>
      <w:lang w:eastAsia="en-AU"/>
    </w:rPr>
  </w:style>
  <w:style w:type="character" w:styleId="FootnoteReference">
    <w:name w:val="footnote reference"/>
    <w:rsid w:val="00580AED"/>
    <w:rPr>
      <w:vertAlign w:val="superscript"/>
    </w:rPr>
  </w:style>
  <w:style w:type="paragraph" w:customStyle="1" w:styleId="RARMPnumberedparagraphs">
    <w:name w:val="RARMP numbered paragraphs"/>
    <w:basedOn w:val="ListParagraph"/>
    <w:link w:val="RARMPnumberedparagraphsChar"/>
    <w:qFormat/>
    <w:rsid w:val="00580AED"/>
    <w:pPr>
      <w:numPr>
        <w:numId w:val="1"/>
      </w:numPr>
      <w:tabs>
        <w:tab w:val="num" w:pos="567"/>
      </w:tabs>
      <w:ind w:left="0" w:firstLine="0"/>
    </w:pPr>
    <w:rPr>
      <w:rFonts w:eastAsia="Times New Roman" w:cs="Times New Roman"/>
      <w:lang w:eastAsia="en-AU"/>
    </w:rPr>
  </w:style>
  <w:style w:type="character" w:styleId="Hyperlink">
    <w:name w:val="Hyperlink"/>
    <w:basedOn w:val="DefaultParagraphFont"/>
    <w:uiPriority w:val="99"/>
    <w:rsid w:val="00580AED"/>
    <w:rPr>
      <w:u w:val="single"/>
    </w:rPr>
  </w:style>
  <w:style w:type="character" w:customStyle="1" w:styleId="ListParagraphChar">
    <w:name w:val="List Paragraph Char"/>
    <w:basedOn w:val="DefaultParagraphFont"/>
    <w:link w:val="ListParagraph"/>
    <w:uiPriority w:val="34"/>
    <w:rsid w:val="00580AED"/>
    <w:rPr>
      <w:rFonts w:ascii="Calibri" w:hAnsi="Calibri"/>
      <w:szCs w:val="24"/>
    </w:rPr>
  </w:style>
  <w:style w:type="character" w:customStyle="1" w:styleId="RARMPnumberedparagraphsChar">
    <w:name w:val="RARMP numbered paragraphs Char"/>
    <w:basedOn w:val="ListParagraphChar"/>
    <w:link w:val="RARMPnumberedparagraphs"/>
    <w:rsid w:val="00580AED"/>
    <w:rPr>
      <w:rFonts w:ascii="Calibri" w:eastAsia="Times New Roman" w:hAnsi="Calibri" w:cs="Times New Roman"/>
      <w:szCs w:val="24"/>
      <w:lang w:eastAsia="en-AU"/>
    </w:rPr>
  </w:style>
  <w:style w:type="paragraph" w:styleId="ListParagraph">
    <w:name w:val="List Paragraph"/>
    <w:basedOn w:val="Normal"/>
    <w:link w:val="ListParagraphChar"/>
    <w:uiPriority w:val="34"/>
    <w:qFormat/>
    <w:rsid w:val="00580AED"/>
    <w:pPr>
      <w:ind w:left="720"/>
    </w:pPr>
    <w:rPr>
      <w:rFonts w:eastAsiaTheme="minorHAnsi" w:cstheme="minorBidi"/>
      <w:lang w:eastAsia="en-US"/>
    </w:rPr>
  </w:style>
  <w:style w:type="paragraph" w:styleId="FootnoteText">
    <w:name w:val="footnote text"/>
    <w:basedOn w:val="Normal"/>
    <w:link w:val="FootnoteTextChar"/>
    <w:rsid w:val="00580AED"/>
    <w:pPr>
      <w:spacing w:before="0" w:after="0"/>
    </w:pPr>
    <w:rPr>
      <w:sz w:val="20"/>
      <w:szCs w:val="20"/>
    </w:rPr>
  </w:style>
  <w:style w:type="character" w:customStyle="1" w:styleId="FootnoteTextChar">
    <w:name w:val="Footnote Text Char"/>
    <w:basedOn w:val="DefaultParagraphFont"/>
    <w:link w:val="FootnoteText"/>
    <w:rsid w:val="00580AED"/>
    <w:rPr>
      <w:rFonts w:ascii="Calibri" w:eastAsia="Times New Roman" w:hAnsi="Calibri" w:cs="Times New Roman"/>
      <w:sz w:val="20"/>
      <w:szCs w:val="20"/>
      <w:lang w:eastAsia="en-AU"/>
    </w:rPr>
  </w:style>
  <w:style w:type="paragraph" w:customStyle="1" w:styleId="RIGHTLIST">
    <w:name w:val="RIGHTLIST"/>
    <w:basedOn w:val="Normal"/>
    <w:link w:val="RIGHTLISTChar"/>
    <w:rsid w:val="00580AED"/>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580AED"/>
    <w:rPr>
      <w:rFonts w:ascii="Times New Roman" w:eastAsia="Times New Roman" w:hAnsi="Times New Roman" w:cs="Times New Roman"/>
      <w:lang w:eastAsia="en-AU"/>
    </w:rPr>
  </w:style>
  <w:style w:type="paragraph" w:customStyle="1" w:styleId="LEFTLIST">
    <w:name w:val="LEFTLIST"/>
    <w:basedOn w:val="Heading1"/>
    <w:rsid w:val="00580AED"/>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paragraph" w:customStyle="1" w:styleId="bulletedRARMP">
    <w:name w:val="bulleted RARMP"/>
    <w:basedOn w:val="ListParagraph"/>
    <w:qFormat/>
    <w:rsid w:val="00580AED"/>
    <w:pPr>
      <w:numPr>
        <w:numId w:val="3"/>
      </w:numPr>
      <w:tabs>
        <w:tab w:val="num" w:pos="360"/>
        <w:tab w:val="left" w:pos="5670"/>
        <w:tab w:val="left" w:pos="6946"/>
        <w:tab w:val="left" w:pos="7655"/>
      </w:tabs>
      <w:ind w:left="709" w:hanging="357"/>
    </w:pPr>
    <w:rPr>
      <w:rFonts w:asciiTheme="minorHAnsi" w:hAnsiTheme="minorHAnsi" w:cstheme="minorHAnsi"/>
      <w:noProof/>
      <w:szCs w:val="22"/>
    </w:rPr>
  </w:style>
  <w:style w:type="paragraph" w:styleId="Header">
    <w:name w:val="header"/>
    <w:basedOn w:val="Normal"/>
    <w:link w:val="HeaderChar"/>
    <w:uiPriority w:val="99"/>
    <w:unhideWhenUsed/>
    <w:rsid w:val="00580AED"/>
    <w:pPr>
      <w:tabs>
        <w:tab w:val="center" w:pos="4513"/>
        <w:tab w:val="right" w:pos="9026"/>
      </w:tabs>
      <w:spacing w:before="0" w:after="0"/>
    </w:pPr>
  </w:style>
  <w:style w:type="character" w:customStyle="1" w:styleId="HeaderChar">
    <w:name w:val="Header Char"/>
    <w:basedOn w:val="DefaultParagraphFont"/>
    <w:link w:val="Header"/>
    <w:uiPriority w:val="99"/>
    <w:rsid w:val="00580AED"/>
    <w:rPr>
      <w:rFonts w:ascii="Calibri" w:eastAsia="Times New Roman" w:hAnsi="Calibri" w:cs="Times New Roman"/>
      <w:szCs w:val="24"/>
      <w:lang w:eastAsia="en-AU"/>
    </w:rPr>
  </w:style>
  <w:style w:type="paragraph" w:styleId="Footer">
    <w:name w:val="footer"/>
    <w:basedOn w:val="Normal"/>
    <w:link w:val="FooterChar"/>
    <w:uiPriority w:val="99"/>
    <w:unhideWhenUsed/>
    <w:rsid w:val="00580AED"/>
    <w:pPr>
      <w:tabs>
        <w:tab w:val="center" w:pos="4513"/>
        <w:tab w:val="right" w:pos="9026"/>
      </w:tabs>
      <w:spacing w:before="0" w:after="0"/>
    </w:pPr>
  </w:style>
  <w:style w:type="character" w:customStyle="1" w:styleId="FooterChar">
    <w:name w:val="Footer Char"/>
    <w:basedOn w:val="DefaultParagraphFont"/>
    <w:link w:val="Footer"/>
    <w:uiPriority w:val="99"/>
    <w:rsid w:val="00580AED"/>
    <w:rPr>
      <w:rFonts w:ascii="Calibri" w:eastAsia="Times New Roman"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192 - Summary of Risk Assessment and Risk Management Plan</dc:title>
  <dc:subject/>
  <dc:creator>OGTR.Voicemail@health.gov.au</dc:creator>
  <cp:keywords/>
  <dc:description/>
  <cp:lastModifiedBy>SMITH, Justine</cp:lastModifiedBy>
  <cp:revision>2</cp:revision>
  <dcterms:created xsi:type="dcterms:W3CDTF">2022-09-19T02:30:00Z</dcterms:created>
  <dcterms:modified xsi:type="dcterms:W3CDTF">2022-09-19T02:30:00Z</dcterms:modified>
</cp:coreProperties>
</file>