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933089" w14:textId="312684DB" w:rsidR="00280050" w:rsidRPr="002E6244" w:rsidRDefault="002F4463">
      <w:pPr>
        <w:rPr>
          <w:b/>
          <w:sz w:val="22"/>
          <w:szCs w:val="22"/>
        </w:rPr>
      </w:pPr>
      <w:r w:rsidRPr="002E6244">
        <w:rPr>
          <w:b/>
          <w:sz w:val="22"/>
          <w:szCs w:val="22"/>
        </w:rPr>
        <w:t xml:space="preserve">Quarterly activities report for </w:t>
      </w:r>
      <w:r w:rsidR="009758EA" w:rsidRPr="002E6244">
        <w:rPr>
          <w:b/>
          <w:sz w:val="22"/>
          <w:szCs w:val="22"/>
        </w:rPr>
        <w:t>January</w:t>
      </w:r>
      <w:r w:rsidR="000A1450" w:rsidRPr="002E6244">
        <w:rPr>
          <w:b/>
          <w:sz w:val="22"/>
          <w:szCs w:val="22"/>
        </w:rPr>
        <w:t xml:space="preserve"> </w:t>
      </w:r>
      <w:r w:rsidR="006B7FE0" w:rsidRPr="002E6244">
        <w:rPr>
          <w:b/>
          <w:sz w:val="22"/>
          <w:szCs w:val="22"/>
        </w:rPr>
        <w:t xml:space="preserve">– </w:t>
      </w:r>
      <w:r w:rsidR="009758EA" w:rsidRPr="002E6244">
        <w:rPr>
          <w:b/>
          <w:sz w:val="22"/>
          <w:szCs w:val="22"/>
        </w:rPr>
        <w:t>March</w:t>
      </w:r>
      <w:r w:rsidR="000A1450" w:rsidRPr="002E6244">
        <w:rPr>
          <w:b/>
          <w:sz w:val="22"/>
          <w:szCs w:val="22"/>
        </w:rPr>
        <w:t xml:space="preserve"> </w:t>
      </w:r>
      <w:r w:rsidR="009E2710" w:rsidRPr="002E6244">
        <w:rPr>
          <w:b/>
          <w:sz w:val="22"/>
          <w:szCs w:val="22"/>
        </w:rPr>
        <w:t>202</w:t>
      </w:r>
      <w:r w:rsidR="009758EA" w:rsidRPr="002E6244">
        <w:rPr>
          <w:b/>
          <w:sz w:val="22"/>
          <w:szCs w:val="22"/>
        </w:rPr>
        <w:t>2</w:t>
      </w:r>
    </w:p>
    <w:p w14:paraId="1AB0B2E2" w14:textId="4260C2F1" w:rsidR="005A4DAF" w:rsidRPr="002E6244" w:rsidRDefault="002F4463" w:rsidP="005A4DAF">
      <w:pPr>
        <w:spacing w:before="120" w:after="120"/>
        <w:rPr>
          <w:sz w:val="22"/>
          <w:szCs w:val="22"/>
        </w:rPr>
      </w:pPr>
      <w:r w:rsidRPr="002E6244">
        <w:rPr>
          <w:sz w:val="22"/>
          <w:szCs w:val="22"/>
        </w:rPr>
        <w:t>The quarterly activities include details of monitoring and compliance activities by the Office of the Gene Technology Regulator (OGTR) during the quarter</w:t>
      </w:r>
      <w:r w:rsidR="005A4DAF" w:rsidRPr="002E6244">
        <w:rPr>
          <w:sz w:val="22"/>
          <w:szCs w:val="22"/>
        </w:rPr>
        <w:t>. Due to the COVID-19 pandemic travel restrictions</w:t>
      </w:r>
      <w:r w:rsidR="00056109" w:rsidRPr="002E6244">
        <w:rPr>
          <w:sz w:val="22"/>
          <w:szCs w:val="22"/>
        </w:rPr>
        <w:t>,</w:t>
      </w:r>
      <w:r w:rsidR="00577816" w:rsidRPr="002E6244">
        <w:rPr>
          <w:sz w:val="22"/>
          <w:szCs w:val="22"/>
        </w:rPr>
        <w:t xml:space="preserve"> </w:t>
      </w:r>
      <w:r w:rsidR="00056109" w:rsidRPr="002E6244">
        <w:rPr>
          <w:sz w:val="22"/>
          <w:szCs w:val="22"/>
        </w:rPr>
        <w:t xml:space="preserve">a few of </w:t>
      </w:r>
      <w:r w:rsidR="000A1450" w:rsidRPr="002E6244">
        <w:rPr>
          <w:sz w:val="22"/>
          <w:szCs w:val="22"/>
        </w:rPr>
        <w:t xml:space="preserve">the </w:t>
      </w:r>
      <w:r w:rsidR="005A4DAF" w:rsidRPr="002E6244">
        <w:rPr>
          <w:sz w:val="22"/>
          <w:szCs w:val="22"/>
        </w:rPr>
        <w:t>monitoring and compliance activities for this quarter were conducted in a desktop capacity.</w:t>
      </w:r>
    </w:p>
    <w:p w14:paraId="068F3A31" w14:textId="77777777" w:rsidR="002F4463" w:rsidRPr="00BF766F" w:rsidRDefault="002F4463" w:rsidP="002F4463">
      <w:pPr>
        <w:pStyle w:val="Default"/>
        <w:rPr>
          <w:color w:val="auto"/>
          <w:sz w:val="22"/>
          <w:szCs w:val="22"/>
        </w:rPr>
      </w:pPr>
    </w:p>
    <w:p w14:paraId="3FB8182F" w14:textId="4804DCBC" w:rsidR="002F4463" w:rsidRPr="00BF766F" w:rsidRDefault="002F4463" w:rsidP="002F4463">
      <w:pPr>
        <w:rPr>
          <w:b/>
          <w:bCs/>
          <w:sz w:val="22"/>
          <w:szCs w:val="22"/>
        </w:rPr>
      </w:pPr>
      <w:r w:rsidRPr="00BF766F">
        <w:rPr>
          <w:b/>
          <w:bCs/>
          <w:sz w:val="22"/>
          <w:szCs w:val="22"/>
        </w:rPr>
        <w:t>Monitoring of GMO Dealings involving Intentional Release (DIR)</w:t>
      </w:r>
    </w:p>
    <w:p w14:paraId="6284B43E" w14:textId="77777777" w:rsidR="00D56738" w:rsidRPr="00BF766F" w:rsidRDefault="00D56738" w:rsidP="00D56738">
      <w:pPr>
        <w:rPr>
          <w:b/>
          <w:bCs/>
        </w:rPr>
      </w:pPr>
      <w:r w:rsidRPr="00BF766F">
        <w:t xml:space="preserve">During the quarter the OGTR did not inspect any </w:t>
      </w:r>
      <w:r w:rsidRPr="00BF766F">
        <w:rPr>
          <w:bCs/>
        </w:rPr>
        <w:t>GM plant field trial sites.</w:t>
      </w:r>
      <w:r w:rsidRPr="00BF766F">
        <w:rPr>
          <w:b/>
          <w:bCs/>
        </w:rPr>
        <w:t xml:space="preserve"> </w:t>
      </w:r>
    </w:p>
    <w:p w14:paraId="346F2CFA" w14:textId="77777777" w:rsidR="00F675D4" w:rsidRPr="00BF766F" w:rsidRDefault="00F675D4" w:rsidP="00340117">
      <w:pPr>
        <w:pStyle w:val="Default"/>
        <w:rPr>
          <w:b/>
          <w:bCs/>
          <w:color w:val="auto"/>
          <w:sz w:val="22"/>
          <w:szCs w:val="22"/>
        </w:rPr>
      </w:pPr>
    </w:p>
    <w:p w14:paraId="3B45D40E" w14:textId="25654F99" w:rsidR="00BC3739" w:rsidRPr="002E6244" w:rsidRDefault="00BC3739" w:rsidP="002F4463">
      <w:pPr>
        <w:rPr>
          <w:b/>
          <w:bCs/>
          <w:sz w:val="22"/>
          <w:szCs w:val="22"/>
        </w:rPr>
      </w:pPr>
      <w:r w:rsidRPr="002E6244">
        <w:rPr>
          <w:b/>
          <w:bCs/>
          <w:sz w:val="22"/>
          <w:szCs w:val="22"/>
        </w:rPr>
        <w:t>Monitoring of GMO Dealings Not involving Intentional Release (DNIR), certified facilities and DIR clinical trials</w:t>
      </w:r>
    </w:p>
    <w:p w14:paraId="78F6938B" w14:textId="0DEF9884" w:rsidR="003D4225" w:rsidRPr="002E6244" w:rsidRDefault="003D4225" w:rsidP="002F4463">
      <w:pPr>
        <w:rPr>
          <w:bCs/>
          <w:sz w:val="22"/>
          <w:szCs w:val="22"/>
        </w:rPr>
      </w:pPr>
      <w:r w:rsidRPr="002E6244">
        <w:rPr>
          <w:bCs/>
          <w:sz w:val="22"/>
          <w:szCs w:val="22"/>
        </w:rPr>
        <w:t>During the quarter</w:t>
      </w:r>
      <w:r w:rsidR="006258DF" w:rsidRPr="002E6244">
        <w:rPr>
          <w:bCs/>
          <w:sz w:val="22"/>
          <w:szCs w:val="22"/>
        </w:rPr>
        <w:t>,</w:t>
      </w:r>
      <w:r w:rsidRPr="002E6244">
        <w:rPr>
          <w:bCs/>
          <w:sz w:val="22"/>
          <w:szCs w:val="22"/>
        </w:rPr>
        <w:t xml:space="preserve"> </w:t>
      </w:r>
      <w:r w:rsidR="008D7F41" w:rsidRPr="002E6244">
        <w:rPr>
          <w:bCs/>
          <w:sz w:val="22"/>
          <w:szCs w:val="22"/>
        </w:rPr>
        <w:t xml:space="preserve">the </w:t>
      </w:r>
      <w:r w:rsidRPr="002E6244">
        <w:rPr>
          <w:bCs/>
          <w:sz w:val="22"/>
          <w:szCs w:val="22"/>
        </w:rPr>
        <w:t xml:space="preserve">OGTR inspected </w:t>
      </w:r>
      <w:r w:rsidR="00CA1A02">
        <w:rPr>
          <w:b/>
          <w:bCs/>
          <w:sz w:val="22"/>
          <w:szCs w:val="22"/>
        </w:rPr>
        <w:t>two</w:t>
      </w:r>
      <w:r w:rsidRPr="002E6244">
        <w:rPr>
          <w:b/>
          <w:bCs/>
          <w:sz w:val="22"/>
          <w:szCs w:val="22"/>
        </w:rPr>
        <w:t xml:space="preserve"> </w:t>
      </w:r>
      <w:r w:rsidRPr="002E6244">
        <w:rPr>
          <w:bCs/>
          <w:sz w:val="22"/>
          <w:szCs w:val="22"/>
        </w:rPr>
        <w:t>organisation</w:t>
      </w:r>
      <w:r w:rsidR="00CA1A02">
        <w:rPr>
          <w:bCs/>
          <w:sz w:val="22"/>
          <w:szCs w:val="22"/>
        </w:rPr>
        <w:t>s</w:t>
      </w:r>
      <w:r w:rsidRPr="002E6244">
        <w:rPr>
          <w:bCs/>
          <w:sz w:val="22"/>
          <w:szCs w:val="22"/>
        </w:rPr>
        <w:t xml:space="preserve"> holding certified facilities (</w:t>
      </w:r>
      <w:r w:rsidR="00F023EF" w:rsidRPr="002E6244">
        <w:rPr>
          <w:b/>
          <w:bCs/>
          <w:sz w:val="22"/>
          <w:szCs w:val="22"/>
        </w:rPr>
        <w:t xml:space="preserve">Table </w:t>
      </w:r>
      <w:r w:rsidR="00CA5BB3" w:rsidRPr="002E6244">
        <w:rPr>
          <w:b/>
          <w:bCs/>
          <w:sz w:val="22"/>
          <w:szCs w:val="22"/>
        </w:rPr>
        <w:t>1</w:t>
      </w:r>
      <w:r w:rsidRPr="002E6244">
        <w:rPr>
          <w:b/>
          <w:bCs/>
          <w:sz w:val="22"/>
          <w:szCs w:val="22"/>
        </w:rPr>
        <w:t xml:space="preserve">) </w:t>
      </w:r>
      <w:r w:rsidRPr="002E6244">
        <w:rPr>
          <w:bCs/>
          <w:sz w:val="22"/>
          <w:szCs w:val="22"/>
        </w:rPr>
        <w:t xml:space="preserve">and </w:t>
      </w:r>
      <w:r w:rsidR="00CA5BB3" w:rsidRPr="002E6244">
        <w:rPr>
          <w:b/>
          <w:bCs/>
          <w:sz w:val="22"/>
          <w:szCs w:val="22"/>
        </w:rPr>
        <w:t>one</w:t>
      </w:r>
      <w:r w:rsidRPr="002E6244">
        <w:rPr>
          <w:bCs/>
          <w:sz w:val="22"/>
          <w:szCs w:val="22"/>
        </w:rPr>
        <w:t xml:space="preserve"> DNIR</w:t>
      </w:r>
      <w:r w:rsidR="00D67E34" w:rsidRPr="002E6244">
        <w:rPr>
          <w:bCs/>
          <w:sz w:val="22"/>
          <w:szCs w:val="22"/>
        </w:rPr>
        <w:t xml:space="preserve"> </w:t>
      </w:r>
      <w:r w:rsidRPr="002E6244">
        <w:rPr>
          <w:bCs/>
          <w:sz w:val="22"/>
          <w:szCs w:val="22"/>
        </w:rPr>
        <w:t>licence (</w:t>
      </w:r>
      <w:r w:rsidR="00F023EF" w:rsidRPr="002E6244">
        <w:rPr>
          <w:b/>
          <w:bCs/>
          <w:sz w:val="22"/>
          <w:szCs w:val="22"/>
        </w:rPr>
        <w:t xml:space="preserve">Table </w:t>
      </w:r>
      <w:r w:rsidR="00CA5BB3" w:rsidRPr="002E6244">
        <w:rPr>
          <w:b/>
          <w:bCs/>
          <w:sz w:val="22"/>
          <w:szCs w:val="22"/>
        </w:rPr>
        <w:t>2</w:t>
      </w:r>
      <w:r w:rsidRPr="002E6244">
        <w:rPr>
          <w:bCs/>
          <w:sz w:val="22"/>
          <w:szCs w:val="22"/>
        </w:rPr>
        <w:t xml:space="preserve">). </w:t>
      </w:r>
    </w:p>
    <w:p w14:paraId="25186192" w14:textId="77B2874F" w:rsidR="00E2174B" w:rsidRPr="002E6244" w:rsidRDefault="009E2710" w:rsidP="002F4463">
      <w:pPr>
        <w:rPr>
          <w:sz w:val="22"/>
          <w:szCs w:val="22"/>
        </w:rPr>
      </w:pPr>
      <w:r w:rsidRPr="002E6244">
        <w:rPr>
          <w:sz w:val="22"/>
          <w:szCs w:val="22"/>
        </w:rPr>
        <w:t xml:space="preserve">Table </w:t>
      </w:r>
      <w:r w:rsidR="00CA5BB3" w:rsidRPr="002E6244">
        <w:rPr>
          <w:sz w:val="22"/>
          <w:szCs w:val="22"/>
        </w:rPr>
        <w:t>1</w:t>
      </w:r>
      <w:r w:rsidR="003D4225" w:rsidRPr="002E6244">
        <w:rPr>
          <w:sz w:val="22"/>
          <w:szCs w:val="22"/>
        </w:rPr>
        <w:t xml:space="preserve"> – Summary of organisations and facility types that the OGTR inspected for the </w:t>
      </w:r>
      <w:r w:rsidR="00CA5BB3" w:rsidRPr="002E6244">
        <w:rPr>
          <w:sz w:val="22"/>
          <w:szCs w:val="22"/>
        </w:rPr>
        <w:t>January</w:t>
      </w:r>
      <w:r w:rsidR="000A1450" w:rsidRPr="002E6244">
        <w:rPr>
          <w:sz w:val="22"/>
          <w:szCs w:val="22"/>
        </w:rPr>
        <w:t xml:space="preserve"> </w:t>
      </w:r>
      <w:r w:rsidR="006B7FE0" w:rsidRPr="002E6244">
        <w:rPr>
          <w:sz w:val="22"/>
          <w:szCs w:val="22"/>
        </w:rPr>
        <w:t xml:space="preserve">– </w:t>
      </w:r>
      <w:r w:rsidR="00CA5BB3" w:rsidRPr="002E6244">
        <w:rPr>
          <w:sz w:val="22"/>
          <w:szCs w:val="22"/>
        </w:rPr>
        <w:t>March</w:t>
      </w:r>
      <w:r w:rsidR="000A1450" w:rsidRPr="002E6244">
        <w:rPr>
          <w:sz w:val="22"/>
          <w:szCs w:val="22"/>
        </w:rPr>
        <w:t xml:space="preserve"> </w:t>
      </w:r>
      <w:r w:rsidR="00AD577C" w:rsidRPr="002E6244">
        <w:rPr>
          <w:sz w:val="22"/>
          <w:szCs w:val="22"/>
        </w:rPr>
        <w:t>202</w:t>
      </w:r>
      <w:r w:rsidR="00CA5BB3" w:rsidRPr="002E6244">
        <w:rPr>
          <w:sz w:val="22"/>
          <w:szCs w:val="22"/>
        </w:rPr>
        <w:t>2</w:t>
      </w:r>
      <w:r w:rsidR="00AD577C" w:rsidRPr="002E6244">
        <w:rPr>
          <w:sz w:val="22"/>
          <w:szCs w:val="22"/>
        </w:rPr>
        <w:t xml:space="preserve"> </w:t>
      </w:r>
      <w:r w:rsidR="003D4225" w:rsidRPr="002E6244">
        <w:rPr>
          <w:sz w:val="22"/>
          <w:szCs w:val="22"/>
        </w:rPr>
        <w:t>quarter.</w:t>
      </w:r>
    </w:p>
    <w:tbl>
      <w:tblPr>
        <w:tblStyle w:val="TableSimple1"/>
        <w:tblW w:w="0" w:type="auto"/>
        <w:tblBorders>
          <w:insideH w:val="single" w:sz="12" w:space="0" w:color="008000"/>
        </w:tblBorders>
        <w:tblLook w:val="01E0" w:firstRow="1" w:lastRow="1" w:firstColumn="1" w:lastColumn="1" w:noHBand="0" w:noVBand="0"/>
        <w:tblCaption w:val="Table 2 – Summary of organisations and facility types that the OGTR inspected for the Jan – Mar 2018 quarter. "/>
        <w:tblDescription w:val="This table contains six rows and three columns. Column one is organisation, column two is PC level and column three is number of facilities monitored"/>
      </w:tblPr>
      <w:tblGrid>
        <w:gridCol w:w="4536"/>
        <w:gridCol w:w="2235"/>
        <w:gridCol w:w="2255"/>
      </w:tblGrid>
      <w:tr w:rsidR="00CA5BB3" w:rsidRPr="002E6244" w14:paraId="47A16366" w14:textId="77777777" w:rsidTr="00711E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536" w:type="dxa"/>
          </w:tcPr>
          <w:p w14:paraId="11EFBB72" w14:textId="77777777" w:rsidR="00FF3E6A" w:rsidRPr="002E6244" w:rsidRDefault="00FF3E6A" w:rsidP="00775CE2">
            <w:pPr>
              <w:spacing w:before="120" w:after="60"/>
              <w:rPr>
                <w:b/>
                <w:sz w:val="22"/>
                <w:szCs w:val="22"/>
              </w:rPr>
            </w:pPr>
            <w:r w:rsidRPr="002E6244">
              <w:rPr>
                <w:b/>
                <w:sz w:val="22"/>
                <w:szCs w:val="22"/>
              </w:rPr>
              <w:t>Organisation</w:t>
            </w:r>
          </w:p>
        </w:tc>
        <w:tc>
          <w:tcPr>
            <w:tcW w:w="2235" w:type="dxa"/>
          </w:tcPr>
          <w:p w14:paraId="34F6CD78" w14:textId="77777777" w:rsidR="00FF3E6A" w:rsidRPr="002E6244" w:rsidRDefault="00FF3E6A" w:rsidP="00775CE2">
            <w:pPr>
              <w:spacing w:before="120" w:after="60"/>
              <w:rPr>
                <w:b/>
                <w:sz w:val="22"/>
                <w:szCs w:val="22"/>
              </w:rPr>
            </w:pPr>
            <w:r w:rsidRPr="002E6244">
              <w:rPr>
                <w:b/>
                <w:sz w:val="22"/>
                <w:szCs w:val="22"/>
              </w:rPr>
              <w:t xml:space="preserve">Physical Containment (PC) level </w:t>
            </w:r>
          </w:p>
        </w:tc>
        <w:tc>
          <w:tcPr>
            <w:tcW w:w="2255" w:type="dxa"/>
          </w:tcPr>
          <w:p w14:paraId="7B355240" w14:textId="77777777" w:rsidR="00FF3E6A" w:rsidRPr="002E6244" w:rsidRDefault="00FF3E6A" w:rsidP="00775CE2">
            <w:pPr>
              <w:spacing w:before="120" w:after="60"/>
              <w:jc w:val="right"/>
              <w:rPr>
                <w:b/>
                <w:sz w:val="22"/>
                <w:szCs w:val="22"/>
              </w:rPr>
            </w:pPr>
            <w:r w:rsidRPr="002E6244">
              <w:rPr>
                <w:b/>
                <w:sz w:val="22"/>
                <w:szCs w:val="22"/>
              </w:rPr>
              <w:t>Number of facilities monitored</w:t>
            </w:r>
          </w:p>
        </w:tc>
      </w:tr>
      <w:tr w:rsidR="00661328" w:rsidRPr="0094226A" w14:paraId="76E6FA00" w14:textId="77777777" w:rsidTr="0094226A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31781F0D" w14:textId="77777777" w:rsidR="00661328" w:rsidRPr="0094226A" w:rsidRDefault="00661328" w:rsidP="0094226A">
            <w:pPr>
              <w:spacing w:before="100" w:after="100"/>
              <w:rPr>
                <w:rStyle w:val="normaltextrun"/>
                <w:sz w:val="22"/>
                <w:szCs w:val="22"/>
                <w:bdr w:val="none" w:sz="0" w:space="0" w:color="auto" w:frame="1"/>
              </w:rPr>
            </w:pPr>
            <w:r w:rsidRPr="0094226A">
              <w:rPr>
                <w:rStyle w:val="normaltextrun"/>
                <w:sz w:val="22"/>
                <w:szCs w:val="22"/>
                <w:bdr w:val="none" w:sz="0" w:space="0" w:color="auto" w:frame="1"/>
              </w:rPr>
              <w:t>Swinburn University of Technology</w:t>
            </w:r>
            <w:r w:rsidRPr="0094226A">
              <w:rPr>
                <w:rStyle w:val="FootnoteReference"/>
                <w:sz w:val="22"/>
                <w:szCs w:val="22"/>
                <w:bdr w:val="none" w:sz="0" w:space="0" w:color="auto" w:frame="1"/>
              </w:rPr>
              <w:footnoteReference w:id="1"/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684BF51C" w14:textId="77777777" w:rsidR="00661328" w:rsidRPr="0094226A" w:rsidRDefault="00661328" w:rsidP="0094226A">
            <w:pPr>
              <w:rPr>
                <w:bCs/>
                <w:sz w:val="22"/>
                <w:szCs w:val="22"/>
              </w:rPr>
            </w:pPr>
            <w:r w:rsidRPr="0094226A">
              <w:rPr>
                <w:bCs/>
                <w:sz w:val="22"/>
                <w:szCs w:val="22"/>
              </w:rPr>
              <w:t>PC2 Laboratory</w:t>
            </w:r>
          </w:p>
          <w:p w14:paraId="450726A3" w14:textId="77777777" w:rsidR="00661328" w:rsidRPr="0094226A" w:rsidRDefault="00661328" w:rsidP="0094226A">
            <w:pPr>
              <w:rPr>
                <w:bCs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  <w:shd w:val="clear" w:color="auto" w:fill="D9D9D9" w:themeFill="background1" w:themeFillShade="D9"/>
          </w:tcPr>
          <w:p w14:paraId="3E621188" w14:textId="77777777" w:rsidR="00661328" w:rsidRPr="0094226A" w:rsidRDefault="00661328" w:rsidP="0094226A">
            <w:pPr>
              <w:jc w:val="right"/>
              <w:rPr>
                <w:bCs/>
                <w:sz w:val="22"/>
                <w:szCs w:val="22"/>
              </w:rPr>
            </w:pPr>
            <w:r w:rsidRPr="0094226A">
              <w:rPr>
                <w:bCs/>
                <w:sz w:val="22"/>
                <w:szCs w:val="22"/>
              </w:rPr>
              <w:t>2</w:t>
            </w:r>
          </w:p>
          <w:p w14:paraId="534771D6" w14:textId="77777777" w:rsidR="00661328" w:rsidRPr="0094226A" w:rsidRDefault="00661328" w:rsidP="0094226A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CA5BB3" w:rsidRPr="002E6244" w14:paraId="7D5FB7B7" w14:textId="77777777" w:rsidTr="002E6244">
        <w:trPr>
          <w:trHeight w:val="514"/>
        </w:trPr>
        <w:tc>
          <w:tcPr>
            <w:tcW w:w="4536" w:type="dxa"/>
            <w:tcBorders>
              <w:top w:val="single" w:sz="6" w:space="0" w:color="008000"/>
              <w:bottom w:val="single" w:sz="6" w:space="0" w:color="008000"/>
            </w:tcBorders>
          </w:tcPr>
          <w:p w14:paraId="60D968DF" w14:textId="6DF3911E" w:rsidR="004E4842" w:rsidRPr="002E6244" w:rsidRDefault="00661328" w:rsidP="004E4842">
            <w:pPr>
              <w:spacing w:before="100" w:after="100"/>
              <w:rPr>
                <w:rStyle w:val="normaltextrun"/>
                <w:sz w:val="22"/>
                <w:szCs w:val="22"/>
                <w:bdr w:val="none" w:sz="0" w:space="0" w:color="auto" w:frame="1"/>
              </w:rPr>
            </w:pPr>
            <w:r>
              <w:rPr>
                <w:rStyle w:val="normaltextrun"/>
                <w:sz w:val="22"/>
                <w:szCs w:val="22"/>
                <w:bdr w:val="none" w:sz="0" w:space="0" w:color="auto" w:frame="1"/>
              </w:rPr>
              <w:t>The University of Queensland</w:t>
            </w:r>
          </w:p>
        </w:tc>
        <w:tc>
          <w:tcPr>
            <w:tcW w:w="2235" w:type="dxa"/>
            <w:tcBorders>
              <w:top w:val="single" w:sz="6" w:space="0" w:color="008000"/>
              <w:bottom w:val="single" w:sz="6" w:space="0" w:color="008000"/>
            </w:tcBorders>
          </w:tcPr>
          <w:p w14:paraId="57FA94B3" w14:textId="1D48279D" w:rsidR="004E4842" w:rsidRPr="002E6244" w:rsidRDefault="004E4842" w:rsidP="004E4842">
            <w:pPr>
              <w:rPr>
                <w:bCs/>
                <w:sz w:val="22"/>
                <w:szCs w:val="22"/>
              </w:rPr>
            </w:pPr>
            <w:r w:rsidRPr="002E6244">
              <w:rPr>
                <w:bCs/>
                <w:sz w:val="22"/>
                <w:szCs w:val="22"/>
              </w:rPr>
              <w:t xml:space="preserve">PC2 </w:t>
            </w:r>
            <w:r w:rsidR="00661328">
              <w:rPr>
                <w:bCs/>
                <w:sz w:val="22"/>
                <w:szCs w:val="22"/>
              </w:rPr>
              <w:t>P</w:t>
            </w:r>
            <w:r w:rsidR="00661328">
              <w:rPr>
                <w:bCs/>
              </w:rPr>
              <w:t>lant Facility</w:t>
            </w:r>
          </w:p>
          <w:p w14:paraId="0F992043" w14:textId="35B5BFFA" w:rsidR="0003753B" w:rsidRPr="002E6244" w:rsidRDefault="0003753B" w:rsidP="004E4842">
            <w:pPr>
              <w:rPr>
                <w:bCs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6" w:space="0" w:color="008000"/>
              <w:bottom w:val="single" w:sz="6" w:space="0" w:color="008000"/>
            </w:tcBorders>
          </w:tcPr>
          <w:p w14:paraId="10FC812D" w14:textId="4F81A660" w:rsidR="004E4842" w:rsidRPr="002E6244" w:rsidRDefault="00661328" w:rsidP="004E4842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  <w:p w14:paraId="00775760" w14:textId="3BD894C1" w:rsidR="0003753B" w:rsidRPr="002E6244" w:rsidRDefault="0003753B" w:rsidP="00CA5BB3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CA5BB3" w:rsidRPr="002E6244" w14:paraId="1BD5FB11" w14:textId="77777777" w:rsidTr="00711E4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6" w:type="dxa"/>
            <w:shd w:val="clear" w:color="auto" w:fill="FFFFFF" w:themeFill="background1"/>
          </w:tcPr>
          <w:p w14:paraId="3A63CB2C" w14:textId="5E418399" w:rsidR="004E4842" w:rsidRPr="002E6244" w:rsidRDefault="004E4842" w:rsidP="004E4842">
            <w:pPr>
              <w:spacing w:after="60"/>
              <w:rPr>
                <w:b/>
                <w:sz w:val="22"/>
                <w:szCs w:val="22"/>
              </w:rPr>
            </w:pPr>
            <w:r w:rsidRPr="002E6244">
              <w:rPr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2235" w:type="dxa"/>
            <w:shd w:val="clear" w:color="auto" w:fill="FFFFFF" w:themeFill="background1"/>
          </w:tcPr>
          <w:p w14:paraId="21761C98" w14:textId="77777777" w:rsidR="004E4842" w:rsidRPr="002E6244" w:rsidRDefault="004E4842" w:rsidP="004E4842">
            <w:pPr>
              <w:spacing w:after="60"/>
              <w:rPr>
                <w:b/>
                <w:sz w:val="22"/>
                <w:szCs w:val="22"/>
              </w:rPr>
            </w:pPr>
          </w:p>
        </w:tc>
        <w:tc>
          <w:tcPr>
            <w:tcW w:w="2255" w:type="dxa"/>
            <w:shd w:val="clear" w:color="auto" w:fill="FFFFFF" w:themeFill="background1"/>
          </w:tcPr>
          <w:p w14:paraId="4B33C33E" w14:textId="3AA456FB" w:rsidR="004E4842" w:rsidRPr="002E6244" w:rsidRDefault="00661328" w:rsidP="004E4842">
            <w:pPr>
              <w:spacing w:after="6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</w:tr>
    </w:tbl>
    <w:p w14:paraId="6217B4EA" w14:textId="6CB43FC1" w:rsidR="00FF3E6A" w:rsidRPr="00BF766F" w:rsidRDefault="00FF3E6A" w:rsidP="002F4463">
      <w:pPr>
        <w:rPr>
          <w:sz w:val="22"/>
          <w:szCs w:val="22"/>
        </w:rPr>
      </w:pPr>
    </w:p>
    <w:p w14:paraId="79243A8A" w14:textId="63349C21" w:rsidR="00BC3739" w:rsidRPr="00BF766F" w:rsidRDefault="00140FDD" w:rsidP="002F4463">
      <w:pPr>
        <w:rPr>
          <w:sz w:val="22"/>
          <w:szCs w:val="22"/>
        </w:rPr>
      </w:pPr>
      <w:r w:rsidRPr="00BF766F">
        <w:rPr>
          <w:sz w:val="22"/>
          <w:szCs w:val="22"/>
        </w:rPr>
        <w:t xml:space="preserve">Table </w:t>
      </w:r>
      <w:r w:rsidR="00CA5BB3" w:rsidRPr="00BF766F">
        <w:rPr>
          <w:sz w:val="22"/>
          <w:szCs w:val="22"/>
        </w:rPr>
        <w:t>2</w:t>
      </w:r>
      <w:r w:rsidRPr="00BF766F">
        <w:rPr>
          <w:sz w:val="22"/>
          <w:szCs w:val="22"/>
        </w:rPr>
        <w:t xml:space="preserve"> – Summary of inspection activities for DNIR </w:t>
      </w:r>
      <w:r w:rsidR="00CA5BB3" w:rsidRPr="00BF766F">
        <w:rPr>
          <w:sz w:val="22"/>
          <w:szCs w:val="22"/>
        </w:rPr>
        <w:t xml:space="preserve">licences </w:t>
      </w:r>
      <w:r w:rsidRPr="00BF766F">
        <w:rPr>
          <w:sz w:val="22"/>
          <w:szCs w:val="22"/>
        </w:rPr>
        <w:t xml:space="preserve">and DIR </w:t>
      </w:r>
      <w:r w:rsidR="00CA5BB3" w:rsidRPr="00BF766F">
        <w:rPr>
          <w:sz w:val="22"/>
          <w:szCs w:val="22"/>
        </w:rPr>
        <w:t xml:space="preserve">clinical trial </w:t>
      </w:r>
      <w:r w:rsidRPr="00BF766F">
        <w:rPr>
          <w:sz w:val="22"/>
          <w:szCs w:val="22"/>
        </w:rPr>
        <w:t xml:space="preserve">licences for the </w:t>
      </w:r>
      <w:r w:rsidR="00CA5BB3" w:rsidRPr="00BF766F">
        <w:rPr>
          <w:sz w:val="22"/>
          <w:szCs w:val="22"/>
        </w:rPr>
        <w:t xml:space="preserve">January – March </w:t>
      </w:r>
      <w:r w:rsidR="0084408A" w:rsidRPr="00BF766F">
        <w:rPr>
          <w:sz w:val="22"/>
          <w:szCs w:val="22"/>
        </w:rPr>
        <w:t>202</w:t>
      </w:r>
      <w:r w:rsidR="00CA5BB3" w:rsidRPr="00BF766F">
        <w:rPr>
          <w:sz w:val="22"/>
          <w:szCs w:val="22"/>
        </w:rPr>
        <w:t>2</w:t>
      </w:r>
      <w:r w:rsidR="0084408A" w:rsidRPr="00BF766F">
        <w:rPr>
          <w:sz w:val="22"/>
          <w:szCs w:val="22"/>
        </w:rPr>
        <w:t xml:space="preserve"> </w:t>
      </w:r>
      <w:r w:rsidRPr="00BF766F">
        <w:rPr>
          <w:sz w:val="22"/>
          <w:szCs w:val="22"/>
        </w:rPr>
        <w:t>quarter.</w:t>
      </w:r>
    </w:p>
    <w:tbl>
      <w:tblPr>
        <w:tblStyle w:val="TableSimple1"/>
        <w:tblW w:w="9072" w:type="dxa"/>
        <w:tblBorders>
          <w:top w:val="single" w:sz="6" w:space="0" w:color="008000"/>
          <w:bottom w:val="single" w:sz="6" w:space="0" w:color="008000"/>
          <w:insideH w:val="single" w:sz="6" w:space="0" w:color="008000"/>
        </w:tblBorders>
        <w:tblLook w:val="01E0" w:firstRow="1" w:lastRow="1" w:firstColumn="1" w:lastColumn="1" w:noHBand="0" w:noVBand="0"/>
        <w:tblCaption w:val="Table 1 – Summary of inspection activities of GM crop field trials for the Jan – Mar 2018 quarter."/>
        <w:tblDescription w:val="This table contains four columns and three rows. Column one is Licence holder, column two is licence number, column three is GM crop and column four is Site location"/>
      </w:tblPr>
      <w:tblGrid>
        <w:gridCol w:w="4678"/>
        <w:gridCol w:w="4394"/>
      </w:tblGrid>
      <w:tr w:rsidR="00BF766F" w:rsidRPr="00BF766F" w14:paraId="54621A39" w14:textId="77777777" w:rsidTr="00390B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  <w:tblHeader/>
        </w:trPr>
        <w:tc>
          <w:tcPr>
            <w:tcW w:w="4678" w:type="dxa"/>
            <w:tcBorders>
              <w:top w:val="single" w:sz="12" w:space="0" w:color="008000"/>
              <w:bottom w:val="single" w:sz="12" w:space="0" w:color="008000"/>
            </w:tcBorders>
          </w:tcPr>
          <w:p w14:paraId="745DB8BD" w14:textId="77777777" w:rsidR="00CA5BB3" w:rsidRPr="00BF766F" w:rsidRDefault="00CA5BB3" w:rsidP="00775CE2">
            <w:pPr>
              <w:keepNext/>
              <w:spacing w:before="120" w:after="120"/>
              <w:rPr>
                <w:b/>
                <w:sz w:val="22"/>
                <w:szCs w:val="22"/>
              </w:rPr>
            </w:pPr>
            <w:r w:rsidRPr="00BF766F">
              <w:rPr>
                <w:b/>
                <w:sz w:val="22"/>
                <w:szCs w:val="22"/>
              </w:rPr>
              <w:t>Licence holder</w:t>
            </w:r>
          </w:p>
        </w:tc>
        <w:tc>
          <w:tcPr>
            <w:tcW w:w="4394" w:type="dxa"/>
            <w:tcBorders>
              <w:top w:val="single" w:sz="12" w:space="0" w:color="008000"/>
              <w:bottom w:val="single" w:sz="12" w:space="0" w:color="008000"/>
            </w:tcBorders>
          </w:tcPr>
          <w:p w14:paraId="47BA6283" w14:textId="77777777" w:rsidR="00CA5BB3" w:rsidRPr="00BF766F" w:rsidRDefault="00CA5BB3" w:rsidP="00775CE2">
            <w:pPr>
              <w:keepNext/>
              <w:spacing w:before="120" w:after="120"/>
              <w:rPr>
                <w:b/>
                <w:sz w:val="22"/>
                <w:szCs w:val="22"/>
              </w:rPr>
            </w:pPr>
            <w:r w:rsidRPr="00BF766F">
              <w:rPr>
                <w:b/>
                <w:sz w:val="22"/>
                <w:szCs w:val="22"/>
              </w:rPr>
              <w:t xml:space="preserve">Licence number </w:t>
            </w:r>
          </w:p>
        </w:tc>
      </w:tr>
      <w:tr w:rsidR="00BF766F" w:rsidRPr="00BF766F" w14:paraId="41D27E39" w14:textId="77777777" w:rsidTr="00390B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8" w:type="dxa"/>
            <w:shd w:val="clear" w:color="auto" w:fill="D9D9D9" w:themeFill="background1" w:themeFillShade="D9"/>
          </w:tcPr>
          <w:p w14:paraId="06BE7162" w14:textId="3BF90C2D" w:rsidR="00CA5BB3" w:rsidRPr="00BF766F" w:rsidRDefault="00CA5BB3" w:rsidP="008408FC">
            <w:pPr>
              <w:spacing w:before="100" w:after="100"/>
              <w:rPr>
                <w:rStyle w:val="normaltextrun"/>
                <w:sz w:val="22"/>
                <w:szCs w:val="22"/>
                <w:bdr w:val="none" w:sz="0" w:space="0" w:color="auto" w:frame="1"/>
              </w:rPr>
            </w:pPr>
            <w:r w:rsidRPr="00BF766F">
              <w:rPr>
                <w:rStyle w:val="normaltextrun"/>
                <w:sz w:val="22"/>
                <w:szCs w:val="22"/>
                <w:bdr w:val="none" w:sz="0" w:space="0" w:color="auto" w:frame="1"/>
              </w:rPr>
              <w:t>Pfizer Australia Pty Ltd</w:t>
            </w:r>
            <w:r w:rsidR="00A62BDA" w:rsidRPr="0070187A">
              <w:rPr>
                <w:rStyle w:val="FootnoteReference"/>
                <w:sz w:val="22"/>
                <w:szCs w:val="22"/>
                <w:bdr w:val="none" w:sz="0" w:space="0" w:color="auto" w:frame="1"/>
              </w:rPr>
              <w:t>1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706DDD5F" w14:textId="1446BB84" w:rsidR="00CA5BB3" w:rsidRPr="00BF766F" w:rsidRDefault="00CA5BB3" w:rsidP="008408FC">
            <w:pPr>
              <w:spacing w:before="100" w:after="100"/>
              <w:rPr>
                <w:rStyle w:val="normaltextrun"/>
                <w:sz w:val="22"/>
                <w:szCs w:val="22"/>
                <w:bdr w:val="none" w:sz="0" w:space="0" w:color="auto" w:frame="1"/>
              </w:rPr>
            </w:pPr>
            <w:r w:rsidRPr="00BF766F">
              <w:rPr>
                <w:rStyle w:val="normaltextrun"/>
                <w:sz w:val="22"/>
                <w:szCs w:val="22"/>
                <w:bdr w:val="none" w:sz="0" w:space="0" w:color="auto" w:frame="1"/>
              </w:rPr>
              <w:t>DNIR</w:t>
            </w:r>
            <w:r w:rsidR="008D132A" w:rsidRPr="00BF766F">
              <w:rPr>
                <w:rStyle w:val="normaltextrun"/>
                <w:sz w:val="22"/>
                <w:szCs w:val="22"/>
                <w:bdr w:val="none" w:sz="0" w:space="0" w:color="auto" w:frame="1"/>
              </w:rPr>
              <w:t>-</w:t>
            </w:r>
            <w:r w:rsidRPr="00BF766F">
              <w:rPr>
                <w:rStyle w:val="normaltextrun"/>
                <w:sz w:val="22"/>
                <w:szCs w:val="22"/>
                <w:bdr w:val="none" w:sz="0" w:space="0" w:color="auto" w:frame="1"/>
              </w:rPr>
              <w:t>569</w:t>
            </w:r>
          </w:p>
        </w:tc>
      </w:tr>
    </w:tbl>
    <w:p w14:paraId="1C2DA33B" w14:textId="77777777" w:rsidR="00023EF7" w:rsidRPr="00BF766F" w:rsidRDefault="00023EF7" w:rsidP="0085012D">
      <w:pPr>
        <w:rPr>
          <w:b/>
          <w:sz w:val="22"/>
          <w:szCs w:val="22"/>
        </w:rPr>
      </w:pPr>
    </w:p>
    <w:p w14:paraId="0F43D2E2" w14:textId="331A8A05" w:rsidR="008B2CD5" w:rsidRPr="002E6244" w:rsidRDefault="008B2CD5" w:rsidP="0085012D">
      <w:pPr>
        <w:rPr>
          <w:b/>
          <w:sz w:val="22"/>
          <w:szCs w:val="22"/>
        </w:rPr>
      </w:pPr>
      <w:r w:rsidRPr="002E6244">
        <w:rPr>
          <w:b/>
          <w:sz w:val="22"/>
          <w:szCs w:val="22"/>
        </w:rPr>
        <w:t xml:space="preserve">Practice Reviews, Audits and Investigations </w:t>
      </w:r>
    </w:p>
    <w:p w14:paraId="1489D8A8" w14:textId="11A66B84" w:rsidR="00D707AB" w:rsidRPr="002E6244" w:rsidRDefault="00D707AB">
      <w:pPr>
        <w:rPr>
          <w:sz w:val="22"/>
          <w:szCs w:val="22"/>
        </w:rPr>
      </w:pPr>
      <w:r w:rsidRPr="002E6244">
        <w:rPr>
          <w:sz w:val="22"/>
          <w:szCs w:val="22"/>
        </w:rPr>
        <w:t xml:space="preserve">The Monitoring and Compliance section may initiate </w:t>
      </w:r>
      <w:r w:rsidR="000934E3" w:rsidRPr="002E6244">
        <w:rPr>
          <w:sz w:val="22"/>
          <w:szCs w:val="22"/>
        </w:rPr>
        <w:t>practice r</w:t>
      </w:r>
      <w:r w:rsidRPr="002E6244">
        <w:rPr>
          <w:sz w:val="22"/>
          <w:szCs w:val="22"/>
        </w:rPr>
        <w:t>eviews in response to observations made during earlier monitoring activities, or to follow up incident reports</w:t>
      </w:r>
      <w:r w:rsidR="004605F8" w:rsidRPr="002E6244">
        <w:rPr>
          <w:sz w:val="22"/>
          <w:szCs w:val="22"/>
        </w:rPr>
        <w:t xml:space="preserve"> or to assess the effectiveness of systems used by licence holders and IBC(s)</w:t>
      </w:r>
      <w:r w:rsidRPr="002E6244">
        <w:rPr>
          <w:sz w:val="22"/>
          <w:szCs w:val="22"/>
        </w:rPr>
        <w:t>. The objective is to determine if licence conditions can be, and are being, effectively implemented.</w:t>
      </w:r>
    </w:p>
    <w:p w14:paraId="7FCEA819" w14:textId="5D44DF7C" w:rsidR="001A7979" w:rsidRPr="002E6244" w:rsidRDefault="001A7979" w:rsidP="001A7979">
      <w:pPr>
        <w:rPr>
          <w:rFonts w:eastAsia="Times New Roman"/>
          <w:sz w:val="22"/>
          <w:szCs w:val="22"/>
        </w:rPr>
      </w:pPr>
      <w:r w:rsidRPr="002E6244">
        <w:rPr>
          <w:rFonts w:eastAsia="Times New Roman"/>
          <w:sz w:val="22"/>
          <w:szCs w:val="22"/>
        </w:rPr>
        <w:t xml:space="preserve">During the </w:t>
      </w:r>
      <w:r w:rsidR="00E74466" w:rsidRPr="002E6244">
        <w:rPr>
          <w:rFonts w:eastAsia="Times New Roman"/>
          <w:sz w:val="22"/>
          <w:szCs w:val="22"/>
        </w:rPr>
        <w:t>January</w:t>
      </w:r>
      <w:r w:rsidRPr="002E6244">
        <w:rPr>
          <w:rFonts w:eastAsia="Times New Roman"/>
          <w:sz w:val="22"/>
          <w:szCs w:val="22"/>
        </w:rPr>
        <w:t xml:space="preserve"> – </w:t>
      </w:r>
      <w:r w:rsidR="00E74466" w:rsidRPr="002E6244">
        <w:rPr>
          <w:rFonts w:eastAsia="Times New Roman"/>
          <w:sz w:val="22"/>
          <w:szCs w:val="22"/>
        </w:rPr>
        <w:t xml:space="preserve">March 2022 </w:t>
      </w:r>
      <w:r w:rsidRPr="002E6244">
        <w:rPr>
          <w:rFonts w:eastAsia="Times New Roman"/>
          <w:sz w:val="22"/>
          <w:szCs w:val="22"/>
        </w:rPr>
        <w:t>quarter the OGTR continued its program of practice reviews, undertaking meetings with:</w:t>
      </w:r>
    </w:p>
    <w:p w14:paraId="4A554148" w14:textId="718381BE" w:rsidR="001C6336" w:rsidRPr="002E6244" w:rsidRDefault="00E74466" w:rsidP="001A7979">
      <w:pPr>
        <w:pStyle w:val="ListParagraph"/>
        <w:numPr>
          <w:ilvl w:val="0"/>
          <w:numId w:val="7"/>
        </w:numPr>
        <w:rPr>
          <w:rFonts w:eastAsia="Times New Roman"/>
          <w:sz w:val="22"/>
          <w:szCs w:val="22"/>
        </w:rPr>
      </w:pPr>
      <w:r w:rsidRPr="002E6244">
        <w:rPr>
          <w:sz w:val="22"/>
          <w:szCs w:val="22"/>
        </w:rPr>
        <w:lastRenderedPageBreak/>
        <w:t>Novotech (Australia) Pty Limited</w:t>
      </w:r>
      <w:r w:rsidR="001C6336" w:rsidRPr="002E6244">
        <w:rPr>
          <w:sz w:val="22"/>
          <w:szCs w:val="22"/>
        </w:rPr>
        <w:t xml:space="preserve"> (DIR 1</w:t>
      </w:r>
      <w:r w:rsidRPr="002E6244">
        <w:rPr>
          <w:sz w:val="22"/>
          <w:szCs w:val="22"/>
        </w:rPr>
        <w:t>81</w:t>
      </w:r>
      <w:r w:rsidR="008D132A" w:rsidRPr="002E6244">
        <w:rPr>
          <w:sz w:val="22"/>
          <w:szCs w:val="22"/>
        </w:rPr>
        <w:t>)</w:t>
      </w:r>
      <w:r w:rsidR="001C6336" w:rsidRPr="002E6244">
        <w:rPr>
          <w:sz w:val="22"/>
          <w:szCs w:val="22"/>
        </w:rPr>
        <w:t xml:space="preserve"> – </w:t>
      </w:r>
      <w:r w:rsidRPr="002E6244">
        <w:rPr>
          <w:sz w:val="22"/>
          <w:szCs w:val="22"/>
        </w:rPr>
        <w:t>Clinical trial of a genetically modified Herpes virus for the treatment of cystic fibrosis</w:t>
      </w:r>
      <w:r w:rsidR="001C6336" w:rsidRPr="002E6244">
        <w:rPr>
          <w:sz w:val="22"/>
          <w:szCs w:val="22"/>
        </w:rPr>
        <w:t>, as part of the practice review into the ‘</w:t>
      </w:r>
      <w:r w:rsidR="001C6336" w:rsidRPr="002E6244">
        <w:rPr>
          <w:i/>
          <w:iCs/>
          <w:sz w:val="22"/>
          <w:szCs w:val="22"/>
        </w:rPr>
        <w:t>Preparedness of accredited organisations to undertake a limited and controlled release</w:t>
      </w:r>
      <w:r w:rsidR="001C6336" w:rsidRPr="002E6244">
        <w:rPr>
          <w:sz w:val="22"/>
          <w:szCs w:val="22"/>
        </w:rPr>
        <w:t>’</w:t>
      </w:r>
    </w:p>
    <w:p w14:paraId="417FCC75" w14:textId="143A1AC1" w:rsidR="001A7979" w:rsidRPr="002E6244" w:rsidRDefault="001A7979" w:rsidP="001A7979">
      <w:pPr>
        <w:rPr>
          <w:sz w:val="22"/>
          <w:szCs w:val="22"/>
        </w:rPr>
      </w:pPr>
      <w:r w:rsidRPr="002E6244">
        <w:rPr>
          <w:sz w:val="22"/>
          <w:szCs w:val="22"/>
        </w:rPr>
        <w:t xml:space="preserve">No audits and no investigations were undertaken during the quarter. </w:t>
      </w:r>
    </w:p>
    <w:p w14:paraId="00342BA5" w14:textId="77777777" w:rsidR="00B319D3" w:rsidRPr="002E6244" w:rsidRDefault="00B319D3" w:rsidP="00B319D3">
      <w:pPr>
        <w:tabs>
          <w:tab w:val="left" w:pos="3944"/>
        </w:tabs>
        <w:rPr>
          <w:b/>
          <w:sz w:val="22"/>
          <w:szCs w:val="22"/>
        </w:rPr>
      </w:pPr>
      <w:r w:rsidRPr="002E6244">
        <w:rPr>
          <w:b/>
          <w:sz w:val="22"/>
          <w:szCs w:val="22"/>
        </w:rPr>
        <w:t>Other activities</w:t>
      </w:r>
      <w:r w:rsidRPr="002E6244">
        <w:rPr>
          <w:b/>
          <w:sz w:val="22"/>
          <w:szCs w:val="22"/>
        </w:rPr>
        <w:tab/>
      </w:r>
    </w:p>
    <w:p w14:paraId="6C7B1482" w14:textId="0B76891E" w:rsidR="00B319D3" w:rsidRPr="002E6244" w:rsidRDefault="00B319D3" w:rsidP="00B319D3">
      <w:pPr>
        <w:rPr>
          <w:sz w:val="22"/>
          <w:szCs w:val="22"/>
        </w:rPr>
      </w:pPr>
      <w:r w:rsidRPr="002E6244">
        <w:rPr>
          <w:sz w:val="22"/>
          <w:szCs w:val="22"/>
        </w:rPr>
        <w:t xml:space="preserve">During the </w:t>
      </w:r>
      <w:r w:rsidR="00C013F4" w:rsidRPr="002E6244">
        <w:rPr>
          <w:sz w:val="22"/>
          <w:szCs w:val="22"/>
        </w:rPr>
        <w:t>January</w:t>
      </w:r>
      <w:r w:rsidRPr="002E6244">
        <w:rPr>
          <w:sz w:val="22"/>
          <w:szCs w:val="22"/>
        </w:rPr>
        <w:t>-</w:t>
      </w:r>
      <w:r w:rsidR="00C013F4" w:rsidRPr="002E6244">
        <w:rPr>
          <w:sz w:val="22"/>
          <w:szCs w:val="22"/>
        </w:rPr>
        <w:t xml:space="preserve">March 2022 </w:t>
      </w:r>
      <w:r w:rsidRPr="002E6244">
        <w:rPr>
          <w:sz w:val="22"/>
          <w:szCs w:val="22"/>
        </w:rPr>
        <w:t>quarter the Monitoring and Compliance section:</w:t>
      </w:r>
    </w:p>
    <w:p w14:paraId="48CEA894" w14:textId="6906B5F6" w:rsidR="00B319D3" w:rsidRPr="002E6244" w:rsidRDefault="00C013F4" w:rsidP="00B319D3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E6244">
        <w:rPr>
          <w:sz w:val="22"/>
          <w:szCs w:val="22"/>
        </w:rPr>
        <w:t xml:space="preserve">Attended and presented at the 2022 </w:t>
      </w:r>
      <w:r w:rsidR="00F81174">
        <w:rPr>
          <w:sz w:val="22"/>
          <w:szCs w:val="22"/>
        </w:rPr>
        <w:t>International Society for Cell &amp; Gene Therapy, Australian &amp; New Zealand – Biotherapeutics Association of Australasia</w:t>
      </w:r>
      <w:r w:rsidRPr="002E6244">
        <w:rPr>
          <w:sz w:val="22"/>
          <w:szCs w:val="22"/>
        </w:rPr>
        <w:t xml:space="preserve"> Joint Scientific Meeting which was conducted </w:t>
      </w:r>
      <w:r w:rsidR="00D57951" w:rsidRPr="002E6244">
        <w:rPr>
          <w:sz w:val="22"/>
          <w:szCs w:val="22"/>
        </w:rPr>
        <w:t>virtually</w:t>
      </w:r>
    </w:p>
    <w:p w14:paraId="3B260677" w14:textId="035BBD8D" w:rsidR="005357FC" w:rsidRPr="002E6244" w:rsidRDefault="008D132A" w:rsidP="005357FC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E6244">
        <w:rPr>
          <w:sz w:val="22"/>
          <w:szCs w:val="22"/>
        </w:rPr>
        <w:t>V</w:t>
      </w:r>
      <w:r w:rsidR="00456F43" w:rsidRPr="002E6244">
        <w:rPr>
          <w:sz w:val="22"/>
          <w:szCs w:val="22"/>
        </w:rPr>
        <w:t>isited the University of Queensland in response to the flooding at St. Lucia and Gatton campuses</w:t>
      </w:r>
    </w:p>
    <w:p w14:paraId="71F4F854" w14:textId="37BD0F1C" w:rsidR="00D707AB" w:rsidRPr="002E6244" w:rsidRDefault="00D707AB" w:rsidP="00D707AB">
      <w:pPr>
        <w:spacing w:before="480"/>
        <w:rPr>
          <w:b/>
          <w:bCs/>
          <w:sz w:val="22"/>
          <w:szCs w:val="22"/>
        </w:rPr>
      </w:pPr>
      <w:r w:rsidRPr="002E6244">
        <w:rPr>
          <w:b/>
          <w:bCs/>
          <w:sz w:val="22"/>
          <w:szCs w:val="22"/>
        </w:rPr>
        <w:t>Monitoring and Compliance Findings</w:t>
      </w:r>
    </w:p>
    <w:p w14:paraId="5DE7AA4C" w14:textId="3DD42898" w:rsidR="00D707AB" w:rsidRPr="002E6244" w:rsidRDefault="00D707AB" w:rsidP="00D707AB">
      <w:pPr>
        <w:spacing w:after="120"/>
        <w:rPr>
          <w:sz w:val="22"/>
          <w:szCs w:val="22"/>
        </w:rPr>
      </w:pPr>
      <w:r w:rsidRPr="002E6244">
        <w:rPr>
          <w:sz w:val="22"/>
          <w:szCs w:val="22"/>
        </w:rPr>
        <w:t xml:space="preserve">Findings from routine monitoring, auditing and investigations, and related enforcement activities, are provided in the Regulator’s Annual Report in accordance with section 136 of the </w:t>
      </w:r>
      <w:r w:rsidRPr="002E6244">
        <w:rPr>
          <w:i/>
          <w:sz w:val="22"/>
          <w:szCs w:val="22"/>
        </w:rPr>
        <w:t>Gene Technology Act 2000</w:t>
      </w:r>
      <w:r w:rsidRPr="002E6244">
        <w:rPr>
          <w:sz w:val="22"/>
          <w:szCs w:val="22"/>
        </w:rPr>
        <w:t>.</w:t>
      </w:r>
    </w:p>
    <w:p w14:paraId="3099B2A4" w14:textId="7663FE55" w:rsidR="00D707AB" w:rsidRPr="00D57951" w:rsidRDefault="00D707AB" w:rsidP="00D707AB">
      <w:pPr>
        <w:rPr>
          <w:b/>
          <w:sz w:val="22"/>
          <w:szCs w:val="22"/>
        </w:rPr>
      </w:pPr>
    </w:p>
    <w:sectPr w:rsidR="00D707AB" w:rsidRPr="00D57951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3D68F" w14:textId="77777777" w:rsidR="0033704F" w:rsidRDefault="0033704F" w:rsidP="00FF57FF">
      <w:pPr>
        <w:spacing w:after="0" w:line="240" w:lineRule="auto"/>
      </w:pPr>
      <w:r>
        <w:separator/>
      </w:r>
    </w:p>
  </w:endnote>
  <w:endnote w:type="continuationSeparator" w:id="0">
    <w:p w14:paraId="001A9619" w14:textId="77777777" w:rsidR="0033704F" w:rsidRDefault="0033704F" w:rsidP="00FF5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14555" w14:textId="77777777" w:rsidR="00666094" w:rsidRDefault="0066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3017E" w14:textId="77777777" w:rsidR="0033704F" w:rsidRDefault="0033704F" w:rsidP="00FF57FF">
      <w:pPr>
        <w:spacing w:after="0" w:line="240" w:lineRule="auto"/>
      </w:pPr>
      <w:r>
        <w:separator/>
      </w:r>
    </w:p>
  </w:footnote>
  <w:footnote w:type="continuationSeparator" w:id="0">
    <w:p w14:paraId="38D315E1" w14:textId="77777777" w:rsidR="0033704F" w:rsidRDefault="0033704F" w:rsidP="00FF57FF">
      <w:pPr>
        <w:spacing w:after="0" w:line="240" w:lineRule="auto"/>
      </w:pPr>
      <w:r>
        <w:continuationSeparator/>
      </w:r>
    </w:p>
  </w:footnote>
  <w:footnote w:id="1">
    <w:p w14:paraId="1611DB59" w14:textId="77777777" w:rsidR="00661328" w:rsidRDefault="00661328" w:rsidP="00661328">
      <w:pPr>
        <w:pStyle w:val="FootnoteText"/>
      </w:pPr>
      <w:r>
        <w:rPr>
          <w:rStyle w:val="FootnoteReference"/>
        </w:rPr>
        <w:footnoteRef/>
      </w:r>
      <w:r>
        <w:t xml:space="preserve"> Desktop inspection</w:t>
      </w:r>
    </w:p>
    <w:p w14:paraId="461896DC" w14:textId="77777777" w:rsidR="00661328" w:rsidRDefault="00661328" w:rsidP="00661328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44015"/>
    <w:multiLevelType w:val="hybridMultilevel"/>
    <w:tmpl w:val="31C2346A"/>
    <w:lvl w:ilvl="0" w:tplc="5696550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1FCC0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E3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00E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780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69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7C4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A7A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728F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57268"/>
    <w:multiLevelType w:val="hybridMultilevel"/>
    <w:tmpl w:val="B72ED068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40215"/>
    <w:multiLevelType w:val="hybridMultilevel"/>
    <w:tmpl w:val="E754104E"/>
    <w:lvl w:ilvl="0" w:tplc="0C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B61FA"/>
    <w:multiLevelType w:val="hybridMultilevel"/>
    <w:tmpl w:val="6C9E88EA"/>
    <w:lvl w:ilvl="0" w:tplc="C362395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00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E6126"/>
    <w:multiLevelType w:val="hybridMultilevel"/>
    <w:tmpl w:val="A822B706"/>
    <w:lvl w:ilvl="0" w:tplc="60D2ADA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833F4"/>
    <w:multiLevelType w:val="hybridMultilevel"/>
    <w:tmpl w:val="8D7A175E"/>
    <w:lvl w:ilvl="0" w:tplc="E26E4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20A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A409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B6C8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86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1A2A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44E6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C003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84A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6106B9"/>
    <w:multiLevelType w:val="hybridMultilevel"/>
    <w:tmpl w:val="30C21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63"/>
    <w:rsid w:val="00002C36"/>
    <w:rsid w:val="00023EF7"/>
    <w:rsid w:val="000343A1"/>
    <w:rsid w:val="0003753B"/>
    <w:rsid w:val="00045306"/>
    <w:rsid w:val="00056109"/>
    <w:rsid w:val="000830C7"/>
    <w:rsid w:val="0008684D"/>
    <w:rsid w:val="000934E3"/>
    <w:rsid w:val="00095E21"/>
    <w:rsid w:val="000A1450"/>
    <w:rsid w:val="000B1C0C"/>
    <w:rsid w:val="000F5F55"/>
    <w:rsid w:val="00114D61"/>
    <w:rsid w:val="00124AC8"/>
    <w:rsid w:val="001275B7"/>
    <w:rsid w:val="00127919"/>
    <w:rsid w:val="00132B7A"/>
    <w:rsid w:val="00140FDD"/>
    <w:rsid w:val="00156166"/>
    <w:rsid w:val="00196E9B"/>
    <w:rsid w:val="001A1655"/>
    <w:rsid w:val="001A7979"/>
    <w:rsid w:val="001C54B4"/>
    <w:rsid w:val="001C6336"/>
    <w:rsid w:val="001D7378"/>
    <w:rsid w:val="0022662C"/>
    <w:rsid w:val="00226632"/>
    <w:rsid w:val="00254B7A"/>
    <w:rsid w:val="00273B11"/>
    <w:rsid w:val="0027513D"/>
    <w:rsid w:val="00280050"/>
    <w:rsid w:val="002806E9"/>
    <w:rsid w:val="002A5402"/>
    <w:rsid w:val="002E6244"/>
    <w:rsid w:val="002F3F6C"/>
    <w:rsid w:val="002F4463"/>
    <w:rsid w:val="002F5EC8"/>
    <w:rsid w:val="00303FE9"/>
    <w:rsid w:val="00324E75"/>
    <w:rsid w:val="0033704F"/>
    <w:rsid w:val="00340117"/>
    <w:rsid w:val="00342C36"/>
    <w:rsid w:val="00351F50"/>
    <w:rsid w:val="00356DF4"/>
    <w:rsid w:val="003603D9"/>
    <w:rsid w:val="003636D0"/>
    <w:rsid w:val="00372871"/>
    <w:rsid w:val="00373408"/>
    <w:rsid w:val="00390B15"/>
    <w:rsid w:val="003A469C"/>
    <w:rsid w:val="003B3C94"/>
    <w:rsid w:val="003B3D89"/>
    <w:rsid w:val="003D4225"/>
    <w:rsid w:val="003D5044"/>
    <w:rsid w:val="003E1FDC"/>
    <w:rsid w:val="004107D7"/>
    <w:rsid w:val="00414775"/>
    <w:rsid w:val="00443F2B"/>
    <w:rsid w:val="00450F64"/>
    <w:rsid w:val="00456F43"/>
    <w:rsid w:val="004605F8"/>
    <w:rsid w:val="004643BE"/>
    <w:rsid w:val="00474DF4"/>
    <w:rsid w:val="00484B71"/>
    <w:rsid w:val="004870BB"/>
    <w:rsid w:val="0048719E"/>
    <w:rsid w:val="004B3CAC"/>
    <w:rsid w:val="004E023F"/>
    <w:rsid w:val="004E4842"/>
    <w:rsid w:val="00502F58"/>
    <w:rsid w:val="00503626"/>
    <w:rsid w:val="00503AD9"/>
    <w:rsid w:val="00510E34"/>
    <w:rsid w:val="00530C6A"/>
    <w:rsid w:val="005357FC"/>
    <w:rsid w:val="00552331"/>
    <w:rsid w:val="005555BF"/>
    <w:rsid w:val="00577816"/>
    <w:rsid w:val="005815B6"/>
    <w:rsid w:val="005A4DAF"/>
    <w:rsid w:val="005B2D2E"/>
    <w:rsid w:val="005C6CF6"/>
    <w:rsid w:val="005D7957"/>
    <w:rsid w:val="006258DF"/>
    <w:rsid w:val="0062614D"/>
    <w:rsid w:val="00661328"/>
    <w:rsid w:val="00666094"/>
    <w:rsid w:val="00675079"/>
    <w:rsid w:val="00686DB8"/>
    <w:rsid w:val="006A25A2"/>
    <w:rsid w:val="006B20EE"/>
    <w:rsid w:val="006B7FE0"/>
    <w:rsid w:val="006F2F96"/>
    <w:rsid w:val="006F4056"/>
    <w:rsid w:val="006F5EC8"/>
    <w:rsid w:val="0070187A"/>
    <w:rsid w:val="00711E49"/>
    <w:rsid w:val="007268FE"/>
    <w:rsid w:val="00737243"/>
    <w:rsid w:val="00750044"/>
    <w:rsid w:val="00755229"/>
    <w:rsid w:val="0079478B"/>
    <w:rsid w:val="00794D4E"/>
    <w:rsid w:val="007A2123"/>
    <w:rsid w:val="007A72FD"/>
    <w:rsid w:val="007C118C"/>
    <w:rsid w:val="007C2496"/>
    <w:rsid w:val="007D4464"/>
    <w:rsid w:val="007D6E06"/>
    <w:rsid w:val="007E5CF3"/>
    <w:rsid w:val="007F1FB8"/>
    <w:rsid w:val="007F4F09"/>
    <w:rsid w:val="00804EFE"/>
    <w:rsid w:val="00816FFA"/>
    <w:rsid w:val="008305B3"/>
    <w:rsid w:val="008408FC"/>
    <w:rsid w:val="0084408A"/>
    <w:rsid w:val="0084476F"/>
    <w:rsid w:val="0085012D"/>
    <w:rsid w:val="00877D62"/>
    <w:rsid w:val="0089352A"/>
    <w:rsid w:val="008A1172"/>
    <w:rsid w:val="008B1282"/>
    <w:rsid w:val="008B2CD5"/>
    <w:rsid w:val="008D132A"/>
    <w:rsid w:val="008D7648"/>
    <w:rsid w:val="008D7F41"/>
    <w:rsid w:val="008E46BA"/>
    <w:rsid w:val="0091225B"/>
    <w:rsid w:val="00921A6D"/>
    <w:rsid w:val="0092574A"/>
    <w:rsid w:val="00930E09"/>
    <w:rsid w:val="00937642"/>
    <w:rsid w:val="00944E9C"/>
    <w:rsid w:val="009468F1"/>
    <w:rsid w:val="00971133"/>
    <w:rsid w:val="009758EA"/>
    <w:rsid w:val="00997666"/>
    <w:rsid w:val="009B010C"/>
    <w:rsid w:val="009B5AFC"/>
    <w:rsid w:val="009C4AEA"/>
    <w:rsid w:val="009E2710"/>
    <w:rsid w:val="009E54EC"/>
    <w:rsid w:val="00A14801"/>
    <w:rsid w:val="00A21119"/>
    <w:rsid w:val="00A2145A"/>
    <w:rsid w:val="00A4002B"/>
    <w:rsid w:val="00A62BDA"/>
    <w:rsid w:val="00A64F55"/>
    <w:rsid w:val="00A657FF"/>
    <w:rsid w:val="00A90991"/>
    <w:rsid w:val="00AB0047"/>
    <w:rsid w:val="00AB4436"/>
    <w:rsid w:val="00AC6800"/>
    <w:rsid w:val="00AD577C"/>
    <w:rsid w:val="00B072CA"/>
    <w:rsid w:val="00B319D3"/>
    <w:rsid w:val="00B413F1"/>
    <w:rsid w:val="00B57C4A"/>
    <w:rsid w:val="00B83850"/>
    <w:rsid w:val="00BA6B30"/>
    <w:rsid w:val="00BC1505"/>
    <w:rsid w:val="00BC2421"/>
    <w:rsid w:val="00BC3739"/>
    <w:rsid w:val="00BC5075"/>
    <w:rsid w:val="00BD42BF"/>
    <w:rsid w:val="00BD60C5"/>
    <w:rsid w:val="00BF766F"/>
    <w:rsid w:val="00C00AAB"/>
    <w:rsid w:val="00C013F4"/>
    <w:rsid w:val="00C158D8"/>
    <w:rsid w:val="00C420E6"/>
    <w:rsid w:val="00C7082E"/>
    <w:rsid w:val="00C7775A"/>
    <w:rsid w:val="00CA1A02"/>
    <w:rsid w:val="00CA3BC7"/>
    <w:rsid w:val="00CA5BB3"/>
    <w:rsid w:val="00CD3FAD"/>
    <w:rsid w:val="00CF2DD8"/>
    <w:rsid w:val="00D420FE"/>
    <w:rsid w:val="00D42238"/>
    <w:rsid w:val="00D432A3"/>
    <w:rsid w:val="00D56738"/>
    <w:rsid w:val="00D57951"/>
    <w:rsid w:val="00D67E34"/>
    <w:rsid w:val="00D707AB"/>
    <w:rsid w:val="00D73824"/>
    <w:rsid w:val="00E2174B"/>
    <w:rsid w:val="00E32DE0"/>
    <w:rsid w:val="00E33092"/>
    <w:rsid w:val="00E4499D"/>
    <w:rsid w:val="00E534BA"/>
    <w:rsid w:val="00E74466"/>
    <w:rsid w:val="00E77F0D"/>
    <w:rsid w:val="00EA2F7D"/>
    <w:rsid w:val="00EA5458"/>
    <w:rsid w:val="00EC7D1F"/>
    <w:rsid w:val="00ED0B04"/>
    <w:rsid w:val="00ED6C6A"/>
    <w:rsid w:val="00F023EF"/>
    <w:rsid w:val="00F06F77"/>
    <w:rsid w:val="00F14D6C"/>
    <w:rsid w:val="00F60816"/>
    <w:rsid w:val="00F64185"/>
    <w:rsid w:val="00F675D4"/>
    <w:rsid w:val="00F73A21"/>
    <w:rsid w:val="00F74D3C"/>
    <w:rsid w:val="00F81174"/>
    <w:rsid w:val="00FD3776"/>
    <w:rsid w:val="00FF3E6A"/>
    <w:rsid w:val="00FF57FF"/>
    <w:rsid w:val="0939C9EC"/>
    <w:rsid w:val="0941EECC"/>
    <w:rsid w:val="1189A7B5"/>
    <w:rsid w:val="13ECCC09"/>
    <w:rsid w:val="19DAC822"/>
    <w:rsid w:val="1C853682"/>
    <w:rsid w:val="1E1763F9"/>
    <w:rsid w:val="20884ADE"/>
    <w:rsid w:val="28631D71"/>
    <w:rsid w:val="2B94DF16"/>
    <w:rsid w:val="2D8EF601"/>
    <w:rsid w:val="46FDDE14"/>
    <w:rsid w:val="54A75E72"/>
    <w:rsid w:val="6118EB40"/>
    <w:rsid w:val="6BE0906D"/>
    <w:rsid w:val="6D11662C"/>
    <w:rsid w:val="78DD840E"/>
    <w:rsid w:val="7FA8C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94B05"/>
  <w15:chartTrackingRefBased/>
  <w15:docId w15:val="{623D4B0E-E2EC-4B54-9D90-EBD7F910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F4463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character" w:customStyle="1" w:styleId="normaltextrun">
    <w:name w:val="normaltextrun"/>
    <w:basedOn w:val="DefaultParagraphFont"/>
    <w:rsid w:val="00BC3739"/>
  </w:style>
  <w:style w:type="paragraph" w:styleId="ListParagraph">
    <w:name w:val="List Paragraph"/>
    <w:basedOn w:val="Normal"/>
    <w:uiPriority w:val="34"/>
    <w:qFormat/>
    <w:rsid w:val="00BC37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C37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7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7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7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73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3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73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F57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7FF"/>
  </w:style>
  <w:style w:type="paragraph" w:styleId="Footer">
    <w:name w:val="footer"/>
    <w:basedOn w:val="Normal"/>
    <w:link w:val="FooterChar"/>
    <w:uiPriority w:val="99"/>
    <w:unhideWhenUsed/>
    <w:rsid w:val="00FF5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7FF"/>
  </w:style>
  <w:style w:type="paragraph" w:styleId="FootnoteText">
    <w:name w:val="footnote text"/>
    <w:basedOn w:val="Normal"/>
    <w:link w:val="FootnoteTextChar"/>
    <w:rsid w:val="00FF3E6A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F3E6A"/>
    <w:rPr>
      <w:rFonts w:eastAsia="Times New Roman"/>
      <w:sz w:val="20"/>
      <w:szCs w:val="20"/>
    </w:rPr>
  </w:style>
  <w:style w:type="character" w:styleId="FootnoteReference">
    <w:name w:val="footnote reference"/>
    <w:basedOn w:val="DefaultParagraphFont"/>
    <w:rsid w:val="00FF3E6A"/>
    <w:rPr>
      <w:vertAlign w:val="superscript"/>
    </w:rPr>
  </w:style>
  <w:style w:type="table" w:styleId="GridTable2-Accent6">
    <w:name w:val="Grid Table 2 Accent 6"/>
    <w:basedOn w:val="TableNormal"/>
    <w:uiPriority w:val="47"/>
    <w:rsid w:val="00FF3E6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1Light-Accent6">
    <w:name w:val="Grid Table 1 Light Accent 6"/>
    <w:basedOn w:val="TableNormal"/>
    <w:uiPriority w:val="46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">
    <w:name w:val="Grid Table 6 Colorful"/>
    <w:basedOn w:val="TableNormal"/>
    <w:uiPriority w:val="51"/>
    <w:rsid w:val="00FF3E6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PlainTable3">
    <w:name w:val="Plain Table 3"/>
    <w:basedOn w:val="TableNormal"/>
    <w:uiPriority w:val="43"/>
    <w:rsid w:val="00FF3E6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FF3E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Simple1">
    <w:name w:val="Table Simple 1"/>
    <w:basedOn w:val="TableNormal"/>
    <w:rsid w:val="00FF3E6A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4F50ADF99014B9A2A7FD423FED020" ma:contentTypeVersion="4" ma:contentTypeDescription="Create a new document." ma:contentTypeScope="" ma:versionID="2a71551f7553eefdf96555dc76e4999d">
  <xsd:schema xmlns:xsd="http://www.w3.org/2001/XMLSchema" xmlns:xs="http://www.w3.org/2001/XMLSchema" xmlns:p="http://schemas.microsoft.com/office/2006/metadata/properties" xmlns:ns2="35ff0fdb-27e9-4101-a9ec-a68eaadfa029" targetNamespace="http://schemas.microsoft.com/office/2006/metadata/properties" ma:root="true" ma:fieldsID="690abe80adaae7287739c4d1e5cfdce4" ns2:_="">
    <xsd:import namespace="35ff0fdb-27e9-4101-a9ec-a68eaadfa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f0fdb-27e9-4101-a9ec-a68eaadfa0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FEA953-5DDF-4347-A56F-CEC8FCAD9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f0fdb-27e9-4101-a9ec-a68eaadfa0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0F790-4BE0-4C27-BDD4-4FFEA5EB7E5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5ff0fdb-27e9-4101-a9ec-a68eaadfa029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BEF876A-B7DC-4D08-A0F2-9B6E3856F2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CEA8DB-96A1-4E7E-9546-0FB22958E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2357</Characters>
  <Application>Microsoft Office Word</Application>
  <DocSecurity>0</DocSecurity>
  <Lines>65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Activities Report Oct-Dec 2020</vt:lpstr>
    </vt:vector>
  </TitlesOfParts>
  <Company>Department of Health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Activities Report January-March 2022</dc:title>
  <dc:subject/>
  <dc:creator>OGTR.Voicemail@health.gov.au</dc:creator>
  <cp:keywords/>
  <dc:description/>
  <cp:lastModifiedBy>SMITH, Justine</cp:lastModifiedBy>
  <cp:revision>3</cp:revision>
  <dcterms:created xsi:type="dcterms:W3CDTF">2022-07-26T23:13:00Z</dcterms:created>
  <dcterms:modified xsi:type="dcterms:W3CDTF">2022-07-26T23:17:00Z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0x010100D794F50ADF99014B9A2A7FD423FED020</vt:lpwstr>
  </property>
</Properties>
</file>