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CA127" w14:textId="7A9311A9" w:rsidR="009D35E9" w:rsidRPr="00091301" w:rsidRDefault="009D35E9" w:rsidP="00091301">
      <w:pPr>
        <w:pStyle w:val="CmqTitle1"/>
        <w:spacing w:before="240"/>
        <w:rPr>
          <w:color w:val="auto"/>
        </w:rPr>
      </w:pPr>
      <w:bookmarkStart w:id="0" w:name="_Toc123029785"/>
      <w:r w:rsidRPr="00091301">
        <w:rPr>
          <w:color w:val="auto"/>
        </w:rPr>
        <w:t>Gene Technology Technical Advisory Committee</w:t>
      </w:r>
      <w:bookmarkEnd w:id="0"/>
    </w:p>
    <w:p w14:paraId="1D7F2B43" w14:textId="79473AF1" w:rsidR="009D35E9" w:rsidRPr="00091301" w:rsidRDefault="008539BF" w:rsidP="009D35E9">
      <w:pPr>
        <w:pStyle w:val="CmqTitle1"/>
        <w:rPr>
          <w:color w:val="auto"/>
          <w:szCs w:val="24"/>
        </w:rPr>
      </w:pPr>
      <w:r w:rsidRPr="00091301">
        <w:rPr>
          <w:color w:val="auto"/>
          <w:szCs w:val="24"/>
        </w:rPr>
        <w:t>13 December</w:t>
      </w:r>
      <w:r w:rsidR="009D35E9" w:rsidRPr="00091301">
        <w:rPr>
          <w:color w:val="auto"/>
          <w:szCs w:val="24"/>
        </w:rPr>
        <w:t xml:space="preserve"> 2021</w:t>
      </w:r>
    </w:p>
    <w:p w14:paraId="32AB77DE" w14:textId="77777777" w:rsidR="009D35E9" w:rsidRPr="00091301" w:rsidRDefault="009D35E9" w:rsidP="009D35E9">
      <w:pPr>
        <w:pStyle w:val="CmqTitle1"/>
        <w:spacing w:after="240"/>
        <w:rPr>
          <w:color w:val="auto"/>
          <w:szCs w:val="24"/>
        </w:rPr>
      </w:pPr>
      <w:r w:rsidRPr="00091301">
        <w:rPr>
          <w:color w:val="auto"/>
          <w:szCs w:val="24"/>
        </w:rPr>
        <w:t>Communiqué</w:t>
      </w:r>
    </w:p>
    <w:p w14:paraId="772240E8" w14:textId="18199357" w:rsidR="009D35E9" w:rsidRPr="00091301" w:rsidRDefault="009D35E9" w:rsidP="009D35E9">
      <w:pPr>
        <w:pStyle w:val="CmqTitle2"/>
        <w:ind w:left="0"/>
      </w:pPr>
      <w:r w:rsidRPr="00091301">
        <w:t xml:space="preserve">This Communiqué covers matters considered at the </w:t>
      </w:r>
      <w:r w:rsidR="008539BF" w:rsidRPr="00091301">
        <w:t>28</w:t>
      </w:r>
      <w:r w:rsidR="008539BF" w:rsidRPr="00091301">
        <w:rPr>
          <w:vertAlign w:val="superscript"/>
        </w:rPr>
        <w:t>th</w:t>
      </w:r>
      <w:r w:rsidR="008539BF" w:rsidRPr="00091301">
        <w:t xml:space="preserve"> </w:t>
      </w:r>
      <w:r w:rsidRPr="00091301">
        <w:t xml:space="preserve">videoconference of the </w:t>
      </w:r>
      <w:r w:rsidRPr="00091301">
        <w:br/>
        <w:t>Gene Technology Technical Advisory Committee (</w:t>
      </w:r>
      <w:r w:rsidR="008539BF" w:rsidRPr="00091301">
        <w:t>13 December</w:t>
      </w:r>
      <w:r w:rsidRPr="00091301">
        <w:t xml:space="preserve"> 2021)</w:t>
      </w:r>
    </w:p>
    <w:p w14:paraId="78210C7F" w14:textId="77777777" w:rsidR="009D35E9" w:rsidRPr="00091301" w:rsidRDefault="009D35E9" w:rsidP="009D35E9">
      <w:pPr>
        <w:pStyle w:val="BodyText"/>
        <w:tabs>
          <w:tab w:val="left" w:pos="2410"/>
        </w:tabs>
        <w:spacing w:before="240"/>
        <w:rPr>
          <w:rFonts w:ascii="Arial" w:hAnsi="Arial" w:cs="Arial"/>
        </w:rPr>
      </w:pPr>
      <w:r w:rsidRPr="00091301">
        <w:rPr>
          <w:rFonts w:ascii="Arial" w:hAnsi="Arial" w:cs="Arial"/>
        </w:rPr>
        <w:t xml:space="preserve">The Gene Technology Technical Advisory Committee (GTTAC) is a statutory advisory committee established under the </w:t>
      </w:r>
      <w:r w:rsidRPr="00091301">
        <w:rPr>
          <w:rFonts w:ascii="Arial" w:hAnsi="Arial" w:cs="Arial"/>
          <w:i/>
        </w:rPr>
        <w:t>Gene Technology Act 2000</w:t>
      </w:r>
      <w:r w:rsidRPr="00091301">
        <w:rPr>
          <w:rFonts w:ascii="Arial" w:hAnsi="Arial" w:cs="Arial"/>
        </w:rPr>
        <w:t xml:space="preserve"> (the Act) to provide scientific and technical advice to the Gene Technology Regulator (the Regulator) and the Gene Technology Ministers’ Meeting. </w:t>
      </w:r>
    </w:p>
    <w:p w14:paraId="26E96D08" w14:textId="77777777" w:rsidR="009D35E9" w:rsidRPr="00091301" w:rsidRDefault="009D35E9" w:rsidP="009D35E9">
      <w:pPr>
        <w:pStyle w:val="BodyText"/>
        <w:rPr>
          <w:rFonts w:ascii="Arial" w:hAnsi="Arial" w:cs="Arial"/>
        </w:rPr>
      </w:pPr>
      <w:r w:rsidRPr="00091301">
        <w:rPr>
          <w:rFonts w:ascii="Arial" w:hAnsi="Arial" w:cs="Arial"/>
        </w:rPr>
        <w:t>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which is treated as Confidential Commercial Information in accordance with the Act.</w:t>
      </w:r>
    </w:p>
    <w:p w14:paraId="6408A059" w14:textId="77777777" w:rsidR="009D35E9" w:rsidRPr="00091301" w:rsidRDefault="009D35E9" w:rsidP="009D35E9">
      <w:pPr>
        <w:pStyle w:val="CmqHeading1"/>
        <w:rPr>
          <w:rFonts w:ascii="Arial" w:hAnsi="Arial"/>
          <w:color w:val="auto"/>
        </w:rPr>
      </w:pPr>
      <w:r w:rsidRPr="00091301">
        <w:rPr>
          <w:rFonts w:ascii="Arial" w:hAnsi="Arial"/>
          <w:color w:val="auto"/>
        </w:rPr>
        <w:t>Dealings Involving the Intentional Release of a GMO</w:t>
      </w:r>
    </w:p>
    <w:p w14:paraId="39FC6B5F" w14:textId="77777777" w:rsidR="009D35E9" w:rsidRPr="00091301" w:rsidRDefault="009D35E9" w:rsidP="009D35E9">
      <w:pPr>
        <w:pStyle w:val="BodyText"/>
        <w:rPr>
          <w:rFonts w:ascii="Arial" w:hAnsi="Arial" w:cs="Arial"/>
        </w:rPr>
      </w:pPr>
      <w:r w:rsidRPr="00091301">
        <w:rPr>
          <w:rFonts w:ascii="Arial" w:hAnsi="Arial" w:cs="Arial"/>
        </w:rPr>
        <w:t>Dealings involving the Intentional Release (DIR) of a GMO into the environment can involve a limited and controlled release (clinical trial or field trial) or a commercial (general) release.</w:t>
      </w:r>
    </w:p>
    <w:p w14:paraId="23AFEAB7" w14:textId="77777777" w:rsidR="009D35E9" w:rsidRPr="00091301" w:rsidRDefault="009D35E9" w:rsidP="009D35E9">
      <w:pPr>
        <w:pStyle w:val="BodyText"/>
        <w:rPr>
          <w:rFonts w:ascii="Arial" w:hAnsi="Arial" w:cs="Arial"/>
        </w:rPr>
      </w:pPr>
      <w:r w:rsidRPr="00091301">
        <w:rPr>
          <w:rFonts w:ascii="Arial" w:hAnsi="Arial" w:cs="Arial"/>
        </w:rPr>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2ECC21BC" w14:textId="77777777" w:rsidR="009D35E9" w:rsidRPr="00091301" w:rsidRDefault="009D35E9" w:rsidP="009D35E9">
      <w:pPr>
        <w:pStyle w:val="BodyText"/>
        <w:rPr>
          <w:rFonts w:ascii="Arial" w:hAnsi="Arial" w:cs="Arial"/>
        </w:rPr>
      </w:pPr>
      <w:r w:rsidRPr="00091301">
        <w:rPr>
          <w:rFonts w:ascii="Arial" w:hAnsi="Arial" w:cs="Arial"/>
        </w:rPr>
        <w:t xml:space="preserve">The RARMP for every DIR licence application is issued for public consultation. Information on how to obtain copies of DIR applications and RARMPs is provided at the end of this document. </w:t>
      </w:r>
    </w:p>
    <w:p w14:paraId="6836E610" w14:textId="77777777" w:rsidR="009D35E9" w:rsidRPr="00091301" w:rsidRDefault="009D35E9" w:rsidP="009D35E9">
      <w:pPr>
        <w:pStyle w:val="Cmqheading2"/>
        <w:spacing w:line="264" w:lineRule="auto"/>
        <w:rPr>
          <w:color w:val="auto"/>
        </w:rPr>
      </w:pPr>
      <w:r w:rsidRPr="00091301">
        <w:rPr>
          <w:color w:val="auto"/>
        </w:rPr>
        <w:t>Advice on consultation rarmps – Limited and controlled release</w:t>
      </w:r>
    </w:p>
    <w:p w14:paraId="05D2FF4C" w14:textId="240B9B1A" w:rsidR="009D35E9" w:rsidRPr="00091301" w:rsidRDefault="001919F9" w:rsidP="009D35E9">
      <w:pPr>
        <w:pStyle w:val="Cmqheading3"/>
        <w:spacing w:line="264" w:lineRule="auto"/>
        <w:ind w:left="1077" w:hanging="1077"/>
        <w:rPr>
          <w:bCs/>
          <w:color w:val="auto"/>
        </w:rPr>
      </w:pPr>
      <w:hyperlink r:id="rId7" w:history="1">
        <w:r w:rsidR="009D35E9" w:rsidRPr="00091301">
          <w:rPr>
            <w:rStyle w:val="Hyperlink"/>
            <w:color w:val="auto"/>
          </w:rPr>
          <w:t>DIR 186</w:t>
        </w:r>
      </w:hyperlink>
      <w:r w:rsidR="009D35E9" w:rsidRPr="00091301">
        <w:rPr>
          <w:color w:val="auto"/>
        </w:rPr>
        <w:t xml:space="preserve"> – </w:t>
      </w:r>
      <w:r w:rsidR="009D35E9" w:rsidRPr="00091301">
        <w:rPr>
          <w:bCs/>
          <w:color w:val="auto"/>
        </w:rPr>
        <w:t xml:space="preserve">Limited and controlled release of wheat and barley genetically modified for yield enhancement and improved abiotic stress tolerance </w:t>
      </w:r>
    </w:p>
    <w:p w14:paraId="29BB5CC7" w14:textId="794AFEFA" w:rsidR="009D35E9" w:rsidRDefault="009D35E9" w:rsidP="009D35E9">
      <w:pPr>
        <w:pStyle w:val="BodyText"/>
        <w:rPr>
          <w:rFonts w:ascii="Arial" w:hAnsi="Arial" w:cs="Arial"/>
        </w:rPr>
      </w:pPr>
      <w:r w:rsidRPr="00091301">
        <w:rPr>
          <w:rFonts w:ascii="Arial" w:hAnsi="Arial" w:cs="Arial"/>
        </w:rPr>
        <w:t>Licence application DIR 18</w:t>
      </w:r>
      <w:r w:rsidR="0020710A" w:rsidRPr="00091301">
        <w:rPr>
          <w:rFonts w:ascii="Arial" w:hAnsi="Arial" w:cs="Arial"/>
        </w:rPr>
        <w:t>6</w:t>
      </w:r>
      <w:r w:rsidRPr="00091301">
        <w:rPr>
          <w:rFonts w:ascii="Arial" w:hAnsi="Arial" w:cs="Arial"/>
        </w:rPr>
        <w:t xml:space="preserve"> from </w:t>
      </w:r>
      <w:r w:rsidR="00C9753E" w:rsidRPr="00091301">
        <w:rPr>
          <w:rFonts w:ascii="Arial" w:hAnsi="Arial" w:cs="Arial"/>
        </w:rPr>
        <w:t>the University of Adelaide</w:t>
      </w:r>
      <w:r w:rsidRPr="00091301">
        <w:rPr>
          <w:rFonts w:ascii="Arial" w:hAnsi="Arial" w:cs="Arial"/>
        </w:rPr>
        <w:t xml:space="preserve"> is for a </w:t>
      </w:r>
      <w:r w:rsidR="00C9753E" w:rsidRPr="00091301">
        <w:rPr>
          <w:rFonts w:ascii="Arial" w:hAnsi="Arial" w:cs="Arial"/>
        </w:rPr>
        <w:t xml:space="preserve">field </w:t>
      </w:r>
      <w:r w:rsidRPr="00091301">
        <w:rPr>
          <w:rFonts w:ascii="Arial" w:hAnsi="Arial" w:cs="Arial"/>
        </w:rPr>
        <w:t xml:space="preserve">trial </w:t>
      </w:r>
      <w:r w:rsidR="00371AF4" w:rsidRPr="00091301">
        <w:rPr>
          <w:rFonts w:ascii="Arial" w:hAnsi="Arial" w:cs="Arial"/>
        </w:rPr>
        <w:t>of</w:t>
      </w:r>
      <w:r w:rsidRPr="00091301">
        <w:rPr>
          <w:rFonts w:ascii="Arial" w:hAnsi="Arial" w:cs="Arial"/>
        </w:rPr>
        <w:t xml:space="preserve"> genetically modified (GM) </w:t>
      </w:r>
      <w:r w:rsidR="00C9753E" w:rsidRPr="00091301">
        <w:rPr>
          <w:rFonts w:ascii="Arial" w:hAnsi="Arial" w:cs="Arial"/>
        </w:rPr>
        <w:t>wheat and barley</w:t>
      </w:r>
      <w:r w:rsidR="00371AF4" w:rsidRPr="00091301">
        <w:rPr>
          <w:rFonts w:ascii="Arial" w:hAnsi="Arial" w:cs="Arial"/>
        </w:rPr>
        <w:t xml:space="preserve"> containing genes</w:t>
      </w:r>
      <w:r w:rsidR="00C9753E" w:rsidRPr="00091301">
        <w:rPr>
          <w:rFonts w:ascii="Arial" w:hAnsi="Arial" w:cs="Arial"/>
        </w:rPr>
        <w:t xml:space="preserve"> for yield enhancement and abiotic stress tolerance (water-use efficiency)</w:t>
      </w:r>
      <w:r w:rsidRPr="00091301">
        <w:rPr>
          <w:rFonts w:ascii="Arial" w:hAnsi="Arial" w:cs="Arial"/>
        </w:rPr>
        <w:t xml:space="preserve">. </w:t>
      </w:r>
      <w:r w:rsidR="00212C38" w:rsidRPr="00091301">
        <w:rPr>
          <w:rFonts w:ascii="Arial" w:hAnsi="Arial" w:cs="Arial"/>
        </w:rPr>
        <w:t>The trial is proposed to take place between 2022 and 2027, at one site in South Australia and one site in Western Australia. The proposal is to plant on a maximum of two sites per year, with a combined total of 2 ha across both sites in any year.</w:t>
      </w:r>
    </w:p>
    <w:p w14:paraId="4D24B647" w14:textId="64F5D45B" w:rsidR="00E003FF" w:rsidRDefault="00E003FF" w:rsidP="00E003FF">
      <w:pPr>
        <w:rPr>
          <w:rFonts w:ascii="Arial" w:hAnsi="Arial" w:cs="Arial"/>
        </w:rPr>
      </w:pPr>
    </w:p>
    <w:p w14:paraId="45E0A397" w14:textId="55F0AD59" w:rsidR="00E003FF" w:rsidRPr="00E003FF" w:rsidRDefault="00E003FF" w:rsidP="00E003FF">
      <w:pPr>
        <w:tabs>
          <w:tab w:val="left" w:pos="2076"/>
        </w:tabs>
      </w:pPr>
      <w:r>
        <w:tab/>
      </w:r>
    </w:p>
    <w:p w14:paraId="67F60A4B" w14:textId="77777777" w:rsidR="00E003FF" w:rsidRPr="00E003FF" w:rsidRDefault="00E003FF" w:rsidP="00E003FF"/>
    <w:p w14:paraId="13E3149D" w14:textId="4E85937A" w:rsidR="009D35E9" w:rsidRPr="00091301" w:rsidRDefault="009D35E9" w:rsidP="00C13D2D">
      <w:pPr>
        <w:pStyle w:val="BodyText"/>
        <w:keepNext/>
        <w:rPr>
          <w:rFonts w:ascii="Arial" w:hAnsi="Arial" w:cs="Arial"/>
        </w:rPr>
      </w:pPr>
      <w:r w:rsidRPr="00091301">
        <w:rPr>
          <w:rFonts w:ascii="Arial" w:hAnsi="Arial" w:cs="Arial"/>
        </w:rPr>
        <w:t>GTTAC noted the conclusion of the RARMP that risks to the health and safety of people or the environment from the proposed trial are negligible. The Committee</w:t>
      </w:r>
      <w:r w:rsidR="00212C38" w:rsidRPr="00091301">
        <w:rPr>
          <w:rFonts w:ascii="Arial" w:hAnsi="Arial" w:cs="Arial"/>
        </w:rPr>
        <w:t xml:space="preserve"> </w:t>
      </w:r>
      <w:r w:rsidRPr="00091301">
        <w:rPr>
          <w:rFonts w:ascii="Arial" w:hAnsi="Arial" w:cs="Arial"/>
        </w:rPr>
        <w:t>discussed the following key topics:</w:t>
      </w:r>
    </w:p>
    <w:p w14:paraId="099A881B" w14:textId="05E5A22B" w:rsidR="009D35E9" w:rsidRPr="00091301" w:rsidRDefault="00AD0055" w:rsidP="009D35E9">
      <w:pPr>
        <w:pStyle w:val="BodyText"/>
        <w:numPr>
          <w:ilvl w:val="0"/>
          <w:numId w:val="5"/>
        </w:numPr>
        <w:spacing w:before="0"/>
        <w:ind w:left="533" w:hanging="357"/>
        <w:rPr>
          <w:rFonts w:ascii="Arial" w:hAnsi="Arial" w:cs="Arial"/>
        </w:rPr>
      </w:pPr>
      <w:r w:rsidRPr="00091301">
        <w:rPr>
          <w:rFonts w:ascii="Arial" w:hAnsi="Arial" w:cs="Arial"/>
        </w:rPr>
        <w:t xml:space="preserve">the </w:t>
      </w:r>
      <w:r w:rsidR="00212C38" w:rsidRPr="00091301">
        <w:rPr>
          <w:rFonts w:ascii="Arial" w:hAnsi="Arial" w:cs="Arial"/>
        </w:rPr>
        <w:t xml:space="preserve">possibility that the genetic modification may alter uptake of heavy metals, noting </w:t>
      </w:r>
      <w:r w:rsidRPr="00091301">
        <w:rPr>
          <w:rFonts w:ascii="Arial" w:hAnsi="Arial" w:cs="Arial"/>
        </w:rPr>
        <w:t>this has been identifie</w:t>
      </w:r>
      <w:r w:rsidR="00E87B35">
        <w:rPr>
          <w:rFonts w:ascii="Arial" w:hAnsi="Arial" w:cs="Arial"/>
        </w:rPr>
        <w:t>d</w:t>
      </w:r>
      <w:r w:rsidRPr="00091301">
        <w:rPr>
          <w:rFonts w:ascii="Arial" w:hAnsi="Arial" w:cs="Arial"/>
        </w:rPr>
        <w:t xml:space="preserve"> as an area of uncertainty in the RARMP</w:t>
      </w:r>
      <w:r w:rsidR="00212C38" w:rsidRPr="00091301">
        <w:rPr>
          <w:rFonts w:ascii="Arial" w:hAnsi="Arial" w:cs="Arial"/>
        </w:rPr>
        <w:t>, and that the licence conditions would prohibit the GMO from being used in food and feed</w:t>
      </w:r>
    </w:p>
    <w:p w14:paraId="4929261D" w14:textId="4F8A40D2" w:rsidR="009D35E9" w:rsidRPr="00091301" w:rsidRDefault="00AD0055" w:rsidP="009D35E9">
      <w:pPr>
        <w:pStyle w:val="BodyText"/>
        <w:numPr>
          <w:ilvl w:val="0"/>
          <w:numId w:val="5"/>
        </w:numPr>
        <w:spacing w:before="0"/>
        <w:ind w:left="533" w:hanging="357"/>
        <w:rPr>
          <w:rFonts w:ascii="Arial" w:hAnsi="Arial" w:cs="Arial"/>
          <w:lang w:val="en-US"/>
        </w:rPr>
      </w:pPr>
      <w:r w:rsidRPr="00091301">
        <w:rPr>
          <w:rFonts w:ascii="Arial" w:hAnsi="Arial" w:cs="Arial"/>
        </w:rPr>
        <w:t>whether</w:t>
      </w:r>
      <w:r w:rsidR="00A53221" w:rsidRPr="00091301">
        <w:rPr>
          <w:rFonts w:ascii="Arial" w:hAnsi="Arial" w:cs="Arial"/>
        </w:rPr>
        <w:t xml:space="preserve"> light emitted from the Red Fluorescent Protein (RFP) marker gene </w:t>
      </w:r>
      <w:r w:rsidRPr="00091301">
        <w:rPr>
          <w:rFonts w:ascii="Arial" w:hAnsi="Arial" w:cs="Arial"/>
        </w:rPr>
        <w:t xml:space="preserve">could </w:t>
      </w:r>
      <w:r w:rsidR="00A53221" w:rsidRPr="00091301">
        <w:rPr>
          <w:rFonts w:ascii="Arial" w:hAnsi="Arial" w:cs="Arial"/>
        </w:rPr>
        <w:t>affect insect and other animal behaviours during the trial</w:t>
      </w:r>
    </w:p>
    <w:tbl>
      <w:tblPr>
        <w:tblStyle w:val="TableGrid"/>
        <w:tblW w:w="9639" w:type="dxa"/>
        <w:tblInd w:w="-5" w:type="dxa"/>
        <w:tblLook w:val="04A0" w:firstRow="1" w:lastRow="0" w:firstColumn="1" w:lastColumn="0" w:noHBand="0" w:noVBand="1"/>
        <w:tblCaption w:val="Resolutions"/>
      </w:tblPr>
      <w:tblGrid>
        <w:gridCol w:w="9639"/>
      </w:tblGrid>
      <w:tr w:rsidR="0074309F" w:rsidRPr="00091301" w14:paraId="4F8C085A" w14:textId="77777777" w:rsidTr="0044644B">
        <w:trPr>
          <w:tblHeader/>
        </w:trPr>
        <w:tc>
          <w:tcPr>
            <w:tcW w:w="9639" w:type="dxa"/>
          </w:tcPr>
          <w:p w14:paraId="4AA7FBE1" w14:textId="77777777" w:rsidR="009D35E9" w:rsidRPr="00091301" w:rsidRDefault="009D35E9" w:rsidP="00C715A3">
            <w:pPr>
              <w:pStyle w:val="Cmqheading3"/>
              <w:spacing w:before="0" w:line="264" w:lineRule="auto"/>
              <w:ind w:left="0" w:firstLine="0"/>
              <w:rPr>
                <w:color w:val="auto"/>
              </w:rPr>
            </w:pPr>
            <w:r w:rsidRPr="00091301">
              <w:rPr>
                <w:color w:val="auto"/>
              </w:rPr>
              <w:t xml:space="preserve">Resolutions </w:t>
            </w:r>
          </w:p>
          <w:p w14:paraId="18213718" w14:textId="012D49D6" w:rsidR="00C9753E" w:rsidRPr="00091301" w:rsidRDefault="00C9753E" w:rsidP="00C715A3">
            <w:pPr>
              <w:pStyle w:val="ListParagraph"/>
              <w:numPr>
                <w:ilvl w:val="0"/>
                <w:numId w:val="4"/>
              </w:numPr>
              <w:spacing w:after="0"/>
              <w:contextualSpacing w:val="0"/>
              <w:rPr>
                <w:rFonts w:ascii="Arial" w:eastAsiaTheme="minorHAnsi" w:hAnsi="Arial" w:cs="Arial"/>
              </w:rPr>
            </w:pPr>
            <w:r w:rsidRPr="00091301">
              <w:rPr>
                <w:rFonts w:ascii="Arial" w:hAnsi="Arial" w:cs="Arial"/>
              </w:rPr>
              <w:t>The Committee agreed with the overall conclusions of the RARMP</w:t>
            </w:r>
          </w:p>
          <w:p w14:paraId="04731F7F" w14:textId="4D4B63BE" w:rsidR="009D35E9" w:rsidRPr="00091301" w:rsidRDefault="00C9753E" w:rsidP="00C715A3">
            <w:pPr>
              <w:pStyle w:val="ListParagraph"/>
              <w:numPr>
                <w:ilvl w:val="0"/>
                <w:numId w:val="4"/>
              </w:numPr>
              <w:spacing w:after="0" w:line="264" w:lineRule="auto"/>
              <w:contextualSpacing w:val="0"/>
              <w:rPr>
                <w:rFonts w:ascii="Arial" w:hAnsi="Arial" w:cs="Arial"/>
              </w:rPr>
            </w:pPr>
            <w:r w:rsidRPr="00091301">
              <w:rPr>
                <w:rFonts w:ascii="Arial" w:hAnsi="Arial" w:cs="Arial"/>
              </w:rPr>
              <w:t>The Regulator should further consider possible risks associated with RFP expression and whether there may be changes in insect and other animal behaviours during the trial</w:t>
            </w:r>
          </w:p>
        </w:tc>
      </w:tr>
    </w:tbl>
    <w:p w14:paraId="4A57CB66" w14:textId="39B290A8" w:rsidR="009D35E9" w:rsidRPr="00091301" w:rsidRDefault="001919F9" w:rsidP="009D35E9">
      <w:pPr>
        <w:pStyle w:val="Cmqheading3"/>
        <w:spacing w:line="264" w:lineRule="auto"/>
        <w:ind w:left="1077" w:hanging="1077"/>
        <w:rPr>
          <w:bCs/>
          <w:color w:val="auto"/>
        </w:rPr>
      </w:pPr>
      <w:hyperlink r:id="rId8" w:history="1">
        <w:r w:rsidR="009D35E9" w:rsidRPr="00091301">
          <w:rPr>
            <w:rStyle w:val="Hyperlink"/>
            <w:color w:val="auto"/>
          </w:rPr>
          <w:t>DIR 187</w:t>
        </w:r>
      </w:hyperlink>
      <w:r w:rsidR="009D35E9" w:rsidRPr="00091301">
        <w:rPr>
          <w:color w:val="auto"/>
        </w:rPr>
        <w:t xml:space="preserve"> – </w:t>
      </w:r>
      <w:r w:rsidR="009D35E9" w:rsidRPr="00091301">
        <w:rPr>
          <w:bCs/>
          <w:color w:val="auto"/>
        </w:rPr>
        <w:t>Clinical trial of a genetically modified alphavirus for treatment of cancer</w:t>
      </w:r>
    </w:p>
    <w:p w14:paraId="549A57C6" w14:textId="073998DF" w:rsidR="00A53221" w:rsidRPr="00091301" w:rsidRDefault="00A53221" w:rsidP="00A53221">
      <w:pPr>
        <w:pStyle w:val="BodyText"/>
        <w:rPr>
          <w:rFonts w:ascii="Arial" w:hAnsi="Arial" w:cs="Arial"/>
        </w:rPr>
      </w:pPr>
      <w:r w:rsidRPr="00091301">
        <w:rPr>
          <w:rFonts w:ascii="Arial" w:hAnsi="Arial" w:cs="Arial"/>
        </w:rPr>
        <w:t>Licence application DIR 18</w:t>
      </w:r>
      <w:r w:rsidR="0054661D" w:rsidRPr="00091301">
        <w:rPr>
          <w:rFonts w:ascii="Arial" w:hAnsi="Arial" w:cs="Arial"/>
        </w:rPr>
        <w:t>7</w:t>
      </w:r>
      <w:r w:rsidRPr="00091301">
        <w:rPr>
          <w:rFonts w:ascii="Arial" w:hAnsi="Arial" w:cs="Arial"/>
        </w:rPr>
        <w:t xml:space="preserve"> from </w:t>
      </w:r>
      <w:r w:rsidR="00966A36" w:rsidRPr="00091301">
        <w:rPr>
          <w:rFonts w:ascii="Arial" w:hAnsi="Arial" w:cs="Arial"/>
        </w:rPr>
        <w:t>VRT Pharmaceuticals Pty Ltd</w:t>
      </w:r>
      <w:r w:rsidRPr="00091301">
        <w:rPr>
          <w:rFonts w:ascii="Arial" w:hAnsi="Arial" w:cs="Arial"/>
        </w:rPr>
        <w:t xml:space="preserve"> is for a </w:t>
      </w:r>
      <w:r w:rsidR="00966A36" w:rsidRPr="00091301">
        <w:rPr>
          <w:rFonts w:ascii="Arial" w:hAnsi="Arial" w:cs="Arial"/>
        </w:rPr>
        <w:t>clinical</w:t>
      </w:r>
      <w:r w:rsidRPr="00091301">
        <w:rPr>
          <w:rFonts w:ascii="Arial" w:hAnsi="Arial" w:cs="Arial"/>
        </w:rPr>
        <w:t xml:space="preserve"> trial using GM </w:t>
      </w:r>
      <w:proofErr w:type="spellStart"/>
      <w:r w:rsidR="00966A36" w:rsidRPr="00091301">
        <w:rPr>
          <w:rFonts w:ascii="Arial" w:hAnsi="Arial" w:cs="Arial"/>
          <w:i/>
          <w:iCs/>
        </w:rPr>
        <w:t>Getah</w:t>
      </w:r>
      <w:proofErr w:type="spellEnd"/>
      <w:r w:rsidR="00966A36" w:rsidRPr="00091301">
        <w:rPr>
          <w:rFonts w:ascii="Arial" w:hAnsi="Arial" w:cs="Arial"/>
          <w:i/>
          <w:iCs/>
        </w:rPr>
        <w:t xml:space="preserve"> virus </w:t>
      </w:r>
      <w:r w:rsidR="00966A36" w:rsidRPr="00091301">
        <w:rPr>
          <w:rFonts w:ascii="Arial" w:hAnsi="Arial" w:cs="Arial"/>
        </w:rPr>
        <w:t xml:space="preserve">(GETV) as </w:t>
      </w:r>
      <w:r w:rsidR="00AD0055" w:rsidRPr="00091301">
        <w:rPr>
          <w:rFonts w:ascii="Arial" w:hAnsi="Arial" w:cs="Arial"/>
        </w:rPr>
        <w:t>a</w:t>
      </w:r>
      <w:r w:rsidR="00966A36" w:rsidRPr="00091301">
        <w:rPr>
          <w:rFonts w:ascii="Arial" w:hAnsi="Arial" w:cs="Arial"/>
        </w:rPr>
        <w:t xml:space="preserve"> treatment for cancer. Up to 20 </w:t>
      </w:r>
      <w:r w:rsidR="00AD0055" w:rsidRPr="00091301">
        <w:rPr>
          <w:rFonts w:ascii="Arial" w:hAnsi="Arial" w:cs="Arial"/>
        </w:rPr>
        <w:t>adults with cancer would</w:t>
      </w:r>
      <w:r w:rsidR="00966A36" w:rsidRPr="00091301">
        <w:rPr>
          <w:rFonts w:ascii="Arial" w:hAnsi="Arial" w:cs="Arial"/>
        </w:rPr>
        <w:t xml:space="preserve"> receive treatment in a hospital setting in Australia. </w:t>
      </w:r>
      <w:r w:rsidRPr="00091301">
        <w:rPr>
          <w:rFonts w:ascii="Arial" w:hAnsi="Arial" w:cs="Arial"/>
        </w:rPr>
        <w:t xml:space="preserve"> </w:t>
      </w:r>
    </w:p>
    <w:p w14:paraId="179D0ED2" w14:textId="47AA66E2" w:rsidR="00966A36" w:rsidRPr="00091301" w:rsidRDefault="00A53221" w:rsidP="00966A36">
      <w:pPr>
        <w:pStyle w:val="BodyText"/>
        <w:rPr>
          <w:rFonts w:ascii="Arial" w:hAnsi="Arial" w:cs="Arial"/>
        </w:rPr>
      </w:pPr>
      <w:r w:rsidRPr="00091301">
        <w:rPr>
          <w:rFonts w:ascii="Arial" w:hAnsi="Arial" w:cs="Arial"/>
        </w:rPr>
        <w:t xml:space="preserve">GTTAC </w:t>
      </w:r>
      <w:r w:rsidR="00966A36" w:rsidRPr="00091301">
        <w:rPr>
          <w:rFonts w:ascii="Arial" w:hAnsi="Arial" w:cs="Arial"/>
        </w:rPr>
        <w:t xml:space="preserve">considered many topics in relation to the safety of the proposal noting </w:t>
      </w:r>
      <w:r w:rsidR="00BB7C76" w:rsidRPr="00091301">
        <w:rPr>
          <w:rFonts w:ascii="Arial" w:hAnsi="Arial" w:cs="Arial"/>
        </w:rPr>
        <w:t>several</w:t>
      </w:r>
      <w:r w:rsidR="00966A36" w:rsidRPr="00091301">
        <w:rPr>
          <w:rFonts w:ascii="Arial" w:hAnsi="Arial" w:cs="Arial"/>
        </w:rPr>
        <w:t xml:space="preserve"> uncertainties associated with the </w:t>
      </w:r>
      <w:r w:rsidR="00E659AF" w:rsidRPr="00091301">
        <w:rPr>
          <w:rFonts w:ascii="Arial" w:hAnsi="Arial" w:cs="Arial"/>
        </w:rPr>
        <w:t>application</w:t>
      </w:r>
      <w:r w:rsidR="00966A36" w:rsidRPr="00091301">
        <w:rPr>
          <w:rFonts w:ascii="Arial" w:hAnsi="Arial" w:cs="Arial"/>
        </w:rPr>
        <w:t xml:space="preserve">, including the duration of passive viremia </w:t>
      </w:r>
      <w:r w:rsidR="00E659AF" w:rsidRPr="00091301">
        <w:rPr>
          <w:rFonts w:ascii="Arial" w:hAnsi="Arial" w:cs="Arial"/>
        </w:rPr>
        <w:t xml:space="preserve">following treatment </w:t>
      </w:r>
      <w:r w:rsidR="00966A36" w:rsidRPr="00091301">
        <w:rPr>
          <w:rFonts w:ascii="Arial" w:hAnsi="Arial" w:cs="Arial"/>
        </w:rPr>
        <w:t xml:space="preserve">and the risks to animals susceptible to GETV. </w:t>
      </w:r>
    </w:p>
    <w:p w14:paraId="4026384C" w14:textId="2355CFE5" w:rsidR="00A53221" w:rsidRPr="00091301" w:rsidRDefault="00E87B35" w:rsidP="00A53221">
      <w:pPr>
        <w:pStyle w:val="BodyText"/>
        <w:rPr>
          <w:rFonts w:ascii="Arial" w:hAnsi="Arial" w:cs="Arial"/>
        </w:rPr>
      </w:pPr>
      <w:r>
        <w:rPr>
          <w:rFonts w:ascii="Arial" w:hAnsi="Arial" w:cs="Arial"/>
        </w:rPr>
        <w:t xml:space="preserve">The </w:t>
      </w:r>
      <w:r w:rsidR="00A53221" w:rsidRPr="00091301">
        <w:rPr>
          <w:rFonts w:ascii="Arial" w:hAnsi="Arial" w:cs="Arial"/>
        </w:rPr>
        <w:t>Committee discussed key topics</w:t>
      </w:r>
      <w:r w:rsidR="00E6067E" w:rsidRPr="00091301">
        <w:rPr>
          <w:rFonts w:ascii="Arial" w:hAnsi="Arial" w:cs="Arial"/>
        </w:rPr>
        <w:t xml:space="preserve"> in relation to the GMO</w:t>
      </w:r>
      <w:r w:rsidR="00A377D1" w:rsidRPr="00091301">
        <w:rPr>
          <w:rFonts w:ascii="Arial" w:hAnsi="Arial" w:cs="Arial"/>
        </w:rPr>
        <w:t>, including</w:t>
      </w:r>
      <w:r w:rsidR="00A53221" w:rsidRPr="00091301">
        <w:rPr>
          <w:rFonts w:ascii="Arial" w:hAnsi="Arial" w:cs="Arial"/>
        </w:rPr>
        <w:t>:</w:t>
      </w:r>
    </w:p>
    <w:p w14:paraId="13FDAC74" w14:textId="6F39D607" w:rsidR="00966A36" w:rsidRPr="00091301" w:rsidRDefault="00E659AF" w:rsidP="00091301">
      <w:pPr>
        <w:pStyle w:val="BodyText"/>
        <w:numPr>
          <w:ilvl w:val="0"/>
          <w:numId w:val="5"/>
        </w:numPr>
        <w:spacing w:before="0"/>
        <w:ind w:left="533" w:hanging="357"/>
        <w:rPr>
          <w:rFonts w:ascii="Arial" w:hAnsi="Arial" w:cs="Arial"/>
        </w:rPr>
      </w:pPr>
      <w:r w:rsidRPr="00091301">
        <w:rPr>
          <w:rFonts w:ascii="Arial" w:hAnsi="Arial" w:cs="Arial"/>
        </w:rPr>
        <w:t>whether the GMO is attenuated by the genetic modifications</w:t>
      </w:r>
    </w:p>
    <w:p w14:paraId="4FE5ABDC" w14:textId="039FE78E" w:rsidR="00E659AF" w:rsidRPr="00091301" w:rsidRDefault="00E659AF" w:rsidP="00091301">
      <w:pPr>
        <w:pStyle w:val="BodyText"/>
        <w:numPr>
          <w:ilvl w:val="0"/>
          <w:numId w:val="5"/>
        </w:numPr>
        <w:spacing w:before="0"/>
        <w:ind w:left="533" w:hanging="357"/>
        <w:rPr>
          <w:rFonts w:ascii="Arial" w:hAnsi="Arial" w:cs="Arial"/>
        </w:rPr>
      </w:pPr>
      <w:r w:rsidRPr="00091301">
        <w:rPr>
          <w:rFonts w:ascii="Arial" w:hAnsi="Arial" w:cs="Arial"/>
        </w:rPr>
        <w:t>the relatively low dose of the GMO needed to lead to an immune response</w:t>
      </w:r>
    </w:p>
    <w:p w14:paraId="24B21712" w14:textId="44BD54A7" w:rsidR="00966A36" w:rsidRPr="00091301" w:rsidRDefault="00E659AF" w:rsidP="00091301">
      <w:pPr>
        <w:pStyle w:val="BodyText"/>
        <w:numPr>
          <w:ilvl w:val="0"/>
          <w:numId w:val="5"/>
        </w:numPr>
        <w:spacing w:before="0"/>
        <w:ind w:left="533" w:hanging="357"/>
        <w:rPr>
          <w:rFonts w:ascii="Arial" w:hAnsi="Arial" w:cs="Arial"/>
        </w:rPr>
      </w:pPr>
      <w:r w:rsidRPr="00091301">
        <w:rPr>
          <w:rFonts w:ascii="Arial" w:hAnsi="Arial" w:cs="Arial"/>
        </w:rPr>
        <w:t xml:space="preserve">the </w:t>
      </w:r>
      <w:r w:rsidR="00966A36" w:rsidRPr="00091301">
        <w:rPr>
          <w:rFonts w:ascii="Arial" w:hAnsi="Arial" w:cs="Arial"/>
        </w:rPr>
        <w:t>biosecurity status of the parent organism</w:t>
      </w:r>
    </w:p>
    <w:p w14:paraId="5F2BCA28" w14:textId="77EA7995" w:rsidR="00966A36" w:rsidRPr="00091301" w:rsidRDefault="00E659AF" w:rsidP="00091301">
      <w:pPr>
        <w:pStyle w:val="BodyText"/>
        <w:numPr>
          <w:ilvl w:val="0"/>
          <w:numId w:val="5"/>
        </w:numPr>
        <w:spacing w:before="0"/>
        <w:ind w:left="533" w:hanging="357"/>
        <w:rPr>
          <w:rFonts w:ascii="Arial" w:hAnsi="Arial" w:cs="Arial"/>
        </w:rPr>
      </w:pPr>
      <w:r w:rsidRPr="00091301">
        <w:rPr>
          <w:rFonts w:ascii="Arial" w:hAnsi="Arial" w:cs="Arial"/>
        </w:rPr>
        <w:t xml:space="preserve">the </w:t>
      </w:r>
      <w:r w:rsidR="001A6276" w:rsidRPr="00091301">
        <w:rPr>
          <w:rFonts w:ascii="Arial" w:hAnsi="Arial" w:cs="Arial"/>
        </w:rPr>
        <w:t xml:space="preserve">potential for </w:t>
      </w:r>
      <w:r w:rsidR="00E6067E" w:rsidRPr="00091301">
        <w:rPr>
          <w:rFonts w:ascii="Arial" w:hAnsi="Arial" w:cs="Arial"/>
        </w:rPr>
        <w:t>various modes of</w:t>
      </w:r>
      <w:r w:rsidR="00966A36" w:rsidRPr="00091301">
        <w:rPr>
          <w:rFonts w:ascii="Arial" w:hAnsi="Arial" w:cs="Arial"/>
        </w:rPr>
        <w:t xml:space="preserve"> transmission</w:t>
      </w:r>
    </w:p>
    <w:p w14:paraId="003983AE" w14:textId="488F71C6" w:rsidR="00966A36" w:rsidRPr="00091301" w:rsidRDefault="00E6067E" w:rsidP="00091301">
      <w:pPr>
        <w:pStyle w:val="BodyText"/>
        <w:numPr>
          <w:ilvl w:val="0"/>
          <w:numId w:val="5"/>
        </w:numPr>
        <w:spacing w:before="0"/>
        <w:ind w:left="533" w:hanging="357"/>
        <w:rPr>
          <w:rFonts w:ascii="Arial" w:hAnsi="Arial" w:cs="Arial"/>
        </w:rPr>
      </w:pPr>
      <w:r w:rsidRPr="00091301">
        <w:rPr>
          <w:rFonts w:ascii="Arial" w:hAnsi="Arial" w:cs="Arial"/>
        </w:rPr>
        <w:t>the length of</w:t>
      </w:r>
      <w:r w:rsidR="00966A36" w:rsidRPr="00091301">
        <w:rPr>
          <w:rFonts w:ascii="Arial" w:hAnsi="Arial" w:cs="Arial"/>
        </w:rPr>
        <w:t xml:space="preserve"> treatment period and</w:t>
      </w:r>
      <w:r w:rsidRPr="00091301">
        <w:rPr>
          <w:rFonts w:ascii="Arial" w:hAnsi="Arial" w:cs="Arial"/>
        </w:rPr>
        <w:t xml:space="preserve"> </w:t>
      </w:r>
      <w:r w:rsidR="0074309F" w:rsidRPr="00091301">
        <w:rPr>
          <w:rFonts w:ascii="Arial" w:hAnsi="Arial" w:cs="Arial"/>
        </w:rPr>
        <w:t>uncertainty about</w:t>
      </w:r>
      <w:r w:rsidRPr="00091301">
        <w:rPr>
          <w:rFonts w:ascii="Arial" w:hAnsi="Arial" w:cs="Arial"/>
        </w:rPr>
        <w:t xml:space="preserve"> </w:t>
      </w:r>
      <w:r w:rsidR="00966A36" w:rsidRPr="00091301">
        <w:rPr>
          <w:rFonts w:ascii="Arial" w:hAnsi="Arial" w:cs="Arial"/>
        </w:rPr>
        <w:t xml:space="preserve">shedding </w:t>
      </w:r>
    </w:p>
    <w:p w14:paraId="420CA786" w14:textId="0E910F65" w:rsidR="0074309F" w:rsidRPr="00091301" w:rsidRDefault="0074309F" w:rsidP="00091301">
      <w:pPr>
        <w:pStyle w:val="BodyText"/>
        <w:numPr>
          <w:ilvl w:val="0"/>
          <w:numId w:val="5"/>
        </w:numPr>
        <w:spacing w:before="0"/>
        <w:ind w:left="533" w:hanging="357"/>
        <w:rPr>
          <w:rFonts w:ascii="Arial" w:hAnsi="Arial" w:cs="Arial"/>
        </w:rPr>
      </w:pPr>
      <w:r w:rsidRPr="00091301">
        <w:rPr>
          <w:rFonts w:ascii="Arial" w:hAnsi="Arial" w:cs="Arial"/>
        </w:rPr>
        <w:t>whether the proposed risk management measures are sufficient.</w:t>
      </w:r>
    </w:p>
    <w:tbl>
      <w:tblPr>
        <w:tblStyle w:val="TableGrid"/>
        <w:tblW w:w="9639" w:type="dxa"/>
        <w:tblInd w:w="-5" w:type="dxa"/>
        <w:tblLook w:val="04A0" w:firstRow="1" w:lastRow="0" w:firstColumn="1" w:lastColumn="0" w:noHBand="0" w:noVBand="1"/>
        <w:tblCaption w:val="Resolutions"/>
      </w:tblPr>
      <w:tblGrid>
        <w:gridCol w:w="9639"/>
      </w:tblGrid>
      <w:tr w:rsidR="0074309F" w:rsidRPr="00091301" w14:paraId="61E7C26B" w14:textId="77777777" w:rsidTr="00A7450A">
        <w:trPr>
          <w:tblHeader/>
        </w:trPr>
        <w:tc>
          <w:tcPr>
            <w:tcW w:w="9639" w:type="dxa"/>
          </w:tcPr>
          <w:p w14:paraId="6B0C7C64" w14:textId="77777777" w:rsidR="00A53221" w:rsidRPr="00091301" w:rsidRDefault="00A53221" w:rsidP="00091301">
            <w:pPr>
              <w:pStyle w:val="Cmqheading3"/>
              <w:spacing w:before="0" w:line="264" w:lineRule="auto"/>
              <w:ind w:left="0" w:firstLine="0"/>
              <w:rPr>
                <w:color w:val="auto"/>
              </w:rPr>
            </w:pPr>
            <w:r w:rsidRPr="00091301">
              <w:rPr>
                <w:color w:val="auto"/>
              </w:rPr>
              <w:t xml:space="preserve">Resolutions </w:t>
            </w:r>
          </w:p>
          <w:p w14:paraId="7F0E4AF1" w14:textId="77777777" w:rsidR="0054661D" w:rsidRPr="00091301" w:rsidRDefault="0054661D" w:rsidP="00C715A3">
            <w:pPr>
              <w:pStyle w:val="ListParagraph"/>
              <w:numPr>
                <w:ilvl w:val="0"/>
                <w:numId w:val="4"/>
              </w:numPr>
              <w:spacing w:after="0" w:line="264" w:lineRule="auto"/>
              <w:rPr>
                <w:rFonts w:ascii="Arial" w:eastAsiaTheme="minorHAnsi" w:hAnsi="Arial" w:cs="Arial"/>
              </w:rPr>
            </w:pPr>
            <w:r w:rsidRPr="00091301">
              <w:rPr>
                <w:rFonts w:ascii="Arial" w:hAnsi="Arial" w:cs="Arial"/>
              </w:rPr>
              <w:t>The Regulator should further consider risks associated with transmission to other people and animals.</w:t>
            </w:r>
          </w:p>
          <w:p w14:paraId="63F8FBFB" w14:textId="0353FFA4" w:rsidR="00A53221" w:rsidRPr="00091301" w:rsidRDefault="0054661D" w:rsidP="00C715A3">
            <w:pPr>
              <w:pStyle w:val="ListParagraph"/>
              <w:numPr>
                <w:ilvl w:val="0"/>
                <w:numId w:val="4"/>
              </w:numPr>
              <w:spacing w:after="0" w:line="264" w:lineRule="auto"/>
              <w:rPr>
                <w:rFonts w:ascii="Arial" w:hAnsi="Arial" w:cs="Arial"/>
              </w:rPr>
            </w:pPr>
            <w:r w:rsidRPr="00091301">
              <w:rPr>
                <w:rFonts w:ascii="Arial" w:hAnsi="Arial" w:cs="Arial"/>
              </w:rPr>
              <w:t>The Regulator should consider whether additional information and risk management measures are required.</w:t>
            </w:r>
          </w:p>
        </w:tc>
      </w:tr>
    </w:tbl>
    <w:p w14:paraId="5B49E486" w14:textId="77777777" w:rsidR="009D35E9" w:rsidRPr="00091301" w:rsidRDefault="009D35E9" w:rsidP="009D35E9">
      <w:pPr>
        <w:pStyle w:val="CmqHeading1"/>
        <w:rPr>
          <w:rFonts w:ascii="Arial" w:hAnsi="Arial"/>
          <w:color w:val="auto"/>
        </w:rPr>
      </w:pPr>
      <w:r w:rsidRPr="00091301">
        <w:rPr>
          <w:rFonts w:ascii="Arial" w:hAnsi="Arial"/>
          <w:color w:val="auto"/>
        </w:rPr>
        <w:t>Enquiries and Risk Assessment and Risk Management Plans</w:t>
      </w:r>
    </w:p>
    <w:p w14:paraId="3CD0CB70" w14:textId="77777777" w:rsidR="009D35E9" w:rsidRPr="00091301" w:rsidRDefault="009D35E9" w:rsidP="009D35E9">
      <w:pPr>
        <w:pStyle w:val="BodyText"/>
        <w:rPr>
          <w:rFonts w:ascii="Arial" w:hAnsi="Arial" w:cs="Arial"/>
        </w:rPr>
      </w:pPr>
      <w:r w:rsidRPr="00091301">
        <w:rPr>
          <w:rFonts w:ascii="Arial" w:hAnsi="Arial" w:cs="Arial"/>
        </w:rPr>
        <w:t xml:space="preserve">For all enquiries and to obtain copies of applications or RARMPs for Dealings involving the Intentional Release (DIR) of GMOs into the environment, please call the OGTR on 1800 181 030 or email </w:t>
      </w:r>
      <w:hyperlink r:id="rId9" w:history="1">
        <w:r w:rsidRPr="00091301">
          <w:rPr>
            <w:rFonts w:ascii="Arial" w:hAnsi="Arial" w:cs="Arial"/>
            <w:u w:val="single"/>
          </w:rPr>
          <w:t>ogtr@health.gov.au</w:t>
        </w:r>
      </w:hyperlink>
      <w:r w:rsidRPr="00091301">
        <w:rPr>
          <w:rFonts w:ascii="Arial" w:hAnsi="Arial" w:cs="Arial"/>
        </w:rPr>
        <w:t xml:space="preserve">. DIR RARMPs are also available on the </w:t>
      </w:r>
      <w:hyperlink r:id="rId10" w:history="1">
        <w:r w:rsidRPr="00091301">
          <w:rPr>
            <w:rStyle w:val="Hyperlink"/>
            <w:rFonts w:ascii="Arial" w:hAnsi="Arial" w:cs="Arial"/>
            <w:color w:val="auto"/>
          </w:rPr>
          <w:t>OGTR website</w:t>
        </w:r>
      </w:hyperlink>
      <w:r w:rsidRPr="00091301">
        <w:rPr>
          <w:rFonts w:ascii="Arial" w:hAnsi="Arial" w:cs="Arial"/>
        </w:rPr>
        <w:t>.</w:t>
      </w:r>
    </w:p>
    <w:p w14:paraId="621A27E8" w14:textId="31194A9A" w:rsidR="009D35E9" w:rsidRPr="00091301" w:rsidRDefault="009D35E9" w:rsidP="009D35E9">
      <w:pPr>
        <w:spacing w:line="264" w:lineRule="auto"/>
        <w:rPr>
          <w:rFonts w:ascii="Arial" w:hAnsi="Arial" w:cs="Arial"/>
        </w:rPr>
      </w:pPr>
    </w:p>
    <w:sectPr w:rsidR="009D35E9" w:rsidRPr="00091301" w:rsidSect="00091301">
      <w:footerReference w:type="even" r:id="rId11"/>
      <w:footerReference w:type="default" r:id="rId12"/>
      <w:headerReference w:type="first" r:id="rId13"/>
      <w:footerReference w:type="first" r:id="rId14"/>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DA84" w14:textId="77777777" w:rsidR="001E6075" w:rsidRDefault="001E6075">
      <w:pPr>
        <w:spacing w:after="0" w:line="240" w:lineRule="auto"/>
      </w:pPr>
      <w:r>
        <w:separator/>
      </w:r>
    </w:p>
  </w:endnote>
  <w:endnote w:type="continuationSeparator" w:id="0">
    <w:p w14:paraId="36872AF1" w14:textId="77777777" w:rsidR="001E6075" w:rsidRDefault="001E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96AC6" w14:textId="77777777" w:rsidR="00F32CB5" w:rsidRDefault="009D35E9"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21555" w14:textId="77777777" w:rsidR="00F32CB5" w:rsidRDefault="001919F9"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F9D4" w14:textId="0307A116" w:rsidR="00E003FF" w:rsidRDefault="00E003FF" w:rsidP="00E003FF">
    <w:pPr>
      <w:pStyle w:val="Footer"/>
      <w:spacing w:after="0"/>
      <w:jc w:val="right"/>
    </w:pPr>
    <w:r w:rsidRPr="00740B72">
      <w:rPr>
        <w:rFonts w:ascii="Arial" w:hAnsi="Arial" w:cs="Arial"/>
        <w:sz w:val="20"/>
      </w:rPr>
      <w:t>GTTAC Communiqué</w:t>
    </w:r>
    <w:r>
      <w:rPr>
        <w:rFonts w:ascii="Arial" w:hAnsi="Arial" w:cs="Arial"/>
        <w:sz w:val="20"/>
      </w:rPr>
      <w:t xml:space="preserve"> 13 December 2021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2080976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5F4B" w14:textId="38FD06B7" w:rsidR="00E003FF" w:rsidRDefault="00E003FF" w:rsidP="00E003FF">
    <w:pPr>
      <w:pStyle w:val="Footer"/>
      <w:spacing w:after="0"/>
      <w:jc w:val="right"/>
    </w:pPr>
    <w:r w:rsidRPr="00740B72">
      <w:rPr>
        <w:rFonts w:ascii="Arial" w:hAnsi="Arial" w:cs="Arial"/>
        <w:sz w:val="20"/>
      </w:rPr>
      <w:t>GTTAC Communiqué</w:t>
    </w:r>
    <w:r>
      <w:rPr>
        <w:rFonts w:ascii="Arial" w:hAnsi="Arial" w:cs="Arial"/>
        <w:sz w:val="20"/>
      </w:rPr>
      <w:t xml:space="preserve"> 13 December 2021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1937241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7E6A8" w14:textId="77777777" w:rsidR="001E6075" w:rsidRDefault="001E6075">
      <w:pPr>
        <w:spacing w:after="0" w:line="240" w:lineRule="auto"/>
      </w:pPr>
      <w:r>
        <w:separator/>
      </w:r>
    </w:p>
  </w:footnote>
  <w:footnote w:type="continuationSeparator" w:id="0">
    <w:p w14:paraId="10E23488" w14:textId="77777777" w:rsidR="001E6075" w:rsidRDefault="001E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F5C4" w14:textId="4A01F542" w:rsidR="00F32CB5" w:rsidRDefault="00091301" w:rsidP="00091301">
    <w:pPr>
      <w:pStyle w:val="Header"/>
      <w:tabs>
        <w:tab w:val="clear" w:pos="4153"/>
        <w:tab w:val="clear" w:pos="8306"/>
        <w:tab w:val="left" w:pos="5245"/>
        <w:tab w:val="right" w:pos="9498"/>
      </w:tabs>
      <w:spacing w:after="0"/>
      <w:jc w:val="center"/>
      <w:rPr>
        <w:b/>
        <w:lang w:val="en-AU"/>
      </w:rPr>
    </w:pPr>
    <w:r>
      <w:rPr>
        <w:noProof/>
        <w:lang w:eastAsia="en-AU"/>
      </w:rPr>
      <w:drawing>
        <wp:inline distT="0" distB="0" distL="0" distR="0" wp14:anchorId="482AB8BF" wp14:editId="29FE5413">
          <wp:extent cx="2352675" cy="1219200"/>
          <wp:effectExtent l="0" t="0" r="9525" b="0"/>
          <wp:docPr id="4" name="Picture 4"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62CD"/>
    <w:multiLevelType w:val="hybridMultilevel"/>
    <w:tmpl w:val="45B2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A4472"/>
    <w:multiLevelType w:val="hybridMultilevel"/>
    <w:tmpl w:val="01A42D96"/>
    <w:lvl w:ilvl="0" w:tplc="84A652DE">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719D9"/>
    <w:multiLevelType w:val="hybridMultilevel"/>
    <w:tmpl w:val="B856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4122FE"/>
    <w:multiLevelType w:val="hybridMultilevel"/>
    <w:tmpl w:val="48EC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30C45"/>
    <w:multiLevelType w:val="hybridMultilevel"/>
    <w:tmpl w:val="AD9CB4E0"/>
    <w:lvl w:ilvl="0" w:tplc="95C059B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D76462"/>
    <w:multiLevelType w:val="hybridMultilevel"/>
    <w:tmpl w:val="FA00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E9"/>
    <w:rsid w:val="0001495A"/>
    <w:rsid w:val="00091301"/>
    <w:rsid w:val="001235E1"/>
    <w:rsid w:val="001919F9"/>
    <w:rsid w:val="001A6276"/>
    <w:rsid w:val="001E6075"/>
    <w:rsid w:val="0020710A"/>
    <w:rsid w:val="00212C38"/>
    <w:rsid w:val="00280050"/>
    <w:rsid w:val="00371AF4"/>
    <w:rsid w:val="004E19EC"/>
    <w:rsid w:val="0054661D"/>
    <w:rsid w:val="0074309F"/>
    <w:rsid w:val="008539BF"/>
    <w:rsid w:val="00966A36"/>
    <w:rsid w:val="009D35E9"/>
    <w:rsid w:val="00A377D1"/>
    <w:rsid w:val="00A53221"/>
    <w:rsid w:val="00AD0055"/>
    <w:rsid w:val="00BB7C76"/>
    <w:rsid w:val="00C13D2D"/>
    <w:rsid w:val="00C715A3"/>
    <w:rsid w:val="00C9753E"/>
    <w:rsid w:val="00D84EF5"/>
    <w:rsid w:val="00DA5B53"/>
    <w:rsid w:val="00E003FF"/>
    <w:rsid w:val="00E14969"/>
    <w:rsid w:val="00E6067E"/>
    <w:rsid w:val="00E63855"/>
    <w:rsid w:val="00E659AF"/>
    <w:rsid w:val="00E87B35"/>
    <w:rsid w:val="00F14D6C"/>
    <w:rsid w:val="00F36532"/>
    <w:rsid w:val="00F41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B0429"/>
  <w15:chartTrackingRefBased/>
  <w15:docId w15:val="{F1914E45-6B12-46F7-A464-BF475A8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E9"/>
    <w:pPr>
      <w:spacing w:after="200" w:line="276" w:lineRule="auto"/>
    </w:pPr>
    <w:rPr>
      <w:rFonts w:asciiTheme="minorHAnsi" w:eastAsiaTheme="minorEastAsia" w:hAnsiTheme="minorHAnsi" w:cstheme="minorBidi"/>
      <w:sz w:val="22"/>
      <w:szCs w:val="22"/>
      <w:lang w:eastAsia="en-AU"/>
    </w:rPr>
  </w:style>
  <w:style w:type="paragraph" w:styleId="Heading1">
    <w:name w:val="heading 1"/>
    <w:aliases w:val="c"/>
    <w:basedOn w:val="Normal"/>
    <w:next w:val="Normal"/>
    <w:link w:val="Heading1Char"/>
    <w:qFormat/>
    <w:rsid w:val="009D35E9"/>
    <w:pPr>
      <w:spacing w:before="480" w:after="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35E9"/>
    <w:pPr>
      <w:spacing w:before="200" w:after="120" w:line="240" w:lineRule="auto"/>
      <w:ind w:left="1843" w:hanging="1843"/>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9D35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rsid w:val="009D35E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9D35E9"/>
    <w:rPr>
      <w:rFonts w:asciiTheme="majorHAnsi" w:eastAsiaTheme="majorEastAsia" w:hAnsiTheme="majorHAnsi" w:cstheme="majorBidi"/>
      <w:b/>
      <w:bCs/>
      <w:szCs w:val="26"/>
      <w:lang w:eastAsia="en-AU"/>
    </w:rPr>
  </w:style>
  <w:style w:type="paragraph" w:styleId="Header">
    <w:name w:val="header"/>
    <w:basedOn w:val="Normal"/>
    <w:link w:val="HeaderChar"/>
    <w:rsid w:val="009D35E9"/>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D35E9"/>
    <w:rPr>
      <w:rFonts w:asciiTheme="minorHAnsi" w:eastAsiaTheme="minorEastAsia" w:hAnsiTheme="minorHAnsi" w:cstheme="minorBidi"/>
      <w:snapToGrid w:val="0"/>
      <w:sz w:val="22"/>
      <w:szCs w:val="22"/>
      <w:lang w:val="en-US"/>
    </w:rPr>
  </w:style>
  <w:style w:type="paragraph" w:styleId="Footer">
    <w:name w:val="footer"/>
    <w:basedOn w:val="Normal"/>
    <w:link w:val="FooterChar"/>
    <w:uiPriority w:val="99"/>
    <w:rsid w:val="009D35E9"/>
    <w:pPr>
      <w:tabs>
        <w:tab w:val="center" w:pos="4153"/>
        <w:tab w:val="right" w:pos="8306"/>
      </w:tabs>
    </w:pPr>
  </w:style>
  <w:style w:type="character" w:customStyle="1" w:styleId="FooterChar">
    <w:name w:val="Footer Char"/>
    <w:basedOn w:val="DefaultParagraphFont"/>
    <w:link w:val="Footer"/>
    <w:uiPriority w:val="99"/>
    <w:rsid w:val="009D35E9"/>
    <w:rPr>
      <w:rFonts w:asciiTheme="minorHAnsi" w:eastAsiaTheme="minorEastAsia" w:hAnsiTheme="minorHAnsi" w:cstheme="minorBidi"/>
      <w:sz w:val="22"/>
      <w:szCs w:val="22"/>
      <w:lang w:eastAsia="en-AU"/>
    </w:rPr>
  </w:style>
  <w:style w:type="character" w:styleId="PageNumber">
    <w:name w:val="page number"/>
    <w:basedOn w:val="DefaultParagraphFont"/>
    <w:rsid w:val="009D35E9"/>
  </w:style>
  <w:style w:type="paragraph" w:styleId="BodyText">
    <w:name w:val="Body Text"/>
    <w:basedOn w:val="Normal"/>
    <w:link w:val="BodyTextChar"/>
    <w:rsid w:val="009D35E9"/>
    <w:pPr>
      <w:spacing w:before="120" w:after="120" w:line="264" w:lineRule="auto"/>
    </w:pPr>
  </w:style>
  <w:style w:type="character" w:customStyle="1" w:styleId="BodyTextChar">
    <w:name w:val="Body Text Char"/>
    <w:basedOn w:val="DefaultParagraphFont"/>
    <w:link w:val="BodyText"/>
    <w:rsid w:val="009D35E9"/>
    <w:rPr>
      <w:rFonts w:asciiTheme="minorHAnsi" w:eastAsiaTheme="minorEastAsia" w:hAnsiTheme="minorHAnsi" w:cstheme="minorBidi"/>
      <w:sz w:val="22"/>
      <w:szCs w:val="22"/>
      <w:lang w:eastAsia="en-AU"/>
    </w:rPr>
  </w:style>
  <w:style w:type="paragraph" w:customStyle="1" w:styleId="Default">
    <w:name w:val="Default"/>
    <w:rsid w:val="009D35E9"/>
    <w:pPr>
      <w:autoSpaceDE w:val="0"/>
      <w:autoSpaceDN w:val="0"/>
      <w:adjustRightInd w:val="0"/>
      <w:spacing w:after="200" w:line="276" w:lineRule="auto"/>
    </w:pPr>
    <w:rPr>
      <w:rFonts w:ascii="Arial" w:eastAsiaTheme="minorEastAsia" w:hAnsi="Arial" w:cs="Arial"/>
      <w:color w:val="000000"/>
      <w:lang w:val="en-US"/>
    </w:rPr>
  </w:style>
  <w:style w:type="paragraph" w:styleId="ListParagraph">
    <w:name w:val="List Paragraph"/>
    <w:basedOn w:val="Normal"/>
    <w:link w:val="ListParagraphChar"/>
    <w:uiPriority w:val="34"/>
    <w:qFormat/>
    <w:rsid w:val="009D35E9"/>
    <w:pPr>
      <w:ind w:left="720"/>
      <w:contextualSpacing/>
    </w:pPr>
  </w:style>
  <w:style w:type="paragraph" w:styleId="NoSpacing">
    <w:name w:val="No Spacing"/>
    <w:basedOn w:val="Normal"/>
    <w:uiPriority w:val="1"/>
    <w:qFormat/>
    <w:rsid w:val="009D35E9"/>
    <w:pPr>
      <w:spacing w:after="0" w:line="240" w:lineRule="auto"/>
    </w:pPr>
  </w:style>
  <w:style w:type="character" w:styleId="SubtleEmphasis">
    <w:name w:val="Subtle Emphasis"/>
    <w:uiPriority w:val="19"/>
    <w:qFormat/>
    <w:rsid w:val="009D35E9"/>
    <w:rPr>
      <w:i/>
      <w:iCs/>
    </w:rPr>
  </w:style>
  <w:style w:type="character" w:customStyle="1" w:styleId="ListParagraphChar">
    <w:name w:val="List Paragraph Char"/>
    <w:basedOn w:val="DefaultParagraphFont"/>
    <w:link w:val="ListParagraph"/>
    <w:uiPriority w:val="34"/>
    <w:rsid w:val="009D35E9"/>
    <w:rPr>
      <w:rFonts w:asciiTheme="minorHAnsi" w:eastAsiaTheme="minorEastAsia" w:hAnsiTheme="minorHAnsi" w:cstheme="minorBidi"/>
      <w:sz w:val="22"/>
      <w:szCs w:val="22"/>
      <w:lang w:eastAsia="en-AU"/>
    </w:rPr>
  </w:style>
  <w:style w:type="paragraph" w:customStyle="1" w:styleId="CmqHeading1">
    <w:name w:val="Cmq Heading 1"/>
    <w:basedOn w:val="Heading3"/>
    <w:link w:val="CmqHeading1Char"/>
    <w:autoRedefine/>
    <w:qFormat/>
    <w:rsid w:val="009D35E9"/>
    <w:pPr>
      <w:keepLines w:val="0"/>
      <w:spacing w:before="360" w:after="120" w:line="240" w:lineRule="auto"/>
    </w:pPr>
    <w:rPr>
      <w:rFonts w:ascii="Arial Bold" w:eastAsia="Times" w:hAnsi="Arial Bold" w:cs="Arial"/>
      <w:b/>
      <w:caps/>
      <w:sz w:val="26"/>
      <w:szCs w:val="26"/>
    </w:rPr>
  </w:style>
  <w:style w:type="paragraph" w:customStyle="1" w:styleId="Cmqheading2">
    <w:name w:val="Cmq heading 2"/>
    <w:basedOn w:val="BodyText"/>
    <w:link w:val="Cmqheading2Char"/>
    <w:qFormat/>
    <w:rsid w:val="009D35E9"/>
    <w:pPr>
      <w:keepNext/>
      <w:spacing w:before="360" w:after="240" w:line="240" w:lineRule="auto"/>
    </w:pPr>
    <w:rPr>
      <w:rFonts w:ascii="Arial" w:eastAsia="Times" w:hAnsi="Arial" w:cs="Arial"/>
      <w:b/>
      <w:bCs/>
      <w:i/>
      <w:caps/>
      <w:color w:val="000000"/>
    </w:rPr>
  </w:style>
  <w:style w:type="character" w:customStyle="1" w:styleId="CmqHeading1Char">
    <w:name w:val="Cmq Heading 1 Char"/>
    <w:basedOn w:val="Heading3Char"/>
    <w:link w:val="CmqHeading1"/>
    <w:rsid w:val="009D35E9"/>
    <w:rPr>
      <w:rFonts w:ascii="Arial Bold" w:eastAsia="Times" w:hAnsi="Arial Bold" w:cs="Arial"/>
      <w:b/>
      <w:caps/>
      <w:color w:val="1F3763" w:themeColor="accent1" w:themeShade="7F"/>
      <w:sz w:val="26"/>
      <w:szCs w:val="26"/>
      <w:lang w:eastAsia="en-AU"/>
    </w:rPr>
  </w:style>
  <w:style w:type="paragraph" w:customStyle="1" w:styleId="Cmqheading3">
    <w:name w:val="Cmq heading 3"/>
    <w:basedOn w:val="Heading3"/>
    <w:link w:val="Cmqheading3Char"/>
    <w:qFormat/>
    <w:rsid w:val="009D35E9"/>
    <w:pPr>
      <w:keepNext w:val="0"/>
      <w:keepLines w:val="0"/>
      <w:spacing w:before="240" w:after="120" w:line="23" w:lineRule="atLeast"/>
      <w:ind w:left="1191" w:hanging="1191"/>
      <w:contextualSpacing/>
      <w:outlineLvl w:val="9"/>
    </w:pPr>
    <w:rPr>
      <w:rFonts w:ascii="Arial" w:hAnsi="Arial" w:cs="Arial"/>
      <w:b/>
      <w:sz w:val="22"/>
      <w:szCs w:val="22"/>
    </w:rPr>
  </w:style>
  <w:style w:type="character" w:customStyle="1" w:styleId="Cmqheading2Char">
    <w:name w:val="Cmq heading 2 Char"/>
    <w:basedOn w:val="BodyTextChar"/>
    <w:link w:val="Cmqheading2"/>
    <w:rsid w:val="009D35E9"/>
    <w:rPr>
      <w:rFonts w:ascii="Arial" w:eastAsia="Times" w:hAnsi="Arial" w:cs="Arial"/>
      <w:b/>
      <w:bCs/>
      <w:i/>
      <w:caps/>
      <w:color w:val="000000"/>
      <w:sz w:val="22"/>
      <w:szCs w:val="22"/>
      <w:lang w:eastAsia="en-AU"/>
    </w:rPr>
  </w:style>
  <w:style w:type="paragraph" w:customStyle="1" w:styleId="CmqTitle1">
    <w:name w:val="Cmq Title 1"/>
    <w:basedOn w:val="Normal"/>
    <w:qFormat/>
    <w:rsid w:val="009D35E9"/>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9D35E9"/>
    <w:rPr>
      <w:rFonts w:ascii="Arial" w:eastAsiaTheme="majorEastAsia" w:hAnsi="Arial" w:cs="Arial"/>
      <w:b/>
      <w:color w:val="1F3763" w:themeColor="accent1" w:themeShade="7F"/>
      <w:sz w:val="22"/>
      <w:szCs w:val="22"/>
      <w:lang w:eastAsia="en-AU"/>
    </w:rPr>
  </w:style>
  <w:style w:type="paragraph" w:customStyle="1" w:styleId="CmqTitle2">
    <w:name w:val="Cmq Title 2"/>
    <w:basedOn w:val="Normal"/>
    <w:qFormat/>
    <w:rsid w:val="009D35E9"/>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9D35E9"/>
    <w:rPr>
      <w:color w:val="0563C1" w:themeColor="hyperlink"/>
      <w:u w:val="single"/>
    </w:rPr>
  </w:style>
  <w:style w:type="table" w:styleId="TableGrid">
    <w:name w:val="Table Grid"/>
    <w:basedOn w:val="TableNormal"/>
    <w:uiPriority w:val="59"/>
    <w:rsid w:val="009D35E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D35E9"/>
    <w:rPr>
      <w:rFonts w:asciiTheme="majorHAnsi" w:eastAsiaTheme="majorEastAsia" w:hAnsiTheme="majorHAnsi" w:cstheme="majorBidi"/>
      <w:color w:val="1F3763" w:themeColor="accent1" w:themeShade="7F"/>
      <w:lang w:eastAsia="en-AU"/>
    </w:rPr>
  </w:style>
  <w:style w:type="character" w:styleId="FollowedHyperlink">
    <w:name w:val="FollowedHyperlink"/>
    <w:basedOn w:val="DefaultParagraphFont"/>
    <w:uiPriority w:val="99"/>
    <w:semiHidden/>
    <w:unhideWhenUsed/>
    <w:rsid w:val="009D35E9"/>
    <w:rPr>
      <w:color w:val="954F72" w:themeColor="followedHyperlink"/>
      <w:u w:val="single"/>
    </w:rPr>
  </w:style>
  <w:style w:type="character" w:styleId="UnresolvedMention">
    <w:name w:val="Unresolved Mention"/>
    <w:basedOn w:val="DefaultParagraphFont"/>
    <w:uiPriority w:val="99"/>
    <w:semiHidden/>
    <w:unhideWhenUsed/>
    <w:rsid w:val="0001495A"/>
    <w:rPr>
      <w:color w:val="605E5C"/>
      <w:shd w:val="clear" w:color="auto" w:fill="E1DFDD"/>
    </w:rPr>
  </w:style>
  <w:style w:type="character" w:styleId="CommentReference">
    <w:name w:val="annotation reference"/>
    <w:basedOn w:val="DefaultParagraphFont"/>
    <w:uiPriority w:val="99"/>
    <w:semiHidden/>
    <w:unhideWhenUsed/>
    <w:rsid w:val="00E87B35"/>
    <w:rPr>
      <w:sz w:val="16"/>
      <w:szCs w:val="16"/>
    </w:rPr>
  </w:style>
  <w:style w:type="paragraph" w:styleId="CommentText">
    <w:name w:val="annotation text"/>
    <w:basedOn w:val="Normal"/>
    <w:link w:val="CommentTextChar"/>
    <w:uiPriority w:val="99"/>
    <w:semiHidden/>
    <w:unhideWhenUsed/>
    <w:rsid w:val="00E87B35"/>
    <w:pPr>
      <w:spacing w:line="240" w:lineRule="auto"/>
    </w:pPr>
    <w:rPr>
      <w:sz w:val="20"/>
      <w:szCs w:val="20"/>
    </w:rPr>
  </w:style>
  <w:style w:type="character" w:customStyle="1" w:styleId="CommentTextChar">
    <w:name w:val="Comment Text Char"/>
    <w:basedOn w:val="DefaultParagraphFont"/>
    <w:link w:val="CommentText"/>
    <w:uiPriority w:val="99"/>
    <w:semiHidden/>
    <w:rsid w:val="00E87B35"/>
    <w:rPr>
      <w:rFonts w:asciiTheme="minorHAnsi" w:eastAsiaTheme="minorEastAsia" w:hAnsiTheme="minorHAns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E87B35"/>
    <w:rPr>
      <w:b/>
      <w:bCs/>
    </w:rPr>
  </w:style>
  <w:style w:type="character" w:customStyle="1" w:styleId="CommentSubjectChar">
    <w:name w:val="Comment Subject Char"/>
    <w:basedOn w:val="CommentTextChar"/>
    <w:link w:val="CommentSubject"/>
    <w:uiPriority w:val="99"/>
    <w:semiHidden/>
    <w:rsid w:val="00E87B35"/>
    <w:rPr>
      <w:rFonts w:asciiTheme="minorHAnsi" w:eastAsiaTheme="minorEastAsia" w:hAnsiTheme="minorHAnsi" w:cstheme="minorBid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18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gtr.gov.au/gmo-dealings/dealings-involving-intentional-release/dir-18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gtr.gov.au" TargetMode="External"/><Relationship Id="rId4" Type="http://schemas.openxmlformats.org/officeDocument/2006/relationships/webSettings" Target="webSettings.xml"/><Relationship Id="rId9" Type="http://schemas.openxmlformats.org/officeDocument/2006/relationships/hyperlink" Target="mailto:ogtr@health.gov.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13 December 2021 Communiqué</dc:title>
  <dc:subject/>
  <dc:creator>OGTR.Voicemail@health.gov.au</dc:creator>
  <cp:keywords/>
  <dc:description/>
  <cp:lastModifiedBy>SMITH, Justine</cp:lastModifiedBy>
  <cp:revision>2</cp:revision>
  <dcterms:created xsi:type="dcterms:W3CDTF">2022-03-01T22:46:00Z</dcterms:created>
  <dcterms:modified xsi:type="dcterms:W3CDTF">2022-03-01T22:46:00Z</dcterms:modified>
</cp:coreProperties>
</file>