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DF73A" w14:textId="77777777" w:rsidR="000416FF" w:rsidRDefault="000416FF" w:rsidP="000416FF">
      <w:pPr>
        <w:rPr>
          <w:b/>
          <w:bCs/>
          <w:sz w:val="20"/>
          <w:szCs w:val="20"/>
        </w:rPr>
      </w:pPr>
      <w:r w:rsidRPr="0074209E">
        <w:rPr>
          <w:rFonts w:ascii="Arial" w:hAnsi="Arial" w:cs="Arial"/>
          <w:noProof/>
          <w:sz w:val="16"/>
          <w:szCs w:val="16"/>
        </w:rPr>
        <w:drawing>
          <wp:inline distT="0" distB="0" distL="0" distR="0" wp14:anchorId="55306940" wp14:editId="3D42AB72">
            <wp:extent cx="3743325" cy="904875"/>
            <wp:effectExtent l="0" t="0" r="9525" b="9525"/>
            <wp:docPr id="1" name="Picture 1" title="Australian Government Department of Health OGT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43325" cy="904875"/>
                    </a:xfrm>
                    <a:prstGeom prst="rect">
                      <a:avLst/>
                    </a:prstGeom>
                    <a:noFill/>
                    <a:ln>
                      <a:noFill/>
                    </a:ln>
                  </pic:spPr>
                </pic:pic>
              </a:graphicData>
            </a:graphic>
          </wp:inline>
        </w:drawing>
      </w:r>
    </w:p>
    <w:p w14:paraId="1FD257F8" w14:textId="77777777" w:rsidR="000416FF" w:rsidRDefault="000416FF" w:rsidP="000416FF">
      <w:pPr>
        <w:jc w:val="center"/>
        <w:rPr>
          <w:b/>
          <w:bCs/>
          <w:sz w:val="20"/>
          <w:szCs w:val="20"/>
        </w:rPr>
      </w:pPr>
    </w:p>
    <w:p w14:paraId="63858E26" w14:textId="77777777" w:rsidR="000416FF" w:rsidRDefault="000416FF" w:rsidP="000416FF">
      <w:pPr>
        <w:jc w:val="center"/>
        <w:rPr>
          <w:b/>
          <w:bCs/>
          <w:sz w:val="20"/>
          <w:szCs w:val="20"/>
        </w:rPr>
      </w:pPr>
    </w:p>
    <w:p w14:paraId="15AB2578" w14:textId="77777777" w:rsidR="000416FF" w:rsidRPr="0063123B" w:rsidRDefault="000416FF" w:rsidP="000416FF">
      <w:pPr>
        <w:jc w:val="center"/>
        <w:rPr>
          <w:b/>
          <w:bCs/>
          <w:sz w:val="20"/>
          <w:szCs w:val="20"/>
        </w:rPr>
      </w:pPr>
      <w:r w:rsidRPr="0063123B">
        <w:rPr>
          <w:b/>
          <w:bCs/>
          <w:sz w:val="20"/>
          <w:szCs w:val="20"/>
        </w:rPr>
        <w:t>GENE TECHNOLOGY ACT 2000</w:t>
      </w:r>
    </w:p>
    <w:p w14:paraId="61C92204" w14:textId="77777777" w:rsidR="000416FF" w:rsidRPr="0063123B" w:rsidRDefault="000416FF" w:rsidP="000416FF">
      <w:pPr>
        <w:rPr>
          <w:sz w:val="20"/>
          <w:szCs w:val="20"/>
        </w:rPr>
      </w:pPr>
    </w:p>
    <w:p w14:paraId="7C2AE0D8" w14:textId="77777777" w:rsidR="000416FF" w:rsidRPr="0063123B" w:rsidRDefault="000416FF" w:rsidP="000416FF">
      <w:pPr>
        <w:jc w:val="center"/>
        <w:rPr>
          <w:b/>
          <w:bCs/>
          <w:sz w:val="20"/>
          <w:szCs w:val="20"/>
        </w:rPr>
      </w:pPr>
      <w:r w:rsidRPr="0063123B">
        <w:rPr>
          <w:b/>
          <w:bCs/>
          <w:sz w:val="20"/>
          <w:szCs w:val="20"/>
        </w:rPr>
        <w:t>DET</w:t>
      </w:r>
      <w:r>
        <w:rPr>
          <w:b/>
          <w:bCs/>
          <w:sz w:val="20"/>
          <w:szCs w:val="20"/>
        </w:rPr>
        <w:t xml:space="preserve">ERMINATION THAT DEALINGS WITH </w:t>
      </w:r>
      <w:r w:rsidRPr="0063123B">
        <w:rPr>
          <w:b/>
          <w:bCs/>
          <w:sz w:val="20"/>
          <w:szCs w:val="20"/>
        </w:rPr>
        <w:t xml:space="preserve">GENETICALLY MODIFIED </w:t>
      </w:r>
      <w:r>
        <w:rPr>
          <w:b/>
          <w:bCs/>
          <w:sz w:val="20"/>
          <w:szCs w:val="20"/>
        </w:rPr>
        <w:t xml:space="preserve">CARNATION LINES </w:t>
      </w:r>
      <w:r w:rsidRPr="0063123B">
        <w:rPr>
          <w:b/>
          <w:bCs/>
          <w:sz w:val="20"/>
          <w:szCs w:val="20"/>
        </w:rPr>
        <w:t>BE INCLUDED ON THE GMO REGISTER</w:t>
      </w:r>
      <w:r>
        <w:rPr>
          <w:b/>
          <w:bCs/>
          <w:sz w:val="20"/>
          <w:szCs w:val="20"/>
        </w:rPr>
        <w:t xml:space="preserve"> (Register 001/2004)</w:t>
      </w:r>
    </w:p>
    <w:p w14:paraId="1400C62B" w14:textId="77777777" w:rsidR="000416FF" w:rsidRPr="0063123B" w:rsidRDefault="000416FF" w:rsidP="000416FF">
      <w:pPr>
        <w:rPr>
          <w:sz w:val="20"/>
          <w:szCs w:val="20"/>
        </w:rPr>
      </w:pPr>
    </w:p>
    <w:p w14:paraId="7CBF114C" w14:textId="77777777" w:rsidR="000416FF" w:rsidRPr="0063123B" w:rsidRDefault="000416FF" w:rsidP="000416FF">
      <w:pPr>
        <w:rPr>
          <w:sz w:val="20"/>
          <w:szCs w:val="20"/>
        </w:rPr>
      </w:pPr>
      <w:r w:rsidRPr="0063123B">
        <w:rPr>
          <w:sz w:val="20"/>
          <w:szCs w:val="20"/>
        </w:rPr>
        <w:t xml:space="preserve">I, Susan Denise Meek, the Gene Technology Regulator, acting under section 78 of the </w:t>
      </w:r>
      <w:r w:rsidRPr="0063123B">
        <w:rPr>
          <w:i/>
          <w:iCs/>
          <w:sz w:val="20"/>
          <w:szCs w:val="20"/>
        </w:rPr>
        <w:t xml:space="preserve">Gene Technology Act 2000 </w:t>
      </w:r>
      <w:r w:rsidRPr="0063123B">
        <w:rPr>
          <w:sz w:val="20"/>
          <w:szCs w:val="20"/>
        </w:rPr>
        <w:t>hereby determine that the follow</w:t>
      </w:r>
      <w:r>
        <w:rPr>
          <w:sz w:val="20"/>
          <w:szCs w:val="20"/>
        </w:rPr>
        <w:t>ing dealings with the specified genetically modified organisms (GMOs)</w:t>
      </w:r>
      <w:r w:rsidRPr="0063123B">
        <w:rPr>
          <w:sz w:val="20"/>
          <w:szCs w:val="20"/>
        </w:rPr>
        <w:t xml:space="preserve">  be included on the GMO Register.</w:t>
      </w:r>
    </w:p>
    <w:p w14:paraId="49077ADC" w14:textId="77777777" w:rsidR="000416FF" w:rsidRPr="0063123B" w:rsidRDefault="000416FF" w:rsidP="000416FF">
      <w:pPr>
        <w:rPr>
          <w:sz w:val="20"/>
          <w:szCs w:val="20"/>
        </w:rPr>
      </w:pPr>
    </w:p>
    <w:tbl>
      <w:tblPr>
        <w:tblStyle w:val="TableGrid"/>
        <w:tblW w:w="0" w:type="auto"/>
        <w:tblInd w:w="0" w:type="dxa"/>
        <w:tblLook w:val="01E0" w:firstRow="1" w:lastRow="1" w:firstColumn="1" w:lastColumn="1" w:noHBand="0" w:noVBand="0"/>
        <w:tblCaption w:val="Table for inclsuion on GMO register"/>
        <w:tblDescription w:val="This table contains4 columns and 2 rows"/>
      </w:tblPr>
      <w:tblGrid>
        <w:gridCol w:w="1840"/>
        <w:gridCol w:w="2086"/>
        <w:gridCol w:w="1559"/>
        <w:gridCol w:w="3531"/>
      </w:tblGrid>
      <w:tr w:rsidR="000416FF" w:rsidRPr="0063123B" w14:paraId="754CE0B7" w14:textId="77777777" w:rsidTr="000416FF">
        <w:trPr>
          <w:tblHeader/>
        </w:trPr>
        <w:tc>
          <w:tcPr>
            <w:tcW w:w="1845" w:type="dxa"/>
          </w:tcPr>
          <w:p w14:paraId="3F011347" w14:textId="77777777" w:rsidR="000416FF" w:rsidRPr="0063123B" w:rsidRDefault="000416FF" w:rsidP="00450C66">
            <w:pPr>
              <w:rPr>
                <w:b/>
                <w:bCs/>
                <w:sz w:val="20"/>
                <w:szCs w:val="20"/>
              </w:rPr>
            </w:pPr>
            <w:r w:rsidRPr="0063123B">
              <w:rPr>
                <w:b/>
                <w:bCs/>
                <w:sz w:val="20"/>
                <w:szCs w:val="20"/>
              </w:rPr>
              <w:t>Registration No</w:t>
            </w:r>
          </w:p>
        </w:tc>
        <w:tc>
          <w:tcPr>
            <w:tcW w:w="2091" w:type="dxa"/>
          </w:tcPr>
          <w:p w14:paraId="274D5DF7" w14:textId="77777777" w:rsidR="000416FF" w:rsidRPr="0063123B" w:rsidRDefault="000416FF" w:rsidP="00450C66">
            <w:pPr>
              <w:rPr>
                <w:b/>
                <w:bCs/>
                <w:sz w:val="20"/>
                <w:szCs w:val="20"/>
              </w:rPr>
            </w:pPr>
            <w:r w:rsidRPr="0063123B">
              <w:rPr>
                <w:b/>
                <w:bCs/>
                <w:sz w:val="20"/>
                <w:szCs w:val="20"/>
              </w:rPr>
              <w:t>Description of GMO</w:t>
            </w:r>
            <w:r>
              <w:rPr>
                <w:b/>
                <w:bCs/>
                <w:sz w:val="20"/>
                <w:szCs w:val="20"/>
              </w:rPr>
              <w:t>s</w:t>
            </w:r>
          </w:p>
        </w:tc>
        <w:tc>
          <w:tcPr>
            <w:tcW w:w="1559" w:type="dxa"/>
          </w:tcPr>
          <w:p w14:paraId="5E1A9808" w14:textId="77777777" w:rsidR="000416FF" w:rsidRPr="0063123B" w:rsidRDefault="000416FF" w:rsidP="00450C66">
            <w:pPr>
              <w:rPr>
                <w:b/>
                <w:bCs/>
                <w:sz w:val="20"/>
                <w:szCs w:val="20"/>
              </w:rPr>
            </w:pPr>
            <w:r w:rsidRPr="0063123B">
              <w:rPr>
                <w:b/>
                <w:bCs/>
                <w:sz w:val="20"/>
                <w:szCs w:val="20"/>
              </w:rPr>
              <w:t>Common name of GMO</w:t>
            </w:r>
            <w:r>
              <w:rPr>
                <w:b/>
                <w:bCs/>
                <w:sz w:val="20"/>
                <w:szCs w:val="20"/>
              </w:rPr>
              <w:t>s</w:t>
            </w:r>
          </w:p>
        </w:tc>
        <w:tc>
          <w:tcPr>
            <w:tcW w:w="3544" w:type="dxa"/>
          </w:tcPr>
          <w:p w14:paraId="3D4759CD" w14:textId="77777777" w:rsidR="000416FF" w:rsidRPr="0063123B" w:rsidRDefault="000416FF" w:rsidP="00450C66">
            <w:pPr>
              <w:rPr>
                <w:b/>
                <w:bCs/>
                <w:sz w:val="20"/>
                <w:szCs w:val="20"/>
              </w:rPr>
            </w:pPr>
            <w:r w:rsidRPr="0063123B">
              <w:rPr>
                <w:b/>
                <w:bCs/>
                <w:sz w:val="20"/>
                <w:szCs w:val="20"/>
              </w:rPr>
              <w:t>Description of Dealings</w:t>
            </w:r>
            <w:r>
              <w:rPr>
                <w:b/>
                <w:bCs/>
                <w:sz w:val="20"/>
                <w:szCs w:val="20"/>
              </w:rPr>
              <w:t xml:space="preserve"> Covered by this Determination</w:t>
            </w:r>
          </w:p>
        </w:tc>
      </w:tr>
      <w:tr w:rsidR="000416FF" w:rsidRPr="0063123B" w14:paraId="64B8862C" w14:textId="77777777" w:rsidTr="00450C66">
        <w:trPr>
          <w:trHeight w:val="5262"/>
        </w:trPr>
        <w:tc>
          <w:tcPr>
            <w:tcW w:w="1845" w:type="dxa"/>
          </w:tcPr>
          <w:p w14:paraId="2155C51E" w14:textId="77777777" w:rsidR="000416FF" w:rsidRPr="0063123B" w:rsidRDefault="000416FF" w:rsidP="00450C66">
            <w:pPr>
              <w:rPr>
                <w:sz w:val="20"/>
                <w:szCs w:val="20"/>
              </w:rPr>
            </w:pPr>
            <w:r w:rsidRPr="0063123B">
              <w:rPr>
                <w:sz w:val="20"/>
                <w:szCs w:val="20"/>
              </w:rPr>
              <w:t>001 of 2004</w:t>
            </w:r>
          </w:p>
        </w:tc>
        <w:tc>
          <w:tcPr>
            <w:tcW w:w="2091" w:type="dxa"/>
          </w:tcPr>
          <w:p w14:paraId="7277D474" w14:textId="77777777" w:rsidR="000416FF" w:rsidRPr="00AC14EE" w:rsidRDefault="000416FF" w:rsidP="00450C66">
            <w:pPr>
              <w:rPr>
                <w:sz w:val="20"/>
                <w:szCs w:val="20"/>
              </w:rPr>
            </w:pPr>
            <w:r>
              <w:rPr>
                <w:sz w:val="20"/>
                <w:szCs w:val="20"/>
              </w:rPr>
              <w:t xml:space="preserve">Four genetically modified (GM) carnation lines, developed </w:t>
            </w:r>
            <w:r w:rsidRPr="00AC14EE">
              <w:rPr>
                <w:sz w:val="20"/>
                <w:szCs w:val="20"/>
              </w:rPr>
              <w:t xml:space="preserve">by the insertion of genes that affect the production of blue coloured </w:t>
            </w:r>
            <w:r>
              <w:rPr>
                <w:sz w:val="20"/>
                <w:szCs w:val="20"/>
              </w:rPr>
              <w:t>(</w:t>
            </w:r>
            <w:r w:rsidRPr="00AC14EE">
              <w:rPr>
                <w:sz w:val="20"/>
                <w:szCs w:val="20"/>
              </w:rPr>
              <w:t>anthocyanin</w:t>
            </w:r>
            <w:r>
              <w:rPr>
                <w:sz w:val="20"/>
                <w:szCs w:val="20"/>
              </w:rPr>
              <w:t>)</w:t>
            </w:r>
            <w:r w:rsidRPr="00AC14EE">
              <w:rPr>
                <w:sz w:val="20"/>
                <w:szCs w:val="20"/>
              </w:rPr>
              <w:t xml:space="preserve"> pigments, leading to violet, mauve or purple coloured flowers.</w:t>
            </w:r>
          </w:p>
        </w:tc>
        <w:tc>
          <w:tcPr>
            <w:tcW w:w="1559" w:type="dxa"/>
          </w:tcPr>
          <w:p w14:paraId="7A1E6E0F" w14:textId="77777777" w:rsidR="000416FF" w:rsidRDefault="000416FF" w:rsidP="00450C66">
            <w:pPr>
              <w:rPr>
                <w:sz w:val="20"/>
                <w:szCs w:val="20"/>
              </w:rPr>
            </w:pPr>
            <w:r>
              <w:rPr>
                <w:sz w:val="20"/>
                <w:szCs w:val="20"/>
              </w:rPr>
              <w:t>The 4 GM carnation lines are:</w:t>
            </w:r>
          </w:p>
          <w:p w14:paraId="7C712277" w14:textId="77777777" w:rsidR="000416FF" w:rsidRDefault="000416FF" w:rsidP="00450C66">
            <w:pPr>
              <w:rPr>
                <w:sz w:val="20"/>
                <w:szCs w:val="20"/>
              </w:rPr>
            </w:pPr>
            <w:r>
              <w:rPr>
                <w:sz w:val="20"/>
                <w:szCs w:val="20"/>
              </w:rPr>
              <w:t>Moonlite™</w:t>
            </w:r>
          </w:p>
          <w:p w14:paraId="1B443A86" w14:textId="77777777" w:rsidR="000416FF" w:rsidRDefault="000416FF" w:rsidP="00450C66">
            <w:pPr>
              <w:rPr>
                <w:sz w:val="20"/>
                <w:szCs w:val="20"/>
              </w:rPr>
            </w:pPr>
            <w:r>
              <w:rPr>
                <w:sz w:val="20"/>
                <w:szCs w:val="20"/>
              </w:rPr>
              <w:t>Moonshade™</w:t>
            </w:r>
          </w:p>
          <w:p w14:paraId="2385F3EF" w14:textId="77777777" w:rsidR="000416FF" w:rsidRDefault="000416FF" w:rsidP="00450C66">
            <w:pPr>
              <w:rPr>
                <w:sz w:val="20"/>
                <w:szCs w:val="20"/>
              </w:rPr>
            </w:pPr>
            <w:r>
              <w:rPr>
                <w:sz w:val="20"/>
                <w:szCs w:val="20"/>
              </w:rPr>
              <w:t>Moonshadow™</w:t>
            </w:r>
          </w:p>
          <w:p w14:paraId="64EBD5B7" w14:textId="77777777" w:rsidR="000416FF" w:rsidRPr="0063123B" w:rsidRDefault="000416FF" w:rsidP="00450C66">
            <w:pPr>
              <w:rPr>
                <w:sz w:val="20"/>
                <w:szCs w:val="20"/>
              </w:rPr>
            </w:pPr>
            <w:r>
              <w:rPr>
                <w:sz w:val="20"/>
                <w:szCs w:val="20"/>
              </w:rPr>
              <w:t>Moonvista™</w:t>
            </w:r>
          </w:p>
        </w:tc>
        <w:tc>
          <w:tcPr>
            <w:tcW w:w="3544" w:type="dxa"/>
          </w:tcPr>
          <w:p w14:paraId="4672A8AB" w14:textId="77777777" w:rsidR="000416FF" w:rsidRDefault="000416FF" w:rsidP="000416FF">
            <w:pPr>
              <w:numPr>
                <w:ilvl w:val="0"/>
                <w:numId w:val="1"/>
              </w:numPr>
              <w:tabs>
                <w:tab w:val="clear" w:pos="987"/>
              </w:tabs>
              <w:ind w:left="490" w:hanging="315"/>
              <w:jc w:val="both"/>
              <w:rPr>
                <w:sz w:val="20"/>
                <w:szCs w:val="20"/>
              </w:rPr>
            </w:pPr>
            <w:r w:rsidRPr="0063123B">
              <w:rPr>
                <w:sz w:val="20"/>
                <w:szCs w:val="20"/>
              </w:rPr>
              <w:t>make develop produce or manufacture the GMO</w:t>
            </w:r>
          </w:p>
          <w:p w14:paraId="37BD8422" w14:textId="77777777" w:rsidR="000416FF" w:rsidRPr="0063123B" w:rsidRDefault="000416FF" w:rsidP="00450C66">
            <w:pPr>
              <w:ind w:left="490" w:hanging="315"/>
              <w:jc w:val="both"/>
              <w:rPr>
                <w:sz w:val="20"/>
                <w:szCs w:val="20"/>
              </w:rPr>
            </w:pPr>
          </w:p>
          <w:p w14:paraId="7C82E849" w14:textId="77777777" w:rsidR="000416FF" w:rsidRPr="0063123B" w:rsidRDefault="000416FF" w:rsidP="000416FF">
            <w:pPr>
              <w:numPr>
                <w:ilvl w:val="0"/>
                <w:numId w:val="1"/>
              </w:numPr>
              <w:tabs>
                <w:tab w:val="clear" w:pos="987"/>
              </w:tabs>
              <w:ind w:left="490" w:hanging="315"/>
              <w:jc w:val="both"/>
              <w:rPr>
                <w:sz w:val="20"/>
                <w:szCs w:val="20"/>
              </w:rPr>
            </w:pPr>
            <w:r w:rsidRPr="0063123B">
              <w:rPr>
                <w:sz w:val="20"/>
                <w:szCs w:val="20"/>
              </w:rPr>
              <w:t>Conduct experiments with the GMO</w:t>
            </w:r>
          </w:p>
          <w:p w14:paraId="451633DA" w14:textId="77777777" w:rsidR="000416FF" w:rsidRPr="0063123B" w:rsidRDefault="000416FF" w:rsidP="00450C66">
            <w:pPr>
              <w:ind w:left="490" w:hanging="315"/>
              <w:jc w:val="both"/>
              <w:rPr>
                <w:sz w:val="20"/>
                <w:szCs w:val="20"/>
              </w:rPr>
            </w:pPr>
          </w:p>
          <w:p w14:paraId="7FD00B6E" w14:textId="77777777" w:rsidR="000416FF" w:rsidRPr="0063123B" w:rsidRDefault="000416FF" w:rsidP="000416FF">
            <w:pPr>
              <w:numPr>
                <w:ilvl w:val="0"/>
                <w:numId w:val="1"/>
              </w:numPr>
              <w:tabs>
                <w:tab w:val="clear" w:pos="987"/>
              </w:tabs>
              <w:ind w:left="490" w:hanging="315"/>
              <w:jc w:val="both"/>
              <w:rPr>
                <w:sz w:val="20"/>
                <w:szCs w:val="20"/>
              </w:rPr>
            </w:pPr>
            <w:r w:rsidRPr="0063123B">
              <w:rPr>
                <w:sz w:val="20"/>
                <w:szCs w:val="20"/>
              </w:rPr>
              <w:t>Breed the GMO</w:t>
            </w:r>
          </w:p>
          <w:p w14:paraId="6B5387F9" w14:textId="77777777" w:rsidR="000416FF" w:rsidRPr="0063123B" w:rsidRDefault="000416FF" w:rsidP="00450C66">
            <w:pPr>
              <w:ind w:left="490" w:hanging="315"/>
              <w:jc w:val="both"/>
              <w:rPr>
                <w:sz w:val="20"/>
                <w:szCs w:val="20"/>
              </w:rPr>
            </w:pPr>
          </w:p>
          <w:p w14:paraId="7E9455F6" w14:textId="77777777" w:rsidR="000416FF" w:rsidRPr="0063123B" w:rsidRDefault="000416FF" w:rsidP="000416FF">
            <w:pPr>
              <w:numPr>
                <w:ilvl w:val="0"/>
                <w:numId w:val="1"/>
              </w:numPr>
              <w:tabs>
                <w:tab w:val="clear" w:pos="987"/>
              </w:tabs>
              <w:ind w:left="490" w:hanging="315"/>
              <w:jc w:val="both"/>
              <w:rPr>
                <w:sz w:val="20"/>
                <w:szCs w:val="20"/>
              </w:rPr>
            </w:pPr>
            <w:r w:rsidRPr="0063123B">
              <w:rPr>
                <w:sz w:val="20"/>
                <w:szCs w:val="20"/>
              </w:rPr>
              <w:t>Propagate the GMO</w:t>
            </w:r>
          </w:p>
          <w:p w14:paraId="1BB2BDF9" w14:textId="77777777" w:rsidR="000416FF" w:rsidRPr="0063123B" w:rsidRDefault="000416FF" w:rsidP="00450C66">
            <w:pPr>
              <w:ind w:left="490" w:hanging="315"/>
              <w:jc w:val="both"/>
              <w:rPr>
                <w:sz w:val="20"/>
                <w:szCs w:val="20"/>
              </w:rPr>
            </w:pPr>
          </w:p>
          <w:p w14:paraId="332EB9D2" w14:textId="77777777" w:rsidR="000416FF" w:rsidRPr="0063123B" w:rsidRDefault="000416FF" w:rsidP="000416FF">
            <w:pPr>
              <w:numPr>
                <w:ilvl w:val="0"/>
                <w:numId w:val="1"/>
              </w:numPr>
              <w:tabs>
                <w:tab w:val="clear" w:pos="987"/>
              </w:tabs>
              <w:ind w:left="490" w:hanging="315"/>
              <w:jc w:val="both"/>
              <w:rPr>
                <w:sz w:val="20"/>
                <w:szCs w:val="20"/>
              </w:rPr>
            </w:pPr>
            <w:r w:rsidRPr="0063123B">
              <w:rPr>
                <w:sz w:val="20"/>
                <w:szCs w:val="20"/>
              </w:rPr>
              <w:t>Use the GMO in the course of manufacture of a thing that is not the GMO</w:t>
            </w:r>
          </w:p>
          <w:p w14:paraId="229B8841" w14:textId="77777777" w:rsidR="000416FF" w:rsidRPr="0063123B" w:rsidRDefault="000416FF" w:rsidP="00450C66">
            <w:pPr>
              <w:ind w:left="490" w:hanging="315"/>
              <w:jc w:val="both"/>
              <w:rPr>
                <w:sz w:val="20"/>
                <w:szCs w:val="20"/>
              </w:rPr>
            </w:pPr>
          </w:p>
          <w:p w14:paraId="43C6ECB8" w14:textId="77777777" w:rsidR="000416FF" w:rsidRPr="0063123B" w:rsidRDefault="000416FF" w:rsidP="000416FF">
            <w:pPr>
              <w:numPr>
                <w:ilvl w:val="0"/>
                <w:numId w:val="1"/>
              </w:numPr>
              <w:tabs>
                <w:tab w:val="clear" w:pos="987"/>
              </w:tabs>
              <w:ind w:left="490" w:hanging="315"/>
              <w:jc w:val="both"/>
              <w:rPr>
                <w:sz w:val="20"/>
                <w:szCs w:val="20"/>
              </w:rPr>
            </w:pPr>
            <w:r w:rsidRPr="0063123B">
              <w:rPr>
                <w:sz w:val="20"/>
                <w:szCs w:val="20"/>
              </w:rPr>
              <w:t>Grow raise or culture the GMO</w:t>
            </w:r>
          </w:p>
          <w:p w14:paraId="41743725" w14:textId="77777777" w:rsidR="000416FF" w:rsidRPr="0063123B" w:rsidRDefault="000416FF" w:rsidP="00450C66">
            <w:pPr>
              <w:ind w:left="490" w:hanging="315"/>
              <w:jc w:val="both"/>
              <w:rPr>
                <w:sz w:val="20"/>
                <w:szCs w:val="20"/>
              </w:rPr>
            </w:pPr>
          </w:p>
          <w:p w14:paraId="22745A4A" w14:textId="77777777" w:rsidR="000416FF" w:rsidRPr="0063123B" w:rsidRDefault="000416FF" w:rsidP="000416FF">
            <w:pPr>
              <w:numPr>
                <w:ilvl w:val="0"/>
                <w:numId w:val="1"/>
              </w:numPr>
              <w:tabs>
                <w:tab w:val="clear" w:pos="987"/>
              </w:tabs>
              <w:ind w:left="490" w:hanging="315"/>
              <w:jc w:val="both"/>
              <w:rPr>
                <w:sz w:val="20"/>
                <w:szCs w:val="20"/>
              </w:rPr>
            </w:pPr>
            <w:r w:rsidRPr="0063123B">
              <w:rPr>
                <w:sz w:val="20"/>
                <w:szCs w:val="20"/>
              </w:rPr>
              <w:t>Import the GMO, and</w:t>
            </w:r>
            <w:r>
              <w:rPr>
                <w:sz w:val="20"/>
                <w:szCs w:val="20"/>
              </w:rPr>
              <w:t xml:space="preserve"> </w:t>
            </w:r>
            <w:r w:rsidRPr="0063123B">
              <w:rPr>
                <w:sz w:val="20"/>
                <w:szCs w:val="20"/>
              </w:rPr>
              <w:t>possess, supply,use, transport or dispose of the GMO for the purpose of, or in the course of, a dealing mentioned in paragraph (a) to (g).</w:t>
            </w:r>
          </w:p>
        </w:tc>
      </w:tr>
    </w:tbl>
    <w:p w14:paraId="16003628" w14:textId="77777777" w:rsidR="000416FF" w:rsidRPr="0063123B" w:rsidRDefault="000416FF" w:rsidP="000416FF">
      <w:pPr>
        <w:rPr>
          <w:sz w:val="20"/>
          <w:szCs w:val="20"/>
        </w:rPr>
      </w:pPr>
    </w:p>
    <w:p w14:paraId="212A4CCA" w14:textId="77777777" w:rsidR="000416FF" w:rsidRPr="0063123B" w:rsidRDefault="000416FF" w:rsidP="000416FF">
      <w:pPr>
        <w:rPr>
          <w:sz w:val="20"/>
          <w:szCs w:val="20"/>
        </w:rPr>
      </w:pPr>
    </w:p>
    <w:p w14:paraId="6ED093F5" w14:textId="77777777" w:rsidR="000416FF" w:rsidRDefault="000416FF" w:rsidP="000416FF">
      <w:pPr>
        <w:tabs>
          <w:tab w:val="right" w:pos="8280"/>
        </w:tabs>
        <w:rPr>
          <w:sz w:val="20"/>
          <w:szCs w:val="20"/>
        </w:rPr>
      </w:pPr>
      <w:r w:rsidRPr="0063123B">
        <w:rPr>
          <w:sz w:val="20"/>
          <w:szCs w:val="20"/>
        </w:rPr>
        <w:t xml:space="preserve">This </w:t>
      </w:r>
      <w:r>
        <w:rPr>
          <w:sz w:val="20"/>
          <w:szCs w:val="20"/>
        </w:rPr>
        <w:t xml:space="preserve">determination comes into effect </w:t>
      </w:r>
      <w:r w:rsidRPr="008D3048">
        <w:rPr>
          <w:sz w:val="20"/>
          <w:szCs w:val="20"/>
        </w:rPr>
        <w:t xml:space="preserve"> </w:t>
      </w:r>
      <w:r w:rsidRPr="008D3048">
        <w:rPr>
          <w:color w:val="000000"/>
          <w:sz w:val="20"/>
          <w:szCs w:val="20"/>
        </w:rPr>
        <w:t xml:space="preserve">immediately on the expiration of fifteen sitting days after a copy of the determination is laid before a House of Parliament under paragraph 42(1)(a) of </w:t>
      </w:r>
      <w:r w:rsidRPr="008D3048">
        <w:rPr>
          <w:i/>
          <w:iCs/>
          <w:color w:val="000000"/>
          <w:sz w:val="20"/>
          <w:szCs w:val="20"/>
        </w:rPr>
        <w:t>the Legislative Instruments Act 2003,</w:t>
      </w:r>
      <w:r w:rsidRPr="008D3048">
        <w:rPr>
          <w:color w:val="000000"/>
          <w:sz w:val="20"/>
          <w:szCs w:val="20"/>
        </w:rPr>
        <w:t xml:space="preserve">unless a notice of motion to disallow the determination is made, in which case, if the determination is not subsequently disallowed in pursuance of the motion, the determination will come into effect on the expiration of the further fifteen days referred to in paragraph 42(1)(b) of </w:t>
      </w:r>
      <w:r w:rsidRPr="008D3048">
        <w:rPr>
          <w:i/>
          <w:iCs/>
          <w:color w:val="000000"/>
          <w:sz w:val="20"/>
          <w:szCs w:val="20"/>
        </w:rPr>
        <w:t>the Legislative Instruments Act 2003</w:t>
      </w:r>
      <w:r>
        <w:rPr>
          <w:rFonts w:ascii="Helv" w:hAnsi="Helv" w:cs="Helv"/>
          <w:i/>
          <w:iCs/>
          <w:color w:val="000000"/>
          <w:sz w:val="20"/>
          <w:szCs w:val="20"/>
        </w:rPr>
        <w:t>.</w:t>
      </w:r>
      <w:r>
        <w:rPr>
          <w:sz w:val="20"/>
          <w:szCs w:val="20"/>
        </w:rPr>
        <w:tab/>
      </w:r>
    </w:p>
    <w:p w14:paraId="52C90F25" w14:textId="77777777" w:rsidR="000416FF" w:rsidRDefault="000416FF" w:rsidP="000416FF">
      <w:pPr>
        <w:tabs>
          <w:tab w:val="right" w:pos="8100"/>
        </w:tabs>
        <w:rPr>
          <w:sz w:val="20"/>
          <w:szCs w:val="20"/>
        </w:rPr>
      </w:pPr>
    </w:p>
    <w:p w14:paraId="0656E313" w14:textId="77777777" w:rsidR="000416FF" w:rsidRPr="0063123B" w:rsidRDefault="000416FF" w:rsidP="000416FF">
      <w:pPr>
        <w:tabs>
          <w:tab w:val="right" w:pos="8100"/>
        </w:tabs>
        <w:rPr>
          <w:sz w:val="20"/>
          <w:szCs w:val="20"/>
        </w:rPr>
      </w:pPr>
    </w:p>
    <w:p w14:paraId="4E520134" w14:textId="77777777" w:rsidR="000416FF" w:rsidRPr="0063123B" w:rsidRDefault="000416FF" w:rsidP="000416FF">
      <w:pPr>
        <w:rPr>
          <w:sz w:val="20"/>
          <w:szCs w:val="20"/>
        </w:rPr>
      </w:pPr>
    </w:p>
    <w:p w14:paraId="3B0515A9" w14:textId="77777777" w:rsidR="000416FF" w:rsidRPr="0063123B" w:rsidRDefault="000416FF" w:rsidP="000416FF">
      <w:pPr>
        <w:rPr>
          <w:sz w:val="20"/>
          <w:szCs w:val="20"/>
        </w:rPr>
      </w:pPr>
      <w:r w:rsidRPr="0063123B">
        <w:rPr>
          <w:sz w:val="20"/>
          <w:szCs w:val="20"/>
        </w:rPr>
        <w:t xml:space="preserve">Dated this          </w:t>
      </w:r>
      <w:r>
        <w:rPr>
          <w:sz w:val="20"/>
          <w:szCs w:val="20"/>
        </w:rPr>
        <w:t xml:space="preserve">27th         </w:t>
      </w:r>
      <w:r w:rsidRPr="0063123B">
        <w:rPr>
          <w:sz w:val="20"/>
          <w:szCs w:val="20"/>
        </w:rPr>
        <w:t xml:space="preserve">   day of             </w:t>
      </w:r>
      <w:r>
        <w:rPr>
          <w:sz w:val="20"/>
          <w:szCs w:val="20"/>
        </w:rPr>
        <w:t>November</w:t>
      </w:r>
      <w:r w:rsidRPr="0063123B">
        <w:rPr>
          <w:sz w:val="20"/>
          <w:szCs w:val="20"/>
        </w:rPr>
        <w:t xml:space="preserve">   </w:t>
      </w:r>
      <w:r>
        <w:rPr>
          <w:sz w:val="20"/>
          <w:szCs w:val="20"/>
        </w:rPr>
        <w:t xml:space="preserve">                    </w:t>
      </w:r>
      <w:r w:rsidRPr="0063123B">
        <w:rPr>
          <w:sz w:val="20"/>
          <w:szCs w:val="20"/>
        </w:rPr>
        <w:t xml:space="preserve"> 2006</w:t>
      </w:r>
    </w:p>
    <w:p w14:paraId="4D1CD234" w14:textId="77777777" w:rsidR="000416FF" w:rsidRPr="0063123B" w:rsidRDefault="000416FF" w:rsidP="000416FF">
      <w:pPr>
        <w:rPr>
          <w:sz w:val="20"/>
          <w:szCs w:val="20"/>
        </w:rPr>
      </w:pPr>
    </w:p>
    <w:p w14:paraId="65B8FE9D" w14:textId="77777777" w:rsidR="000416FF" w:rsidRPr="0063123B" w:rsidRDefault="000416FF" w:rsidP="000416FF">
      <w:pPr>
        <w:rPr>
          <w:sz w:val="20"/>
          <w:szCs w:val="20"/>
        </w:rPr>
      </w:pPr>
    </w:p>
    <w:p w14:paraId="050CB231" w14:textId="77777777" w:rsidR="000416FF" w:rsidRPr="0063123B" w:rsidRDefault="000416FF" w:rsidP="000416FF">
      <w:pPr>
        <w:rPr>
          <w:sz w:val="20"/>
          <w:szCs w:val="20"/>
        </w:rPr>
      </w:pPr>
    </w:p>
    <w:p w14:paraId="531CBD85" w14:textId="77777777" w:rsidR="000416FF" w:rsidRPr="0063123B" w:rsidRDefault="000416FF" w:rsidP="000416FF">
      <w:pPr>
        <w:rPr>
          <w:sz w:val="20"/>
          <w:szCs w:val="20"/>
        </w:rPr>
      </w:pPr>
    </w:p>
    <w:p w14:paraId="109F683E" w14:textId="77777777" w:rsidR="000416FF" w:rsidRPr="0063123B" w:rsidRDefault="000416FF" w:rsidP="000416FF">
      <w:pPr>
        <w:rPr>
          <w:sz w:val="20"/>
          <w:szCs w:val="20"/>
        </w:rPr>
      </w:pPr>
      <w:r w:rsidRPr="0063123B">
        <w:rPr>
          <w:sz w:val="20"/>
          <w:szCs w:val="20"/>
        </w:rPr>
        <w:t>(Dr) Su</w:t>
      </w:r>
      <w:r>
        <w:rPr>
          <w:sz w:val="20"/>
          <w:szCs w:val="20"/>
        </w:rPr>
        <w:t>san</w:t>
      </w:r>
      <w:r w:rsidRPr="0063123B">
        <w:rPr>
          <w:sz w:val="20"/>
          <w:szCs w:val="20"/>
        </w:rPr>
        <w:t xml:space="preserve"> D Meek</w:t>
      </w:r>
    </w:p>
    <w:p w14:paraId="4E6ECC98" w14:textId="77777777" w:rsidR="000416FF" w:rsidRPr="00061BD2" w:rsidRDefault="000416FF" w:rsidP="000416FF">
      <w:pPr>
        <w:rPr>
          <w:sz w:val="20"/>
          <w:szCs w:val="20"/>
        </w:rPr>
      </w:pPr>
      <w:r w:rsidRPr="00061BD2">
        <w:rPr>
          <w:sz w:val="20"/>
          <w:szCs w:val="20"/>
        </w:rPr>
        <w:t>Gene Technology Regulator</w:t>
      </w:r>
    </w:p>
    <w:p w14:paraId="0BABB44B" w14:textId="77777777" w:rsidR="00327DC6" w:rsidRDefault="00327DC6"/>
    <w:sectPr w:rsidR="00327D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014617"/>
    <w:multiLevelType w:val="hybridMultilevel"/>
    <w:tmpl w:val="429CED10"/>
    <w:lvl w:ilvl="0" w:tplc="F6A25B90">
      <w:start w:val="1"/>
      <w:numFmt w:val="lowerLetter"/>
      <w:lvlText w:val="(%1)"/>
      <w:lvlJc w:val="left"/>
      <w:pPr>
        <w:tabs>
          <w:tab w:val="num" w:pos="987"/>
        </w:tabs>
        <w:ind w:left="987"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6FF"/>
    <w:rsid w:val="000416FF"/>
    <w:rsid w:val="00327DC6"/>
    <w:rsid w:val="00997A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842C5"/>
  <w15:chartTrackingRefBased/>
  <w15:docId w15:val="{3A4EEAF0-0E28-43BD-97DF-BA71407F4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6FF"/>
    <w:pPr>
      <w:spacing w:after="0" w:line="240" w:lineRule="auto"/>
    </w:pPr>
    <w:rPr>
      <w:rFonts w:ascii="Times New (W1)" w:eastAsia="Times New Roman" w:hAnsi="Times New (W1)" w:cs="Times New (W1)"/>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416FF"/>
    <w:pPr>
      <w:spacing w:after="0" w:line="240" w:lineRule="auto"/>
    </w:pPr>
    <w:rPr>
      <w:rFonts w:ascii="Times New (W1)" w:eastAsia="Times New Roman" w:hAnsi="Times New (W1)" w:cs="Times New (W1)"/>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instrument</dc:title>
  <dc:subject/>
  <dc:creator>OGTR.Voicemail@health.gov.au</dc:creator>
  <cp:keywords/>
  <dc:description/>
  <cp:lastModifiedBy>SMITH, Justine</cp:lastModifiedBy>
  <cp:revision>2</cp:revision>
  <dcterms:created xsi:type="dcterms:W3CDTF">2021-12-20T22:04:00Z</dcterms:created>
  <dcterms:modified xsi:type="dcterms:W3CDTF">2021-12-20T22:04:00Z</dcterms:modified>
</cp:coreProperties>
</file>