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75C3D" w14:textId="77777777" w:rsidR="00280050" w:rsidRDefault="009F544D" w:rsidP="00B1284D">
      <w:r w:rsidRPr="00C737D8">
        <w:rPr>
          <w:noProof/>
          <w:lang w:eastAsia="en-AU"/>
        </w:rPr>
        <w:drawing>
          <wp:inline distT="0" distB="0" distL="0" distR="0" wp14:anchorId="49FC524E" wp14:editId="6FEE5E10">
            <wp:extent cx="3335655" cy="951230"/>
            <wp:effectExtent l="0" t="0" r="0" b="1270"/>
            <wp:docPr id="1" name="Picture 1" descr="Description: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eal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5655" cy="951230"/>
                    </a:xfrm>
                    <a:prstGeom prst="rect">
                      <a:avLst/>
                    </a:prstGeom>
                    <a:noFill/>
                    <a:ln>
                      <a:noFill/>
                    </a:ln>
                  </pic:spPr>
                </pic:pic>
              </a:graphicData>
            </a:graphic>
          </wp:inline>
        </w:drawing>
      </w:r>
    </w:p>
    <w:p w14:paraId="587A69A0" w14:textId="77777777" w:rsidR="009F544D" w:rsidRDefault="009F544D" w:rsidP="00B1284D"/>
    <w:p w14:paraId="6B32F451" w14:textId="77777777" w:rsidR="002B086B" w:rsidRDefault="009F544D" w:rsidP="00B1284D">
      <w:pPr>
        <w:pStyle w:val="TitlePage"/>
      </w:pPr>
      <w:r w:rsidRPr="009F544D">
        <w:t xml:space="preserve">Risk Assessment </w:t>
      </w:r>
      <w:r w:rsidR="002B086B">
        <w:t xml:space="preserve">and Risk Management Plan </w:t>
      </w:r>
    </w:p>
    <w:p w14:paraId="1CD3B56C" w14:textId="77777777" w:rsidR="009F544D" w:rsidRPr="009F544D" w:rsidRDefault="009F544D" w:rsidP="00B1284D">
      <w:pPr>
        <w:pStyle w:val="TitlePage"/>
      </w:pPr>
      <w:r w:rsidRPr="009F544D">
        <w:t xml:space="preserve">for </w:t>
      </w:r>
    </w:p>
    <w:p w14:paraId="00E3BC97" w14:textId="77777777" w:rsidR="009F544D" w:rsidRPr="009F544D" w:rsidRDefault="009F544D" w:rsidP="00B1284D">
      <w:pPr>
        <w:pStyle w:val="TitlePage"/>
      </w:pPr>
      <w:r w:rsidRPr="009F544D">
        <w:t>Register 002</w:t>
      </w:r>
    </w:p>
    <w:p w14:paraId="3BC6A3DA" w14:textId="48B648C8" w:rsidR="009F544D" w:rsidRDefault="009F544D" w:rsidP="00B1284D">
      <w:pPr>
        <w:pStyle w:val="TitlePage2"/>
      </w:pPr>
      <w:r w:rsidRPr="009F544D">
        <w:t xml:space="preserve">Inclusion of dealings with </w:t>
      </w:r>
      <w:r w:rsidR="00CC631C">
        <w:t xml:space="preserve">cut flowers of </w:t>
      </w:r>
      <w:r w:rsidRPr="009F544D">
        <w:t>GM carnations modified for flower colour, on the GMO Register</w:t>
      </w:r>
    </w:p>
    <w:p w14:paraId="4E88C879" w14:textId="77777777" w:rsidR="009F544D" w:rsidRDefault="009F544D" w:rsidP="00B1284D">
      <w:pPr>
        <w:pStyle w:val="TitlePage2"/>
      </w:pPr>
      <w:r w:rsidRPr="009F544D">
        <w:t xml:space="preserve">Applicant: </w:t>
      </w:r>
      <w:r>
        <w:t>International Flower Developments</w:t>
      </w:r>
      <w:r w:rsidRPr="009F544D">
        <w:t xml:space="preserve"> Pty Ltd</w:t>
      </w:r>
    </w:p>
    <w:p w14:paraId="707FACEF" w14:textId="77777777" w:rsidR="002B086B" w:rsidRDefault="002B086B" w:rsidP="00B1284D">
      <w:pPr>
        <w:pStyle w:val="TitlePage2"/>
        <w:sectPr w:rsidR="002B086B" w:rsidSect="001A252A">
          <w:headerReference w:type="default" r:id="rId9"/>
          <w:footerReference w:type="default" r:id="rId10"/>
          <w:pgSz w:w="11906" w:h="16838"/>
          <w:pgMar w:top="1134" w:right="1134" w:bottom="1134" w:left="1134" w:header="709" w:footer="709" w:gutter="0"/>
          <w:cols w:space="708"/>
          <w:titlePg/>
          <w:docGrid w:linePitch="360"/>
        </w:sectPr>
      </w:pPr>
    </w:p>
    <w:p w14:paraId="6D1A4B00" w14:textId="48B06BEE" w:rsidR="002B086B" w:rsidRPr="00EC1089" w:rsidRDefault="002B086B" w:rsidP="003C382F">
      <w:pPr>
        <w:jc w:val="center"/>
        <w:rPr>
          <w:rStyle w:val="Strong"/>
        </w:rPr>
      </w:pPr>
      <w:r w:rsidRPr="00EC1089">
        <w:rPr>
          <w:rStyle w:val="Strong"/>
        </w:rPr>
        <w:lastRenderedPageBreak/>
        <w:t>PAGE INTENTIONALLY LEFT BLANK</w:t>
      </w:r>
    </w:p>
    <w:p w14:paraId="24BC3AB5" w14:textId="77777777" w:rsidR="002B086B" w:rsidRDefault="002B086B" w:rsidP="00B1284D">
      <w:pPr>
        <w:sectPr w:rsidR="002B086B" w:rsidSect="009F544D">
          <w:pgSz w:w="11906" w:h="16838"/>
          <w:pgMar w:top="1134" w:right="1134" w:bottom="1134" w:left="1134" w:header="709" w:footer="709" w:gutter="0"/>
          <w:cols w:space="708"/>
          <w:docGrid w:linePitch="360"/>
        </w:sectPr>
      </w:pPr>
    </w:p>
    <w:p w14:paraId="64250765" w14:textId="77777777" w:rsidR="002B086B" w:rsidRPr="002B086B" w:rsidRDefault="002B086B" w:rsidP="00B1284D"/>
    <w:p w14:paraId="7B999F21" w14:textId="77777777" w:rsidR="00856B48" w:rsidRDefault="00856B48" w:rsidP="00AC220F">
      <w:pPr>
        <w:pStyle w:val="Heading2"/>
      </w:pPr>
      <w:r>
        <w:t>Legislation</w:t>
      </w:r>
    </w:p>
    <w:p w14:paraId="4F7AB557" w14:textId="1392D0F7" w:rsidR="00856B48" w:rsidRDefault="00EF3C81" w:rsidP="00923A59">
      <w:pPr>
        <w:pStyle w:val="RARMPPara"/>
      </w:pPr>
      <w:r>
        <w:t xml:space="preserve">The </w:t>
      </w:r>
      <w:r w:rsidRPr="000B0D88">
        <w:rPr>
          <w:i/>
        </w:rPr>
        <w:t>Gene Technology Act 200</w:t>
      </w:r>
      <w:r w:rsidR="00E5398B" w:rsidRPr="000B0D88">
        <w:rPr>
          <w:i/>
        </w:rPr>
        <w:t>0</w:t>
      </w:r>
      <w:r>
        <w:t xml:space="preserve"> (the Act) contains a </w:t>
      </w:r>
      <w:r w:rsidR="00E80D92">
        <w:t xml:space="preserve">number of </w:t>
      </w:r>
      <w:r w:rsidR="001016B9">
        <w:t xml:space="preserve">requirements </w:t>
      </w:r>
      <w:r w:rsidR="00E80D92">
        <w:t xml:space="preserve">related to the GMO Register. </w:t>
      </w:r>
      <w:r w:rsidR="0024016E">
        <w:t>There must be a Register</w:t>
      </w:r>
      <w:r w:rsidR="001548F0">
        <w:t xml:space="preserve"> (</w:t>
      </w:r>
      <w:r w:rsidR="0024016E">
        <w:t>The Register</w:t>
      </w:r>
      <w:r w:rsidR="001548F0">
        <w:t>)</w:t>
      </w:r>
      <w:r w:rsidR="0024016E">
        <w:t xml:space="preserve"> which must be maintained by the Gene Technology Regulator (the Regulator) (s76).</w:t>
      </w:r>
      <w:r w:rsidR="00E80D92">
        <w:t xml:space="preserve"> </w:t>
      </w:r>
      <w:r w:rsidR="0024016E">
        <w:t xml:space="preserve">For any dealing included on </w:t>
      </w:r>
      <w:r w:rsidR="001548F0">
        <w:t>The</w:t>
      </w:r>
      <w:r w:rsidR="0024016E">
        <w:t xml:space="preserve"> Register, the Regulator must specify </w:t>
      </w:r>
      <w:r w:rsidR="0024016E" w:rsidRPr="00856B48">
        <w:t>a description o</w:t>
      </w:r>
      <w:r w:rsidR="0024016E">
        <w:t xml:space="preserve">f the dealing with the </w:t>
      </w:r>
      <w:r w:rsidR="001548F0">
        <w:t>genetically modified organism (</w:t>
      </w:r>
      <w:r w:rsidR="0024016E">
        <w:t>GMO</w:t>
      </w:r>
      <w:r w:rsidR="001548F0">
        <w:t>)</w:t>
      </w:r>
      <w:r w:rsidR="0024016E">
        <w:t xml:space="preserve">; and </w:t>
      </w:r>
      <w:r w:rsidR="0024016E" w:rsidRPr="00856B48">
        <w:t>any condition to which the dealing is subject</w:t>
      </w:r>
      <w:r w:rsidR="0024016E">
        <w:t xml:space="preserve"> (s77).</w:t>
      </w:r>
    </w:p>
    <w:p w14:paraId="318BAA4A" w14:textId="51BAC32D" w:rsidR="00856B48" w:rsidRPr="00923A59" w:rsidRDefault="0024016E" w:rsidP="00923A59">
      <w:pPr>
        <w:pStyle w:val="RARMPPara"/>
      </w:pPr>
      <w:r>
        <w:t xml:space="preserve">The </w:t>
      </w:r>
      <w:r w:rsidR="00856B48" w:rsidRPr="00856B48">
        <w:t>Re</w:t>
      </w:r>
      <w:r w:rsidR="00856B48" w:rsidRPr="000B0D88">
        <w:t>gulator may</w:t>
      </w:r>
      <w:r w:rsidR="00416747" w:rsidRPr="000B0D88">
        <w:t>, by a legislative instrument, determine that a</w:t>
      </w:r>
      <w:r w:rsidR="00856B48" w:rsidRPr="000B0D88">
        <w:t xml:space="preserve"> dealing with </w:t>
      </w:r>
      <w:r w:rsidR="00416747" w:rsidRPr="000B0D88">
        <w:t xml:space="preserve">a GMO is to be included </w:t>
      </w:r>
      <w:r w:rsidR="00856B48" w:rsidRPr="000B0D88">
        <w:t>on</w:t>
      </w:r>
      <w:r w:rsidR="00416747" w:rsidRPr="000B0D88">
        <w:t xml:space="preserve"> the</w:t>
      </w:r>
      <w:r w:rsidR="00856B48" w:rsidRPr="000B0D88">
        <w:t xml:space="preserve"> GMO Register</w:t>
      </w:r>
      <w:r w:rsidR="00416747" w:rsidRPr="000B0D88">
        <w:t>. To do so, the Regulator must be</w:t>
      </w:r>
      <w:r w:rsidRPr="000B0D88">
        <w:t xml:space="preserve"> satisfied that the dealing is, or has been, authorised by a GMO licence; or</w:t>
      </w:r>
      <w:r w:rsidRPr="00923A59">
        <w:t xml:space="preserve"> the GMO concerned is a GM product and is a GMO only because of regulations made </w:t>
      </w:r>
      <w:r w:rsidRPr="003C0674">
        <w:t xml:space="preserve">under the definition (s10) of </w:t>
      </w:r>
      <w:r w:rsidRPr="000B0D88">
        <w:rPr>
          <w:b/>
          <w:i/>
        </w:rPr>
        <w:t>genetically modified organism</w:t>
      </w:r>
      <w:r w:rsidRPr="000B0D88">
        <w:t xml:space="preserve">. This </w:t>
      </w:r>
      <w:r w:rsidR="001548F0" w:rsidRPr="000B0D88">
        <w:t>decision</w:t>
      </w:r>
      <w:r w:rsidRPr="000B0D88">
        <w:t xml:space="preserve"> may be made </w:t>
      </w:r>
      <w:r w:rsidR="001548F0" w:rsidRPr="000B0D88">
        <w:t>in response to an</w:t>
      </w:r>
      <w:r w:rsidR="007C209A" w:rsidRPr="000B0D88">
        <w:t xml:space="preserve"> </w:t>
      </w:r>
      <w:r w:rsidRPr="000B0D88">
        <w:t xml:space="preserve">application by the licence holder or on the initiative of the Regulator. The </w:t>
      </w:r>
      <w:r w:rsidR="00C318E4" w:rsidRPr="000B0D88">
        <w:t xml:space="preserve">decision to </w:t>
      </w:r>
      <w:r w:rsidRPr="000B0D88">
        <w:t>include</w:t>
      </w:r>
      <w:r w:rsidR="00C318E4" w:rsidRPr="000B0D88">
        <w:t xml:space="preserve"> </w:t>
      </w:r>
      <w:r w:rsidRPr="000B0D88">
        <w:t>d</w:t>
      </w:r>
      <w:r w:rsidR="00C318E4" w:rsidRPr="000B0D88">
        <w:t>ealings</w:t>
      </w:r>
      <w:r w:rsidRPr="000B0D88">
        <w:t xml:space="preserve"> on the GMO Register comes into effect on the day specified in the de</w:t>
      </w:r>
      <w:r w:rsidR="00C318E4" w:rsidRPr="000B0D88">
        <w:t xml:space="preserve">cision </w:t>
      </w:r>
      <w:r w:rsidR="00C318E4" w:rsidRPr="00923A59">
        <w:t>(s78)</w:t>
      </w:r>
      <w:r w:rsidRPr="00923A59">
        <w:t>.</w:t>
      </w:r>
      <w:r w:rsidR="00941F5F">
        <w:t xml:space="preserve"> Because the determination is made by legislative instrument</w:t>
      </w:r>
      <w:r w:rsidR="009F1B63">
        <w:t>,</w:t>
      </w:r>
      <w:r w:rsidR="00941F5F">
        <w:t xml:space="preserve"> the Regulator must also undertake appropriate consultation with experts in the field and persons likely to be affected by the proposed instrument in accordance with section 17 of the </w:t>
      </w:r>
      <w:r w:rsidR="00941F5F" w:rsidRPr="0071180A">
        <w:rPr>
          <w:i/>
        </w:rPr>
        <w:t>Legislation Act 2003</w:t>
      </w:r>
      <w:r w:rsidR="00941F5F">
        <w:t>.</w:t>
      </w:r>
    </w:p>
    <w:p w14:paraId="5610B0FF" w14:textId="0A2117D4" w:rsidR="00C318E4" w:rsidRPr="00923A59" w:rsidRDefault="00C318E4" w:rsidP="00923A59">
      <w:pPr>
        <w:pStyle w:val="RARMPPara"/>
      </w:pPr>
      <w:r w:rsidRPr="00923A59">
        <w:t xml:space="preserve">The Regulator must not decide to include dealings with a GMO on the GMO Register unless </w:t>
      </w:r>
      <w:r w:rsidR="00856B48" w:rsidRPr="00923A59">
        <w:t>satisfied</w:t>
      </w:r>
      <w:r w:rsidR="001548F0" w:rsidRPr="00923A59">
        <w:t xml:space="preserve"> that</w:t>
      </w:r>
      <w:r w:rsidRPr="00923A59">
        <w:t xml:space="preserve"> </w:t>
      </w:r>
      <w:r w:rsidR="00856B48" w:rsidRPr="00923A59">
        <w:t>any risks posed by the dealing are minimal</w:t>
      </w:r>
      <w:r w:rsidR="00C87722">
        <w:t>,</w:t>
      </w:r>
      <w:r w:rsidR="00856B48" w:rsidRPr="00923A59">
        <w:t xml:space="preserve"> and</w:t>
      </w:r>
      <w:r w:rsidRPr="00923A59">
        <w:t xml:space="preserve"> </w:t>
      </w:r>
      <w:r w:rsidR="00C87722">
        <w:t xml:space="preserve">that </w:t>
      </w:r>
      <w:r w:rsidRPr="00923A59">
        <w:t>it is not necessary for persons undertaking the dealing to hold,</w:t>
      </w:r>
      <w:r w:rsidRPr="000B0D88">
        <w:t xml:space="preserve"> or be covered by</w:t>
      </w:r>
      <w:r w:rsidR="00C87722">
        <w:t>,</w:t>
      </w:r>
      <w:r w:rsidRPr="000B0D88">
        <w:t xml:space="preserve"> a GMO licence in order to protect the health and safety of people or to protect the environment</w:t>
      </w:r>
      <w:r w:rsidR="001016B9" w:rsidRPr="00923A59">
        <w:t xml:space="preserve"> (s79(1))</w:t>
      </w:r>
      <w:r w:rsidRPr="00923A59">
        <w:t xml:space="preserve">. </w:t>
      </w:r>
    </w:p>
    <w:p w14:paraId="596317DA" w14:textId="2415E316" w:rsidR="00856B48" w:rsidRDefault="00C318E4" w:rsidP="00923A59">
      <w:pPr>
        <w:pStyle w:val="RARMPPara"/>
      </w:pPr>
      <w:r w:rsidRPr="00923A59">
        <w:t xml:space="preserve">The Regulator must consider </w:t>
      </w:r>
      <w:r w:rsidR="00856B48" w:rsidRPr="00923A59">
        <w:t xml:space="preserve">any </w:t>
      </w:r>
      <w:r w:rsidRPr="00923A59">
        <w:t xml:space="preserve">available </w:t>
      </w:r>
      <w:r w:rsidR="00856B48" w:rsidRPr="00923A59">
        <w:t>data about advers</w:t>
      </w:r>
      <w:r w:rsidRPr="00923A59">
        <w:t>e effects posed by the dealing;</w:t>
      </w:r>
      <w:r w:rsidR="00856B48" w:rsidRPr="00923A59">
        <w:t xml:space="preserve"> other information as to risks associated wi</w:t>
      </w:r>
      <w:r w:rsidR="00856B48" w:rsidRPr="00331C09">
        <w:t>th the dealing including information provided to the Regulator by a licence holde</w:t>
      </w:r>
      <w:r w:rsidRPr="00331C09">
        <w:t>r (s</w:t>
      </w:r>
      <w:r w:rsidR="00856B48" w:rsidRPr="00331C09">
        <w:t>65</w:t>
      </w:r>
      <w:r w:rsidRPr="00331C09">
        <w:t>)</w:t>
      </w:r>
      <w:r w:rsidR="00856B48" w:rsidRPr="00331C09">
        <w:t xml:space="preserve"> or by another person</w:t>
      </w:r>
      <w:r w:rsidR="001548F0" w:rsidRPr="00331C09">
        <w:t xml:space="preserve"> </w:t>
      </w:r>
      <w:r w:rsidRPr="00331C09">
        <w:t>(s</w:t>
      </w:r>
      <w:r w:rsidR="00856B48" w:rsidRPr="00331C09">
        <w:t>66</w:t>
      </w:r>
      <w:r w:rsidRPr="00331C09">
        <w:t>)</w:t>
      </w:r>
      <w:r w:rsidR="001548F0" w:rsidRPr="00331C09">
        <w:t xml:space="preserve">; </w:t>
      </w:r>
      <w:r w:rsidR="00856B48" w:rsidRPr="00331C09">
        <w:t>whether there is a need for the dealing to be subject to conditions;</w:t>
      </w:r>
      <w:r w:rsidR="001548F0" w:rsidRPr="00331C09">
        <w:t xml:space="preserve"> </w:t>
      </w:r>
      <w:r w:rsidR="00856B48" w:rsidRPr="00331C09">
        <w:t>any other information in relation to whether the dealing should be authorised by a GMO licence</w:t>
      </w:r>
      <w:r w:rsidR="001016B9" w:rsidRPr="00331C09">
        <w:t xml:space="preserve"> (s79(2))</w:t>
      </w:r>
      <w:r w:rsidR="00856B48" w:rsidRPr="00331C09">
        <w:t>.</w:t>
      </w:r>
      <w:r w:rsidR="001548F0" w:rsidRPr="00331C09">
        <w:t xml:space="preserve"> </w:t>
      </w:r>
      <w:r w:rsidR="00856B48" w:rsidRPr="00331C09">
        <w:t xml:space="preserve">The Regulator may have regard to </w:t>
      </w:r>
      <w:r w:rsidR="001548F0" w:rsidRPr="00331C09">
        <w:t>other matters</w:t>
      </w:r>
      <w:r w:rsidR="00856B48" w:rsidRPr="00331C09">
        <w:t xml:space="preserve"> the</w:t>
      </w:r>
      <w:r w:rsidR="001548F0" w:rsidRPr="00331C09">
        <w:t xml:space="preserve">y </w:t>
      </w:r>
      <w:r w:rsidR="00856B48" w:rsidRPr="00331C09">
        <w:t>consider relevant</w:t>
      </w:r>
      <w:r w:rsidR="001548F0" w:rsidRPr="00331C09">
        <w:t xml:space="preserve"> (s79</w:t>
      </w:r>
      <w:r w:rsidR="001016B9" w:rsidRPr="00331C09">
        <w:t>(3)</w:t>
      </w:r>
      <w:r w:rsidR="001548F0" w:rsidRPr="00331C09">
        <w:t>)</w:t>
      </w:r>
      <w:r w:rsidR="00FA7676" w:rsidRPr="00331C09">
        <w:t>.</w:t>
      </w:r>
    </w:p>
    <w:p w14:paraId="76B57784" w14:textId="63167716" w:rsidR="00CB5FCA" w:rsidRPr="00331C09" w:rsidRDefault="00CB5FCA" w:rsidP="00923A59">
      <w:pPr>
        <w:pStyle w:val="RARMPPara"/>
      </w:pPr>
      <w:r>
        <w:t xml:space="preserve">Although the </w:t>
      </w:r>
      <w:r w:rsidR="00150B93">
        <w:t>R</w:t>
      </w:r>
      <w:r>
        <w:t>egulator is not required to seek comment on the RARMP</w:t>
      </w:r>
      <w:r w:rsidRPr="00CB5FCA">
        <w:t xml:space="preserve"> </w:t>
      </w:r>
      <w:r>
        <w:t>under the Act, consultation was undertaken as means of gaining any available information for consideration in relation to s79(2</w:t>
      </w:r>
      <w:r w:rsidR="008B46E3">
        <w:t>)</w:t>
      </w:r>
      <w:r>
        <w:t xml:space="preserve"> and s79(3)</w:t>
      </w:r>
      <w:r w:rsidR="00941F5F">
        <w:t xml:space="preserve">, and to fulfil the requirements of the </w:t>
      </w:r>
      <w:r w:rsidR="00941F5F" w:rsidRPr="007149B7">
        <w:rPr>
          <w:i/>
        </w:rPr>
        <w:t>Legislation Act 2003</w:t>
      </w:r>
      <w:r>
        <w:t xml:space="preserve">.  Consultation included the Gene Technology Technical Advisory Committee (GTTAC), State and Territory Governments, Australian Government authorities or agencies, </w:t>
      </w:r>
      <w:r w:rsidR="000A02B1">
        <w:t xml:space="preserve">the Minister for the Environment, </w:t>
      </w:r>
      <w:r>
        <w:t>Australian local councils</w:t>
      </w:r>
      <w:r w:rsidR="000A02B1">
        <w:t>,</w:t>
      </w:r>
      <w:r>
        <w:t xml:space="preserve"> </w:t>
      </w:r>
      <w:r w:rsidR="000A02B1">
        <w:t xml:space="preserve">contacts in the flower industry, </w:t>
      </w:r>
      <w:r>
        <w:t>and the public. The advice from the experts, agencies and authorities and how it was taken into account is summarised in Appendix A. One public submission w</w:t>
      </w:r>
      <w:r w:rsidR="00C87722">
        <w:t>as</w:t>
      </w:r>
      <w:r>
        <w:t xml:space="preserve"> received and </w:t>
      </w:r>
      <w:r w:rsidR="00C87722">
        <w:t>its</w:t>
      </w:r>
      <w:r>
        <w:t xml:space="preserve"> consideration is summarised in Appendix B.</w:t>
      </w:r>
    </w:p>
    <w:p w14:paraId="4996F1A4" w14:textId="39F78E14" w:rsidR="00E82473" w:rsidRPr="00856B48" w:rsidRDefault="00BC52E6" w:rsidP="00923A59">
      <w:pPr>
        <w:pStyle w:val="RARMPPara"/>
      </w:pPr>
      <w:r w:rsidRPr="00331C09">
        <w:t xml:space="preserve">Currently there is only </w:t>
      </w:r>
      <w:r w:rsidR="00E82473" w:rsidRPr="00331C09">
        <w:t>on</w:t>
      </w:r>
      <w:r w:rsidRPr="00331C09">
        <w:t>e entry in</w:t>
      </w:r>
      <w:r w:rsidR="00E82473" w:rsidRPr="00331C09">
        <w:t xml:space="preserve"> </w:t>
      </w:r>
      <w:r w:rsidRPr="00331C09">
        <w:t>the GMO Register (</w:t>
      </w:r>
      <w:hyperlink r:id="rId11" w:history="1">
        <w:r w:rsidRPr="005A1F95">
          <w:rPr>
            <w:rStyle w:val="Hyperlink"/>
            <w:color w:val="auto"/>
          </w:rPr>
          <w:t>Register 001/2004</w:t>
        </w:r>
      </w:hyperlink>
      <w:r w:rsidRPr="00331C09">
        <w:t>), which was included on the Register in 2007. Register 001/2004 authorises dealings for</w:t>
      </w:r>
      <w:r w:rsidR="00580136" w:rsidRPr="00331C09">
        <w:t xml:space="preserve"> c</w:t>
      </w:r>
      <w:r w:rsidRPr="00331C09">
        <w:t>ommercial scale release of four lines of colour modified GM carnations (Moonlite™, Moonshade™, Moonshadow™ and Moonvista™). The dealings permitted include</w:t>
      </w:r>
      <w:r w:rsidR="00C87722">
        <w:t>:</w:t>
      </w:r>
      <w:r w:rsidRPr="00331C09">
        <w:t xml:space="preserve"> to make, develop, produce or manufacture, conduct experiments with, breed or propagate the GMO; use the GMO in the course of manufacture of a thing that is not the GMO; grow, raise or culture, import the GMO; and possess, supply, use, transport or dispose of the GMO for the purpose of, or in the course</w:t>
      </w:r>
      <w:r>
        <w:t xml:space="preserve"> of, a dealing mentioned.</w:t>
      </w:r>
    </w:p>
    <w:p w14:paraId="3EC10C8D" w14:textId="77777777" w:rsidR="00856B48" w:rsidRPr="000B0D88" w:rsidRDefault="00856B48" w:rsidP="00B1284D">
      <w:pPr>
        <w:pStyle w:val="Heading2"/>
        <w:rPr>
          <w:rFonts w:ascii="Calibri" w:hAnsi="Calibri" w:cs="Calibri"/>
          <w:sz w:val="28"/>
        </w:rPr>
      </w:pPr>
      <w:r w:rsidRPr="000B0D88">
        <w:rPr>
          <w:rFonts w:ascii="Calibri" w:hAnsi="Calibri" w:cs="Calibri"/>
          <w:sz w:val="28"/>
        </w:rPr>
        <w:t>Background</w:t>
      </w:r>
    </w:p>
    <w:p w14:paraId="089CB8CF" w14:textId="1A0EF6CD" w:rsidR="000B0D88" w:rsidRPr="000B0D88" w:rsidRDefault="000B0D88" w:rsidP="00AC220F">
      <w:pPr>
        <w:pStyle w:val="Heading3"/>
      </w:pPr>
      <w:r w:rsidRPr="000B0D88">
        <w:t xml:space="preserve">The </w:t>
      </w:r>
      <w:r>
        <w:t>a</w:t>
      </w:r>
      <w:r w:rsidRPr="000B0D88">
        <w:t>pplication</w:t>
      </w:r>
    </w:p>
    <w:p w14:paraId="0F0B4D40" w14:textId="3D0F221E" w:rsidR="006866CB" w:rsidRDefault="001548F0" w:rsidP="00923A59">
      <w:pPr>
        <w:pStyle w:val="RARMPPara"/>
      </w:pPr>
      <w:r>
        <w:t xml:space="preserve">This application </w:t>
      </w:r>
      <w:r w:rsidR="00F21C85">
        <w:t xml:space="preserve">from International Flower Developments Pty Ltd (IFD) </w:t>
      </w:r>
      <w:r>
        <w:t>is to include dealings with three GM carnations on The Register. The GMOs proposed for inclusion are carnations modified for alter</w:t>
      </w:r>
      <w:r w:rsidR="007520D5">
        <w:t>ed</w:t>
      </w:r>
      <w:r>
        <w:t xml:space="preserve"> flower colour, </w:t>
      </w:r>
      <w:r w:rsidR="007520D5">
        <w:t>sold commercially as Moonaqua</w:t>
      </w:r>
      <w:r w:rsidR="007520D5" w:rsidRPr="007520D5">
        <w:rPr>
          <w:rFonts w:ascii="Calibri" w:hAnsi="Calibri" w:cs="Calibri"/>
        </w:rPr>
        <w:t>™</w:t>
      </w:r>
      <w:r w:rsidR="007520D5">
        <w:t xml:space="preserve">, Moonberry™ and Moonvelvet™. </w:t>
      </w:r>
      <w:r w:rsidR="006866CB">
        <w:t>U</w:t>
      </w:r>
      <w:r w:rsidR="006866CB" w:rsidRPr="00145864">
        <w:t>nique identifier</w:t>
      </w:r>
      <w:r w:rsidR="00E82473">
        <w:t>s</w:t>
      </w:r>
      <w:r w:rsidR="006866CB" w:rsidRPr="00145864">
        <w:t xml:space="preserve"> </w:t>
      </w:r>
      <w:r w:rsidR="006866CB">
        <w:lastRenderedPageBreak/>
        <w:t>assigned by t</w:t>
      </w:r>
      <w:r w:rsidR="006866CB" w:rsidRPr="00E75F36">
        <w:t>he Organisation for Economic Co-operation and Development</w:t>
      </w:r>
      <w:r w:rsidR="006866CB">
        <w:t xml:space="preserve"> (</w:t>
      </w:r>
      <w:r w:rsidR="006866CB" w:rsidRPr="00145864">
        <w:t>OECD</w:t>
      </w:r>
      <w:r w:rsidR="006866CB">
        <w:t>)</w:t>
      </w:r>
      <w:r w:rsidR="00D96763">
        <w:t xml:space="preserve"> for the carnations </w:t>
      </w:r>
      <w:r w:rsidR="00D96763" w:rsidRPr="00D96763">
        <w:rPr>
          <w:rFonts w:ascii="Calibri" w:hAnsi="Calibri" w:cs="Calibri"/>
        </w:rPr>
        <w:t>are FLO-40689-6 (Moonaqua™), IFD-25958-3 (Moonberry™) and IFD</w:t>
      </w:r>
      <w:r w:rsidR="00E82473">
        <w:rPr>
          <w:rFonts w:ascii="Calibri" w:hAnsi="Calibri" w:cs="Calibri"/>
        </w:rPr>
        <w:noBreakHyphen/>
      </w:r>
      <w:r w:rsidR="00D96763" w:rsidRPr="00D96763">
        <w:rPr>
          <w:rFonts w:ascii="Calibri" w:hAnsi="Calibri" w:cs="Calibri"/>
        </w:rPr>
        <w:t>26407-2 (Moonvelvet™)</w:t>
      </w:r>
      <w:r w:rsidR="006866CB" w:rsidRPr="00D96763">
        <w:rPr>
          <w:rFonts w:ascii="Calibri" w:hAnsi="Calibri" w:cs="Calibri"/>
        </w:rPr>
        <w:t>.</w:t>
      </w:r>
    </w:p>
    <w:p w14:paraId="3F9F436D" w14:textId="31992306" w:rsidR="00856B48" w:rsidRDefault="00DB72AA" w:rsidP="008B46E3">
      <w:pPr>
        <w:pStyle w:val="RARMPPara"/>
      </w:pPr>
      <w:r>
        <w:t xml:space="preserve">Dealings with these GMOs are currently </w:t>
      </w:r>
      <w:r w:rsidR="000518B4">
        <w:t xml:space="preserve">authorised </w:t>
      </w:r>
      <w:r>
        <w:t>under</w:t>
      </w:r>
      <w:r w:rsidR="000518B4">
        <w:t xml:space="preserve"> the licence for</w:t>
      </w:r>
      <w:r>
        <w:t xml:space="preserve"> </w:t>
      </w:r>
      <w:r w:rsidR="00416747">
        <w:t>DIR 134</w:t>
      </w:r>
      <w:r>
        <w:t xml:space="preserve"> “</w:t>
      </w:r>
      <w:r w:rsidRPr="00DB72AA">
        <w:t>Commercial import and distribution of GM carnation cut-flowers with altered flower colour</w:t>
      </w:r>
      <w:r>
        <w:t xml:space="preserve">”. </w:t>
      </w:r>
      <w:r w:rsidRPr="00DB72AA">
        <w:t xml:space="preserve">The dealings permitted under the licence </w:t>
      </w:r>
      <w:r w:rsidR="001016B9">
        <w:t>are</w:t>
      </w:r>
      <w:r w:rsidR="001016B9" w:rsidRPr="00DB72AA">
        <w:t xml:space="preserve"> </w:t>
      </w:r>
      <w:r w:rsidRPr="00DB72AA">
        <w:t>import, transport and disposal</w:t>
      </w:r>
      <w:r w:rsidR="008B46E3">
        <w:t xml:space="preserve">, and </w:t>
      </w:r>
      <w:r w:rsidR="008B46E3" w:rsidRPr="008B46E3">
        <w:t>possession</w:t>
      </w:r>
      <w:r w:rsidR="008B46E3">
        <w:t xml:space="preserve"> or</w:t>
      </w:r>
      <w:r w:rsidR="008B46E3" w:rsidRPr="008B46E3">
        <w:t xml:space="preserve"> supply </w:t>
      </w:r>
      <w:r w:rsidR="008B46E3">
        <w:t>of the GMOs</w:t>
      </w:r>
      <w:r w:rsidR="008B46E3" w:rsidRPr="008B46E3">
        <w:t xml:space="preserve"> in the course of </w:t>
      </w:r>
      <w:r w:rsidR="008B46E3">
        <w:t>any of those</w:t>
      </w:r>
      <w:r w:rsidR="008B46E3" w:rsidRPr="008B46E3">
        <w:t xml:space="preserve"> dealings</w:t>
      </w:r>
      <w:r w:rsidRPr="00DB72AA">
        <w:t>. The licen</w:t>
      </w:r>
      <w:r w:rsidR="00BE0254">
        <w:t xml:space="preserve">ce does not permit growing </w:t>
      </w:r>
      <w:r w:rsidRPr="00DB72AA">
        <w:t>the GMOs in Australia.</w:t>
      </w:r>
      <w:r w:rsidR="006866CB">
        <w:t xml:space="preserve"> </w:t>
      </w:r>
      <w:r w:rsidR="00856B48" w:rsidRPr="00145864">
        <w:t>The Risk Assessment and Risk Management Plan</w:t>
      </w:r>
      <w:r w:rsidR="00BE0254">
        <w:rPr>
          <w:rFonts w:ascii="Calibri" w:hAnsi="Calibri" w:cs="Calibri"/>
          <w:color w:val="000000" w:themeColor="text1"/>
        </w:rPr>
        <w:t xml:space="preserve"> (RARMP) for </w:t>
      </w:r>
      <w:hyperlink r:id="rId12" w:history="1">
        <w:r w:rsidR="006866CB" w:rsidRPr="000D3808">
          <w:rPr>
            <w:rStyle w:val="Hyperlink"/>
            <w:rFonts w:ascii="Calibri" w:hAnsi="Calibri" w:cs="Calibri"/>
            <w:color w:val="000000" w:themeColor="text1"/>
          </w:rPr>
          <w:t>DIR 134</w:t>
        </w:r>
      </w:hyperlink>
      <w:r w:rsidR="00856B48" w:rsidRPr="006866CB">
        <w:rPr>
          <w:rFonts w:ascii="Calibri" w:hAnsi="Calibri" w:cs="Calibri"/>
        </w:rPr>
        <w:t xml:space="preserve"> w</w:t>
      </w:r>
      <w:r w:rsidR="00856B48" w:rsidRPr="00145864">
        <w:t xml:space="preserve">as published in </w:t>
      </w:r>
      <w:r w:rsidR="006866CB">
        <w:t>2015</w:t>
      </w:r>
      <w:r w:rsidR="00856B48" w:rsidRPr="00145864">
        <w:t>.</w:t>
      </w:r>
    </w:p>
    <w:p w14:paraId="3B561054" w14:textId="0CD1E6B6" w:rsidR="007108D9" w:rsidRDefault="007108D9" w:rsidP="00A41690">
      <w:pPr>
        <w:pStyle w:val="RARMPPara"/>
      </w:pPr>
      <w:r>
        <w:t xml:space="preserve">Import of cut flowers into Australia is subject to biosecurity conditions administered by the Department of Agriculture. The GM carnation stems imported under DIR 134 from Colombia and Ecuador must be immersed in a solution of 1.8 g/L (0.5%) glyphosate for 20 minutes to a depth </w:t>
      </w:r>
      <w:r w:rsidR="004053EA">
        <w:t>o</w:t>
      </w:r>
      <w:r>
        <w:t xml:space="preserve">f at least 35 cm from the cut end or to within 5 cm of the flower head in the country of production. Conditions can be found </w:t>
      </w:r>
      <w:r w:rsidR="00C87722">
        <w:t xml:space="preserve">in </w:t>
      </w:r>
      <w:r>
        <w:t xml:space="preserve">the </w:t>
      </w:r>
      <w:hyperlink r:id="rId13" w:history="1">
        <w:r w:rsidR="00985230" w:rsidRPr="000D3808">
          <w:rPr>
            <w:rStyle w:val="Hyperlink"/>
            <w:color w:val="000000" w:themeColor="text1"/>
          </w:rPr>
          <w:t>Department of Agriculture Cut flower devitalisation treatment guide</w:t>
        </w:r>
      </w:hyperlink>
      <w:r w:rsidRPr="000D3808">
        <w:rPr>
          <w:color w:val="000000" w:themeColor="text1"/>
        </w:rPr>
        <w:t>.</w:t>
      </w:r>
      <w:r>
        <w:t xml:space="preserve"> This treatment is designed to ensure that all imported cut flowers are devitalised prior to import</w:t>
      </w:r>
      <w:r w:rsidR="00A41690">
        <w:t xml:space="preserve"> </w:t>
      </w:r>
      <w:r w:rsidR="00A41690" w:rsidRPr="00A41690">
        <w:t xml:space="preserve">and would </w:t>
      </w:r>
      <w:r w:rsidR="00A41690">
        <w:t xml:space="preserve">therefore </w:t>
      </w:r>
      <w:r w:rsidR="00A41690" w:rsidRPr="00A41690">
        <w:t>apply to any GM carnations imported under R</w:t>
      </w:r>
      <w:r w:rsidR="00A41690">
        <w:t>EG</w:t>
      </w:r>
      <w:r w:rsidR="00A41690" w:rsidRPr="00A41690">
        <w:t>-002 (if approved)</w:t>
      </w:r>
      <w:r>
        <w:t>.</w:t>
      </w:r>
    </w:p>
    <w:p w14:paraId="5BEA88C2" w14:textId="66F82B3D" w:rsidR="00BE0254" w:rsidRPr="00145864" w:rsidRDefault="00BE0254" w:rsidP="00923A59">
      <w:pPr>
        <w:pStyle w:val="RARMPPara"/>
      </w:pPr>
      <w:r>
        <w:t>The application to include dealings with th</w:t>
      </w:r>
      <w:r w:rsidR="000518B4">
        <w:t>re</w:t>
      </w:r>
      <w:r>
        <w:t>e GM carnations on the GMO Register is for the same dealings – import, transport and disposal</w:t>
      </w:r>
      <w:r w:rsidR="00150B93">
        <w:t xml:space="preserve">, and </w:t>
      </w:r>
      <w:r w:rsidR="00150B93" w:rsidRPr="008B46E3">
        <w:t>possession</w:t>
      </w:r>
      <w:r w:rsidR="00150B93">
        <w:t xml:space="preserve"> or</w:t>
      </w:r>
      <w:r w:rsidR="00150B93" w:rsidRPr="008B46E3">
        <w:t xml:space="preserve"> supply </w:t>
      </w:r>
      <w:r w:rsidR="00150B93">
        <w:t>of the GMOs</w:t>
      </w:r>
      <w:r w:rsidR="00150B93" w:rsidRPr="008B46E3">
        <w:t xml:space="preserve"> in the course of </w:t>
      </w:r>
      <w:r w:rsidR="00150B93">
        <w:t>any of those</w:t>
      </w:r>
      <w:r w:rsidR="00150B93" w:rsidRPr="008B46E3">
        <w:t xml:space="preserve"> dealings</w:t>
      </w:r>
      <w:r>
        <w:t xml:space="preserve"> – as those currently authorised by the licence for DIR 134.</w:t>
      </w:r>
    </w:p>
    <w:p w14:paraId="4F8D645A" w14:textId="2D48AEF7" w:rsidR="00856B48" w:rsidRPr="00145864" w:rsidRDefault="00856B48" w:rsidP="00923A59">
      <w:pPr>
        <w:pStyle w:val="RARMPPara"/>
      </w:pPr>
      <w:r w:rsidRPr="00145864">
        <w:t>This</w:t>
      </w:r>
      <w:r>
        <w:t xml:space="preserve"> </w:t>
      </w:r>
      <w:r w:rsidR="00BE0254">
        <w:t xml:space="preserve">RARMP </w:t>
      </w:r>
      <w:r w:rsidR="000518B4">
        <w:t>provides background information on the GMOs</w:t>
      </w:r>
      <w:r w:rsidR="00C87722">
        <w:t xml:space="preserve"> and</w:t>
      </w:r>
      <w:r w:rsidR="000518B4">
        <w:t xml:space="preserve"> </w:t>
      </w:r>
      <w:r>
        <w:t>outlines</w:t>
      </w:r>
      <w:r w:rsidR="00BE0254">
        <w:t xml:space="preserve"> the conclusions of the</w:t>
      </w:r>
      <w:r w:rsidR="00E82473">
        <w:t xml:space="preserve"> RARMP</w:t>
      </w:r>
      <w:r w:rsidR="00BE0254">
        <w:t xml:space="preserve"> for </w:t>
      </w:r>
      <w:r w:rsidR="003E4B73">
        <w:t>DIR </w:t>
      </w:r>
      <w:r w:rsidR="00BE0254">
        <w:t>134</w:t>
      </w:r>
      <w:r w:rsidR="00C87722">
        <w:t>. It</w:t>
      </w:r>
      <w:r>
        <w:t xml:space="preserve"> </w:t>
      </w:r>
      <w:r w:rsidR="00C87722">
        <w:t xml:space="preserve">also </w:t>
      </w:r>
      <w:r w:rsidRPr="00145864">
        <w:t xml:space="preserve">surveys relevant information about </w:t>
      </w:r>
      <w:r w:rsidR="00C87722">
        <w:t xml:space="preserve">the </w:t>
      </w:r>
      <w:r>
        <w:t>GMO</w:t>
      </w:r>
      <w:r w:rsidR="00C87722">
        <w:t>s</w:t>
      </w:r>
      <w:r w:rsidR="00E82473">
        <w:t xml:space="preserve"> </w:t>
      </w:r>
      <w:r w:rsidRPr="00145864">
        <w:t>that has emerged since</w:t>
      </w:r>
      <w:r w:rsidR="00E82473">
        <w:t xml:space="preserve"> 2015</w:t>
      </w:r>
      <w:r w:rsidR="004053EA">
        <w:t>, including new information provided by IFD and a wide range of other sources</w:t>
      </w:r>
      <w:r w:rsidR="00C87722">
        <w:t>,</w:t>
      </w:r>
      <w:r w:rsidR="00BE0254">
        <w:t xml:space="preserve"> and</w:t>
      </w:r>
      <w:r w:rsidR="000518B4">
        <w:t xml:space="preserve"> assesse</w:t>
      </w:r>
      <w:r w:rsidRPr="00145864">
        <w:t>s whether this information indicates any new risks or increased levels of risk from</w:t>
      </w:r>
      <w:r w:rsidR="00C87722">
        <w:t xml:space="preserve"> the</w:t>
      </w:r>
      <w:r w:rsidRPr="00145864">
        <w:t xml:space="preserve"> </w:t>
      </w:r>
      <w:r>
        <w:t>GMO</w:t>
      </w:r>
      <w:r w:rsidR="00C87722">
        <w:t>s</w:t>
      </w:r>
      <w:r w:rsidR="00BE0254">
        <w:t xml:space="preserve">. The purpose of this RARMP is to provide information </w:t>
      </w:r>
      <w:r w:rsidR="00BC561C">
        <w:t xml:space="preserve">to enable </w:t>
      </w:r>
      <w:r w:rsidR="00BE0254">
        <w:t xml:space="preserve">the Regulator to decide </w:t>
      </w:r>
      <w:r w:rsidRPr="00145864">
        <w:t>whether the</w:t>
      </w:r>
      <w:r w:rsidR="00E82473">
        <w:t xml:space="preserve"> </w:t>
      </w:r>
      <w:r>
        <w:t>level of risk is such that</w:t>
      </w:r>
      <w:r w:rsidR="00EA5298" w:rsidRPr="00EA5298">
        <w:t xml:space="preserve"> it is not necessary for persons undertaking the dealing to hold, or be covered by a GMO licence, in order to protect the health and safety of people </w:t>
      </w:r>
      <w:r w:rsidR="00EA5298">
        <w:t xml:space="preserve">and </w:t>
      </w:r>
      <w:r w:rsidR="00EA5298" w:rsidRPr="00EA5298">
        <w:t>the environment</w:t>
      </w:r>
      <w:r w:rsidR="00EA5298">
        <w:t>. If the Regulator decides that this is the case</w:t>
      </w:r>
      <w:r w:rsidR="00CF15F9">
        <w:t>,</w:t>
      </w:r>
      <w:r w:rsidR="00EA5298">
        <w:t xml:space="preserve"> then </w:t>
      </w:r>
      <w:r>
        <w:t>inclusion of dealings with the GM</w:t>
      </w:r>
      <w:r w:rsidR="004053EA">
        <w:t xml:space="preserve"> carnations </w:t>
      </w:r>
      <w:r>
        <w:t xml:space="preserve">on </w:t>
      </w:r>
      <w:r w:rsidR="00BE0254">
        <w:t xml:space="preserve">the </w:t>
      </w:r>
      <w:r>
        <w:t>GMO Register is appropriate</w:t>
      </w:r>
      <w:r w:rsidRPr="00145864">
        <w:t>.</w:t>
      </w:r>
    </w:p>
    <w:p w14:paraId="7E4F9D6B" w14:textId="6AA507A1" w:rsidR="00856B48" w:rsidRPr="00145864" w:rsidRDefault="00856B48" w:rsidP="000B0D88">
      <w:pPr>
        <w:pStyle w:val="Heading3"/>
      </w:pPr>
      <w:r w:rsidRPr="00145864">
        <w:t>The genetic modification</w:t>
      </w:r>
      <w:r w:rsidR="000518B4">
        <w:t>s</w:t>
      </w:r>
    </w:p>
    <w:p w14:paraId="0D4445BF" w14:textId="31D5A67B" w:rsidR="00404C5B" w:rsidRDefault="00EA5298" w:rsidP="00621F54">
      <w:pPr>
        <w:pStyle w:val="RARMPPara"/>
      </w:pPr>
      <w:r>
        <w:t xml:space="preserve">The </w:t>
      </w:r>
      <w:r w:rsidR="00856B48">
        <w:t>GMO</w:t>
      </w:r>
      <w:r>
        <w:t>s</w:t>
      </w:r>
      <w:r w:rsidR="00856B48" w:rsidRPr="00145864">
        <w:t xml:space="preserve"> </w:t>
      </w:r>
      <w:r w:rsidR="00856B48">
        <w:t>contain modifications</w:t>
      </w:r>
      <w:r w:rsidR="00B1284D">
        <w:t xml:space="preserve"> for blue or purple flower colour and tolerance</w:t>
      </w:r>
      <w:r w:rsidR="00B1284D" w:rsidRPr="00B1284D">
        <w:t xml:space="preserve"> </w:t>
      </w:r>
      <w:r w:rsidR="00BC561C">
        <w:t>to</w:t>
      </w:r>
      <w:r w:rsidR="00B1284D">
        <w:t xml:space="preserve"> sulfonylurea, imidazolinon</w:t>
      </w:r>
      <w:r w:rsidR="00C13F36">
        <w:t>e</w:t>
      </w:r>
      <w:r w:rsidR="00B1284D">
        <w:t xml:space="preserve"> and triazolopyrimidin</w:t>
      </w:r>
      <w:r w:rsidR="00C13F36">
        <w:t>e</w:t>
      </w:r>
      <w:r w:rsidR="00B1284D">
        <w:t xml:space="preserve"> herbicides. The herbicide tolerance phenotype is used for selection of plants in the laboratory. </w:t>
      </w:r>
      <w:r w:rsidR="00404C5B">
        <w:t xml:space="preserve">Figure 1 shows each of the GM carnations with </w:t>
      </w:r>
      <w:r w:rsidR="001336AB">
        <w:t>its</w:t>
      </w:r>
      <w:r w:rsidR="00404C5B">
        <w:t xml:space="preserve"> parental line.</w:t>
      </w:r>
    </w:p>
    <w:p w14:paraId="2AE33421" w14:textId="4BCB0D68" w:rsidR="00621F54" w:rsidRDefault="00621F54" w:rsidP="00621F54">
      <w:pPr>
        <w:jc w:val="center"/>
      </w:pPr>
      <w:r w:rsidRPr="00621F54">
        <w:rPr>
          <w:noProof/>
          <w:lang w:eastAsia="en-AU"/>
        </w:rPr>
        <w:lastRenderedPageBreak/>
        <w:drawing>
          <wp:inline distT="0" distB="0" distL="0" distR="0" wp14:anchorId="2A7EE0C7" wp14:editId="7C957C94">
            <wp:extent cx="2559600" cy="5090400"/>
            <wp:effectExtent l="0" t="0" r="0" b="0"/>
            <wp:docPr id="14" name="Picture 14" descr="Photographs of GM carnations, each pictured with its non-GM parent line." title="Figure 1: GM carnations with parental lines, showing the effect of the modification on flower colour. From top to bottom: Moonaqua™, Moonberry™, Moonvelv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9600" cy="5090400"/>
                    </a:xfrm>
                    <a:prstGeom prst="rect">
                      <a:avLst/>
                    </a:prstGeom>
                    <a:noFill/>
                    <a:ln>
                      <a:noFill/>
                    </a:ln>
                  </pic:spPr>
                </pic:pic>
              </a:graphicData>
            </a:graphic>
          </wp:inline>
        </w:drawing>
      </w:r>
    </w:p>
    <w:p w14:paraId="61A19C62" w14:textId="667547EA" w:rsidR="00621F54" w:rsidRPr="00621F54" w:rsidRDefault="00621F54" w:rsidP="00621F54">
      <w:pPr>
        <w:rPr>
          <w:b/>
        </w:rPr>
      </w:pPr>
      <w:r w:rsidRPr="00621F54">
        <w:rPr>
          <w:b/>
        </w:rPr>
        <w:t>Figure 1: GM carnations with parental lines</w:t>
      </w:r>
      <w:r w:rsidR="001336AB">
        <w:rPr>
          <w:b/>
        </w:rPr>
        <w:t>,</w:t>
      </w:r>
      <w:r w:rsidRPr="00621F54">
        <w:rPr>
          <w:b/>
        </w:rPr>
        <w:t xml:space="preserve"> showing the effect of the modification on flower colour. From top to bottom: Moonaqua™, Moonberry™, Moonvelvet™.</w:t>
      </w:r>
      <w:r>
        <w:rPr>
          <w:b/>
        </w:rPr>
        <w:t xml:space="preserve"> </w:t>
      </w:r>
      <w:r w:rsidRPr="00ED0B48">
        <w:t>(</w:t>
      </w:r>
      <w:r w:rsidR="00ED0B48">
        <w:rPr>
          <w:sz w:val="20"/>
        </w:rPr>
        <w:t>S</w:t>
      </w:r>
      <w:r w:rsidR="00ED0B48" w:rsidRPr="00B76820">
        <w:rPr>
          <w:sz w:val="20"/>
        </w:rPr>
        <w:t>upplied by the licence holder</w:t>
      </w:r>
      <w:r w:rsidR="00ED0B48">
        <w:rPr>
          <w:sz w:val="20"/>
        </w:rPr>
        <w:t>).</w:t>
      </w:r>
    </w:p>
    <w:p w14:paraId="4F571213" w14:textId="1EDBEE9A" w:rsidR="00856B48" w:rsidRDefault="00B1284D" w:rsidP="00923A59">
      <w:pPr>
        <w:pStyle w:val="RARMPPara"/>
      </w:pPr>
      <w:r>
        <w:t xml:space="preserve">Figure </w:t>
      </w:r>
      <w:r w:rsidR="00404C5B">
        <w:t xml:space="preserve">2 </w:t>
      </w:r>
      <w:r>
        <w:t xml:space="preserve">shows a schematic for </w:t>
      </w:r>
      <w:r w:rsidR="0009752A">
        <w:t xml:space="preserve">each of </w:t>
      </w:r>
      <w:r>
        <w:t xml:space="preserve">the constructs used to transform the GM carnation lines. The </w:t>
      </w:r>
      <w:r w:rsidR="002D5584">
        <w:t xml:space="preserve">vectors used for transformation are indicated and the </w:t>
      </w:r>
      <w:r>
        <w:t>genetic elements (genes, promoters, terminators and other genetic elements) in each construct are shown, as are the sources</w:t>
      </w:r>
      <w:r w:rsidR="0009752A">
        <w:t xml:space="preserve"> for the inserted genetic elements. </w:t>
      </w:r>
      <w:r w:rsidR="002D5584">
        <w:t xml:space="preserve">The vector used for transformation for Moonaqua™ was also used for Moonshadow™ and Moonvista™ GM carnations. Dealings with </w:t>
      </w:r>
      <w:r w:rsidR="007149B7">
        <w:t xml:space="preserve">Moonshadow™, Moonvista™, </w:t>
      </w:r>
      <w:r w:rsidR="003A50DB">
        <w:t>Moonlite™ and Moonshade™ carnations</w:t>
      </w:r>
      <w:r w:rsidR="002D5584">
        <w:t xml:space="preserve"> were included on the Register (Reg-001/2004).</w:t>
      </w:r>
    </w:p>
    <w:p w14:paraId="04D17CF5" w14:textId="478EB0E2" w:rsidR="0009752A" w:rsidRDefault="004053EA" w:rsidP="00B1284D">
      <w:r w:rsidRPr="004053EA">
        <w:rPr>
          <w:noProof/>
          <w:lang w:eastAsia="en-AU"/>
        </w:rPr>
        <w:lastRenderedPageBreak/>
        <w:drawing>
          <wp:inline distT="0" distB="0" distL="0" distR="0" wp14:anchorId="206A617E" wp14:editId="1FFD0356">
            <wp:extent cx="6120130" cy="2711947"/>
            <wp:effectExtent l="0" t="0" r="0" b="0"/>
            <wp:docPr id="2" name="Picture 2" descr="Scehematic showing genetic elements in constructs inserted in GM carnations.&#10;Explanation of abbreviations is given in the figure caption." title="Figure 1: Schematic of the constructs used to transform the GM carnation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2711947"/>
                    </a:xfrm>
                    <a:prstGeom prst="rect">
                      <a:avLst/>
                    </a:prstGeom>
                    <a:noFill/>
                    <a:ln>
                      <a:noFill/>
                    </a:ln>
                  </pic:spPr>
                </pic:pic>
              </a:graphicData>
            </a:graphic>
          </wp:inline>
        </w:drawing>
      </w:r>
    </w:p>
    <w:p w14:paraId="4656A40C" w14:textId="1DB10DC1" w:rsidR="0009752A" w:rsidRPr="00C32F05" w:rsidRDefault="0009752A" w:rsidP="00C32F05">
      <w:pPr>
        <w:spacing w:after="0"/>
        <w:rPr>
          <w:i/>
          <w:sz w:val="20"/>
          <w:szCs w:val="20"/>
        </w:rPr>
      </w:pPr>
      <w:r w:rsidRPr="00331C09">
        <w:rPr>
          <w:b/>
        </w:rPr>
        <w:t xml:space="preserve">Figure </w:t>
      </w:r>
      <w:r w:rsidR="00621F54">
        <w:rPr>
          <w:b/>
        </w:rPr>
        <w:t>2</w:t>
      </w:r>
      <w:r w:rsidRPr="00331C09">
        <w:rPr>
          <w:b/>
        </w:rPr>
        <w:t xml:space="preserve">: Schematic of the </w:t>
      </w:r>
      <w:r w:rsidR="002D5584" w:rsidRPr="00331C09">
        <w:rPr>
          <w:b/>
        </w:rPr>
        <w:t xml:space="preserve">constructs </w:t>
      </w:r>
      <w:r w:rsidRPr="00331C09">
        <w:rPr>
          <w:b/>
        </w:rPr>
        <w:t>used to transform the GM carnation lines.</w:t>
      </w:r>
      <w:r>
        <w:t xml:space="preserve"> </w:t>
      </w:r>
      <w:r w:rsidR="00B76820" w:rsidRPr="00B76820">
        <w:rPr>
          <w:sz w:val="20"/>
        </w:rPr>
        <w:t>Adapted from information supplied by the licence holder and from the Biosafety Clearing House</w:t>
      </w:r>
      <w:hyperlink r:id="rId16" w:history="1">
        <w:r w:rsidR="00B76820" w:rsidRPr="000D3808">
          <w:rPr>
            <w:rStyle w:val="Hyperlink"/>
            <w:color w:val="000000" w:themeColor="text1"/>
            <w:sz w:val="20"/>
          </w:rPr>
          <w:t xml:space="preserve"> LMO Register</w:t>
        </w:r>
      </w:hyperlink>
      <w:r w:rsidR="00B76820" w:rsidRPr="000D3808">
        <w:rPr>
          <w:color w:val="000000" w:themeColor="text1"/>
          <w:sz w:val="20"/>
        </w:rPr>
        <w:t xml:space="preserve"> </w:t>
      </w:r>
      <w:r w:rsidR="00B76820" w:rsidRPr="00B76820">
        <w:rPr>
          <w:sz w:val="20"/>
        </w:rPr>
        <w:t>(accessed 3 December 2019)</w:t>
      </w:r>
      <w:r w:rsidR="00B76820">
        <w:rPr>
          <w:sz w:val="20"/>
        </w:rPr>
        <w:t>.</w:t>
      </w:r>
      <w:r w:rsidR="00C32F05" w:rsidRPr="00C32F05">
        <w:rPr>
          <w:sz w:val="20"/>
          <w:szCs w:val="20"/>
        </w:rPr>
        <w:t xml:space="preserve"> </w:t>
      </w:r>
      <w:r w:rsidR="00C32F05">
        <w:rPr>
          <w:sz w:val="20"/>
          <w:szCs w:val="20"/>
        </w:rPr>
        <w:t xml:space="preserve">For further information refer to the RARMP for </w:t>
      </w:r>
      <w:hyperlink r:id="rId17" w:history="1">
        <w:r w:rsidR="00C32F05" w:rsidRPr="000D3808">
          <w:rPr>
            <w:rStyle w:val="Hyperlink"/>
            <w:color w:val="000000" w:themeColor="text1"/>
            <w:sz w:val="20"/>
            <w:szCs w:val="20"/>
          </w:rPr>
          <w:t>DIR 134</w:t>
        </w:r>
      </w:hyperlink>
      <w:r w:rsidR="00C32F05">
        <w:rPr>
          <w:sz w:val="20"/>
          <w:szCs w:val="20"/>
        </w:rPr>
        <w:t>.</w:t>
      </w:r>
      <w:r w:rsidR="002D5584">
        <w:rPr>
          <w:sz w:val="20"/>
          <w:szCs w:val="20"/>
        </w:rPr>
        <w:t xml:space="preserve"> Vectors used for transformation are indicated for each construct.</w:t>
      </w:r>
    </w:p>
    <w:p w14:paraId="3C87E79B" w14:textId="30D38767" w:rsidR="00C32F05" w:rsidRPr="00C32F05" w:rsidRDefault="00C32F05" w:rsidP="00C32F05">
      <w:pPr>
        <w:spacing w:after="0"/>
        <w:rPr>
          <w:sz w:val="18"/>
          <w:szCs w:val="20"/>
        </w:rPr>
      </w:pPr>
      <w:r w:rsidRPr="00C32F05">
        <w:rPr>
          <w:i/>
          <w:sz w:val="18"/>
          <w:szCs w:val="20"/>
        </w:rPr>
        <w:t xml:space="preserve">F3’5’H - </w:t>
      </w:r>
      <w:r w:rsidRPr="00C32F05">
        <w:rPr>
          <w:sz w:val="18"/>
          <w:szCs w:val="20"/>
        </w:rPr>
        <w:t xml:space="preserve">Flavonoid 3’5’-hydroxylase; </w:t>
      </w:r>
      <w:r w:rsidRPr="00C32F05">
        <w:rPr>
          <w:i/>
          <w:sz w:val="18"/>
          <w:szCs w:val="20"/>
        </w:rPr>
        <w:t xml:space="preserve">DFR - </w:t>
      </w:r>
      <w:r w:rsidRPr="00C32F05">
        <w:rPr>
          <w:sz w:val="18"/>
          <w:szCs w:val="20"/>
        </w:rPr>
        <w:t>Dihydroflavonol reductase</w:t>
      </w:r>
      <w:r w:rsidRPr="00C32F05">
        <w:rPr>
          <w:i/>
          <w:sz w:val="18"/>
          <w:szCs w:val="20"/>
        </w:rPr>
        <w:t xml:space="preserve">; </w:t>
      </w:r>
      <w:r w:rsidRPr="00C32F05">
        <w:rPr>
          <w:sz w:val="18"/>
          <w:szCs w:val="20"/>
        </w:rPr>
        <w:t xml:space="preserve">sDFR/iDFR/aDFR - RNAi construct consisting of partial sequences for the carnation DFR sense and antisense, separated by an intron from the petunia DFR-A gene; </w:t>
      </w:r>
      <w:r w:rsidRPr="00C32F05">
        <w:rPr>
          <w:i/>
          <w:sz w:val="18"/>
          <w:szCs w:val="20"/>
        </w:rPr>
        <w:t xml:space="preserve">Cyt b5 - </w:t>
      </w:r>
      <w:r w:rsidRPr="00C32F05">
        <w:rPr>
          <w:sz w:val="18"/>
          <w:szCs w:val="20"/>
        </w:rPr>
        <w:t xml:space="preserve">Cytochrome b5; </w:t>
      </w:r>
      <w:r w:rsidRPr="00C32F05">
        <w:rPr>
          <w:i/>
          <w:sz w:val="18"/>
          <w:szCs w:val="20"/>
        </w:rPr>
        <w:t xml:space="preserve">SuRB - </w:t>
      </w:r>
      <w:r w:rsidRPr="00C32F05">
        <w:rPr>
          <w:sz w:val="18"/>
          <w:szCs w:val="20"/>
        </w:rPr>
        <w:t xml:space="preserve">Acetolactate synthase; pCaMV 35S - Cauliflower mosaic virus (CaMV) promoter; L-Cab22 - 5' untranslated leader of chlorophyll a/b-binding protein; pDFR - Dihydroflavonol-4-reductase promoter; pCHS - Chalcone synthase gene promoter; pANS - Anthocyanidin synthase gene promoter; tSuRB - Acetolactate Synthase (ALS) gene terminator; tDFR - Dihydroflavonol-4-reductase terminator; tD8 - D8 gene terminator; tCaMV 35S - </w:t>
      </w:r>
      <w:r w:rsidRPr="00C32F05">
        <w:rPr>
          <w:color w:val="000000" w:themeColor="text1"/>
          <w:sz w:val="18"/>
          <w:szCs w:val="20"/>
        </w:rPr>
        <w:t xml:space="preserve">CaMV 35S terminator; </w:t>
      </w:r>
      <w:r w:rsidRPr="00C32F05">
        <w:rPr>
          <w:sz w:val="18"/>
          <w:szCs w:val="20"/>
        </w:rPr>
        <w:t>tANS - Anthocyanidin synthase gene terminator.</w:t>
      </w:r>
    </w:p>
    <w:p w14:paraId="5A5D34A6" w14:textId="37E29C3C" w:rsidR="00856B48" w:rsidRDefault="00856B48" w:rsidP="00621F54">
      <w:pPr>
        <w:pStyle w:val="Heading3"/>
        <w:spacing w:before="240"/>
      </w:pPr>
      <w:r w:rsidRPr="00564C76">
        <w:t xml:space="preserve">Experience with </w:t>
      </w:r>
      <w:r>
        <w:t>GM carnations</w:t>
      </w:r>
    </w:p>
    <w:p w14:paraId="7988580A" w14:textId="78E1929E" w:rsidR="002E1D2F" w:rsidRPr="000B0D88" w:rsidRDefault="002E1D2F" w:rsidP="000B0D88">
      <w:pPr>
        <w:pStyle w:val="Heading4"/>
      </w:pPr>
      <w:r w:rsidRPr="000B0D88">
        <w:t>Approvals for GM carnations</w:t>
      </w:r>
    </w:p>
    <w:p w14:paraId="4E95D5E2" w14:textId="4ABF2FCB" w:rsidR="006204C6" w:rsidRDefault="006204C6" w:rsidP="00331C09">
      <w:pPr>
        <w:pStyle w:val="RARMPPara"/>
      </w:pPr>
      <w:r>
        <w:t>GM carnations have been authorised for production and trade for a number of years, with 19 events listed on the ISAAA GMO database. These include the four varieties of carnations currently included on the OGTR GMO Register and the three for which inclusion on the Register is currently being sought.</w:t>
      </w:r>
      <w:r w:rsidR="00331C09">
        <w:t xml:space="preserve"> </w:t>
      </w:r>
      <w:r>
        <w:t>Authorisations for Moonaqua</w:t>
      </w:r>
      <w:r w:rsidRPr="00331C09">
        <w:rPr>
          <w:rFonts w:ascii="Calibri" w:hAnsi="Calibri" w:cs="Calibri"/>
        </w:rPr>
        <w:t>™</w:t>
      </w:r>
      <w:r>
        <w:t xml:space="preserve">, Moonberry™ and Moonvelvet™ </w:t>
      </w:r>
      <w:r w:rsidR="00923A59">
        <w:t xml:space="preserve">globally </w:t>
      </w:r>
      <w:r>
        <w:t xml:space="preserve">are summarised in Table </w:t>
      </w:r>
      <w:r w:rsidR="00F21C85">
        <w:t>1</w:t>
      </w:r>
      <w:r>
        <w:t xml:space="preserve"> below.</w:t>
      </w:r>
    </w:p>
    <w:p w14:paraId="4EF431B0" w14:textId="71381171" w:rsidR="006204C6" w:rsidRPr="00331C09" w:rsidRDefault="006204C6" w:rsidP="004E5B07">
      <w:pPr>
        <w:keepNext/>
        <w:rPr>
          <w:b/>
        </w:rPr>
      </w:pPr>
      <w:r w:rsidRPr="00331C09">
        <w:rPr>
          <w:b/>
        </w:rPr>
        <w:t xml:space="preserve">Table </w:t>
      </w:r>
      <w:r w:rsidR="00F21C85" w:rsidRPr="00331C09">
        <w:rPr>
          <w:b/>
        </w:rPr>
        <w:t>1</w:t>
      </w:r>
      <w:r w:rsidRPr="00331C09">
        <w:rPr>
          <w:b/>
        </w:rPr>
        <w:t>: Authorisations for GM carnations Moonaqua</w:t>
      </w:r>
      <w:r w:rsidRPr="00331C09">
        <w:rPr>
          <w:rFonts w:ascii="Calibri" w:hAnsi="Calibri" w:cs="Calibri"/>
          <w:b/>
        </w:rPr>
        <w:t>™</w:t>
      </w:r>
      <w:r w:rsidRPr="00331C09">
        <w:rPr>
          <w:b/>
        </w:rPr>
        <w:t>, Moonberry™ and Moonvelvet™.</w:t>
      </w:r>
    </w:p>
    <w:tbl>
      <w:tblPr>
        <w:tblStyle w:val="TableGrid"/>
        <w:tblW w:w="0" w:type="auto"/>
        <w:jc w:val="center"/>
        <w:tblLook w:val="04A0" w:firstRow="1" w:lastRow="0" w:firstColumn="1" w:lastColumn="0" w:noHBand="0" w:noVBand="1"/>
        <w:tblCaption w:val="Table 1: Authorisations for GM carnations Moonaqua™, Moonberry™ and Moonvelvet™."/>
        <w:tblDescription w:val="Contains a list of authorisations granted for dealings with GM carnations. Includes information of the country authorising dealings, the year in which authorisation was given and the type of dealings authorised."/>
      </w:tblPr>
      <w:tblGrid>
        <w:gridCol w:w="1701"/>
        <w:gridCol w:w="851"/>
        <w:gridCol w:w="6946"/>
      </w:tblGrid>
      <w:tr w:rsidR="006204C6" w14:paraId="6CD82520" w14:textId="77777777" w:rsidTr="00F21C85">
        <w:trPr>
          <w:tblHeader/>
          <w:jc w:val="center"/>
        </w:trPr>
        <w:tc>
          <w:tcPr>
            <w:tcW w:w="1701" w:type="dxa"/>
            <w:tcBorders>
              <w:left w:val="nil"/>
              <w:bottom w:val="single" w:sz="4" w:space="0" w:color="auto"/>
              <w:right w:val="nil"/>
            </w:tcBorders>
          </w:tcPr>
          <w:p w14:paraId="0B8BD6AF" w14:textId="6696BB77" w:rsidR="006204C6" w:rsidRPr="00FF1893" w:rsidRDefault="006204C6" w:rsidP="003E3A9D">
            <w:pPr>
              <w:spacing w:after="0"/>
              <w:rPr>
                <w:rFonts w:ascii="Calibri" w:hAnsi="Calibri"/>
                <w:sz w:val="20"/>
                <w:szCs w:val="20"/>
              </w:rPr>
            </w:pPr>
            <w:r w:rsidRPr="00FF1893">
              <w:rPr>
                <w:rFonts w:ascii="Calibri" w:hAnsi="Calibri"/>
                <w:sz w:val="20"/>
                <w:szCs w:val="20"/>
              </w:rPr>
              <w:t>Country/Region</w:t>
            </w:r>
          </w:p>
        </w:tc>
        <w:tc>
          <w:tcPr>
            <w:tcW w:w="851" w:type="dxa"/>
            <w:tcBorders>
              <w:left w:val="nil"/>
              <w:bottom w:val="single" w:sz="4" w:space="0" w:color="auto"/>
              <w:right w:val="nil"/>
            </w:tcBorders>
          </w:tcPr>
          <w:p w14:paraId="0EB7A848" w14:textId="0640B8B2" w:rsidR="006204C6" w:rsidRPr="00FF1893" w:rsidRDefault="006204C6" w:rsidP="003E3A9D">
            <w:pPr>
              <w:spacing w:after="0"/>
              <w:rPr>
                <w:rFonts w:ascii="Calibri" w:hAnsi="Calibri"/>
                <w:sz w:val="20"/>
                <w:szCs w:val="20"/>
              </w:rPr>
            </w:pPr>
            <w:r w:rsidRPr="00FF1893">
              <w:rPr>
                <w:rFonts w:ascii="Calibri" w:hAnsi="Calibri"/>
                <w:sz w:val="20"/>
                <w:szCs w:val="20"/>
              </w:rPr>
              <w:t>Year</w:t>
            </w:r>
          </w:p>
        </w:tc>
        <w:tc>
          <w:tcPr>
            <w:tcW w:w="6946" w:type="dxa"/>
            <w:tcBorders>
              <w:left w:val="nil"/>
              <w:bottom w:val="single" w:sz="4" w:space="0" w:color="auto"/>
              <w:right w:val="nil"/>
            </w:tcBorders>
          </w:tcPr>
          <w:p w14:paraId="36BF882E" w14:textId="476D80CD" w:rsidR="006204C6" w:rsidRPr="00FF1893" w:rsidRDefault="006204C6" w:rsidP="003E3A9D">
            <w:pPr>
              <w:spacing w:after="0"/>
              <w:rPr>
                <w:rFonts w:ascii="Calibri" w:hAnsi="Calibri"/>
                <w:sz w:val="20"/>
                <w:szCs w:val="20"/>
              </w:rPr>
            </w:pPr>
            <w:r w:rsidRPr="00FF1893">
              <w:rPr>
                <w:rFonts w:ascii="Calibri" w:hAnsi="Calibri"/>
                <w:sz w:val="20"/>
                <w:szCs w:val="20"/>
              </w:rPr>
              <w:t>Type of Authorisation</w:t>
            </w:r>
          </w:p>
        </w:tc>
      </w:tr>
      <w:tr w:rsidR="002E5F34" w14:paraId="34C4F0B1" w14:textId="77777777" w:rsidTr="00FF1893">
        <w:trPr>
          <w:jc w:val="center"/>
        </w:trPr>
        <w:tc>
          <w:tcPr>
            <w:tcW w:w="9498" w:type="dxa"/>
            <w:gridSpan w:val="3"/>
            <w:tcBorders>
              <w:left w:val="nil"/>
              <w:bottom w:val="single" w:sz="4" w:space="0" w:color="auto"/>
              <w:right w:val="nil"/>
            </w:tcBorders>
          </w:tcPr>
          <w:p w14:paraId="7814105E" w14:textId="70081AC1" w:rsidR="002E5F34" w:rsidRPr="00FF1893" w:rsidRDefault="002E5F34" w:rsidP="002E5F34">
            <w:pPr>
              <w:spacing w:after="0"/>
              <w:jc w:val="center"/>
              <w:rPr>
                <w:rFonts w:ascii="Calibri" w:hAnsi="Calibri"/>
                <w:sz w:val="20"/>
                <w:szCs w:val="20"/>
              </w:rPr>
            </w:pPr>
            <w:r w:rsidRPr="00FF1893">
              <w:rPr>
                <w:rFonts w:ascii="Calibri" w:hAnsi="Calibri"/>
                <w:sz w:val="20"/>
                <w:szCs w:val="20"/>
              </w:rPr>
              <w:t>Moonaqua™</w:t>
            </w:r>
          </w:p>
        </w:tc>
      </w:tr>
      <w:tr w:rsidR="006204C6" w14:paraId="6C03144D" w14:textId="77777777" w:rsidTr="00FF1893">
        <w:trPr>
          <w:jc w:val="center"/>
        </w:trPr>
        <w:tc>
          <w:tcPr>
            <w:tcW w:w="1701" w:type="dxa"/>
            <w:tcBorders>
              <w:left w:val="nil"/>
              <w:bottom w:val="nil"/>
              <w:right w:val="nil"/>
            </w:tcBorders>
          </w:tcPr>
          <w:p w14:paraId="02528A99" w14:textId="608A903B" w:rsidR="006204C6" w:rsidRPr="00FF1893" w:rsidRDefault="006204C6" w:rsidP="003E3A9D">
            <w:pPr>
              <w:spacing w:after="0"/>
              <w:rPr>
                <w:rFonts w:ascii="Calibri" w:hAnsi="Calibri"/>
                <w:sz w:val="20"/>
                <w:szCs w:val="20"/>
              </w:rPr>
            </w:pPr>
            <w:r w:rsidRPr="00FF1893">
              <w:rPr>
                <w:rFonts w:ascii="Calibri" w:hAnsi="Calibri"/>
                <w:sz w:val="20"/>
                <w:szCs w:val="20"/>
              </w:rPr>
              <w:t>Australia</w:t>
            </w:r>
          </w:p>
        </w:tc>
        <w:tc>
          <w:tcPr>
            <w:tcW w:w="851" w:type="dxa"/>
            <w:tcBorders>
              <w:left w:val="nil"/>
              <w:bottom w:val="nil"/>
              <w:right w:val="nil"/>
            </w:tcBorders>
          </w:tcPr>
          <w:p w14:paraId="339BD052" w14:textId="685C2DB8" w:rsidR="006204C6" w:rsidRPr="00FF1893" w:rsidRDefault="006204C6" w:rsidP="003E3A9D">
            <w:pPr>
              <w:spacing w:after="0"/>
              <w:rPr>
                <w:rFonts w:ascii="Calibri" w:hAnsi="Calibri"/>
                <w:sz w:val="20"/>
                <w:szCs w:val="20"/>
              </w:rPr>
            </w:pPr>
            <w:r w:rsidRPr="00FF1893">
              <w:rPr>
                <w:rFonts w:ascii="Calibri" w:hAnsi="Calibri"/>
                <w:sz w:val="20"/>
                <w:szCs w:val="20"/>
              </w:rPr>
              <w:t>2015</w:t>
            </w:r>
          </w:p>
        </w:tc>
        <w:tc>
          <w:tcPr>
            <w:tcW w:w="6946" w:type="dxa"/>
            <w:tcBorders>
              <w:left w:val="nil"/>
              <w:bottom w:val="nil"/>
              <w:right w:val="nil"/>
            </w:tcBorders>
          </w:tcPr>
          <w:p w14:paraId="7B93B13B" w14:textId="0F7BF0D2" w:rsidR="006204C6" w:rsidRPr="00FF1893" w:rsidRDefault="006204C6" w:rsidP="003E3A9D">
            <w:pPr>
              <w:spacing w:after="0"/>
              <w:rPr>
                <w:rFonts w:ascii="Calibri" w:hAnsi="Calibri"/>
                <w:sz w:val="20"/>
                <w:szCs w:val="20"/>
              </w:rPr>
            </w:pPr>
            <w:r w:rsidRPr="00FF1893">
              <w:rPr>
                <w:rFonts w:ascii="Calibri" w:hAnsi="Calibri"/>
                <w:sz w:val="20"/>
                <w:szCs w:val="20"/>
              </w:rPr>
              <w:t>Import</w:t>
            </w:r>
            <w:r w:rsidR="00F83BF1" w:rsidRPr="00FF1893">
              <w:rPr>
                <w:rFonts w:ascii="Calibri" w:hAnsi="Calibri"/>
                <w:sz w:val="20"/>
                <w:szCs w:val="20"/>
              </w:rPr>
              <w:t>, distribution (cut flowers)</w:t>
            </w:r>
            <w:r w:rsidR="008968D5" w:rsidRPr="00FF1893">
              <w:rPr>
                <w:rFonts w:ascii="Calibri" w:hAnsi="Calibri"/>
                <w:sz w:val="20"/>
                <w:szCs w:val="20"/>
                <w:vertAlign w:val="superscript"/>
              </w:rPr>
              <w:t>1</w:t>
            </w:r>
          </w:p>
        </w:tc>
      </w:tr>
      <w:tr w:rsidR="002E5F34" w14:paraId="024149CA" w14:textId="77777777" w:rsidTr="00FF1893">
        <w:trPr>
          <w:jc w:val="center"/>
        </w:trPr>
        <w:tc>
          <w:tcPr>
            <w:tcW w:w="1701" w:type="dxa"/>
            <w:tcBorders>
              <w:top w:val="nil"/>
              <w:left w:val="nil"/>
              <w:bottom w:val="nil"/>
              <w:right w:val="nil"/>
            </w:tcBorders>
          </w:tcPr>
          <w:p w14:paraId="4FFD9BE5" w14:textId="77777777" w:rsidR="002E5F34" w:rsidRPr="00FF1893" w:rsidRDefault="002E5F34" w:rsidP="00396D13">
            <w:pPr>
              <w:spacing w:after="0"/>
              <w:rPr>
                <w:rFonts w:ascii="Calibri" w:hAnsi="Calibri"/>
                <w:sz w:val="20"/>
                <w:szCs w:val="20"/>
              </w:rPr>
            </w:pPr>
            <w:r w:rsidRPr="00FF1893">
              <w:rPr>
                <w:rFonts w:ascii="Calibri" w:hAnsi="Calibri"/>
                <w:sz w:val="20"/>
                <w:szCs w:val="20"/>
              </w:rPr>
              <w:t>Canada</w:t>
            </w:r>
          </w:p>
        </w:tc>
        <w:tc>
          <w:tcPr>
            <w:tcW w:w="851" w:type="dxa"/>
            <w:tcBorders>
              <w:top w:val="nil"/>
              <w:left w:val="nil"/>
              <w:bottom w:val="nil"/>
              <w:right w:val="nil"/>
            </w:tcBorders>
          </w:tcPr>
          <w:p w14:paraId="4F5281D3" w14:textId="77777777" w:rsidR="002E5F34" w:rsidRPr="00FF1893" w:rsidRDefault="002E5F34" w:rsidP="00396D13">
            <w:pPr>
              <w:spacing w:after="0"/>
              <w:rPr>
                <w:rFonts w:ascii="Calibri" w:hAnsi="Calibri"/>
                <w:sz w:val="20"/>
                <w:szCs w:val="20"/>
              </w:rPr>
            </w:pPr>
            <w:r w:rsidRPr="00FF1893">
              <w:rPr>
                <w:rFonts w:ascii="Calibri" w:hAnsi="Calibri"/>
                <w:sz w:val="20"/>
                <w:szCs w:val="20"/>
              </w:rPr>
              <w:t>1999</w:t>
            </w:r>
          </w:p>
        </w:tc>
        <w:tc>
          <w:tcPr>
            <w:tcW w:w="6946" w:type="dxa"/>
            <w:tcBorders>
              <w:top w:val="nil"/>
              <w:left w:val="nil"/>
              <w:bottom w:val="nil"/>
              <w:right w:val="nil"/>
            </w:tcBorders>
          </w:tcPr>
          <w:p w14:paraId="2B4B4921" w14:textId="77777777" w:rsidR="002E5F34" w:rsidRPr="00FF1893" w:rsidRDefault="002E5F34" w:rsidP="00396D13">
            <w:pPr>
              <w:spacing w:after="0"/>
              <w:rPr>
                <w:rFonts w:ascii="Calibri" w:hAnsi="Calibri"/>
                <w:sz w:val="20"/>
                <w:szCs w:val="20"/>
              </w:rPr>
            </w:pPr>
            <w:r w:rsidRPr="00FF1893">
              <w:rPr>
                <w:rFonts w:ascii="Calibri" w:hAnsi="Calibri"/>
                <w:sz w:val="20"/>
                <w:szCs w:val="20"/>
              </w:rPr>
              <w:t>Cut flowers</w:t>
            </w:r>
            <w:r w:rsidRPr="00FF1893">
              <w:rPr>
                <w:rFonts w:ascii="Calibri" w:hAnsi="Calibri"/>
                <w:sz w:val="20"/>
                <w:szCs w:val="20"/>
                <w:vertAlign w:val="superscript"/>
              </w:rPr>
              <w:t>4, 5</w:t>
            </w:r>
          </w:p>
        </w:tc>
      </w:tr>
      <w:tr w:rsidR="002E5F34" w14:paraId="380FFB63" w14:textId="77777777" w:rsidTr="00FF1893">
        <w:trPr>
          <w:jc w:val="center"/>
        </w:trPr>
        <w:tc>
          <w:tcPr>
            <w:tcW w:w="1701" w:type="dxa"/>
            <w:tcBorders>
              <w:top w:val="nil"/>
              <w:left w:val="nil"/>
              <w:bottom w:val="nil"/>
              <w:right w:val="nil"/>
            </w:tcBorders>
          </w:tcPr>
          <w:p w14:paraId="1DB872D9" w14:textId="77777777" w:rsidR="002E5F34" w:rsidRPr="00FF1893" w:rsidRDefault="002E5F34" w:rsidP="00396D13">
            <w:pPr>
              <w:spacing w:after="0"/>
              <w:rPr>
                <w:rFonts w:ascii="Calibri" w:hAnsi="Calibri"/>
                <w:sz w:val="20"/>
                <w:szCs w:val="20"/>
              </w:rPr>
            </w:pPr>
            <w:r w:rsidRPr="00FF1893">
              <w:rPr>
                <w:rFonts w:ascii="Calibri" w:hAnsi="Calibri"/>
                <w:sz w:val="20"/>
                <w:szCs w:val="20"/>
              </w:rPr>
              <w:t>Colombia</w:t>
            </w:r>
          </w:p>
        </w:tc>
        <w:tc>
          <w:tcPr>
            <w:tcW w:w="851" w:type="dxa"/>
            <w:tcBorders>
              <w:top w:val="nil"/>
              <w:left w:val="nil"/>
              <w:bottom w:val="nil"/>
              <w:right w:val="nil"/>
            </w:tcBorders>
          </w:tcPr>
          <w:p w14:paraId="481AA59B" w14:textId="77777777" w:rsidR="002E5F34" w:rsidRPr="00FF1893" w:rsidRDefault="002E5F34" w:rsidP="00396D13">
            <w:pPr>
              <w:spacing w:after="0"/>
              <w:rPr>
                <w:rFonts w:ascii="Calibri" w:hAnsi="Calibri"/>
                <w:sz w:val="20"/>
                <w:szCs w:val="20"/>
              </w:rPr>
            </w:pPr>
            <w:r w:rsidRPr="00FF1893">
              <w:rPr>
                <w:rFonts w:ascii="Calibri" w:hAnsi="Calibri"/>
                <w:sz w:val="20"/>
                <w:szCs w:val="20"/>
              </w:rPr>
              <w:t>2000</w:t>
            </w:r>
          </w:p>
        </w:tc>
        <w:tc>
          <w:tcPr>
            <w:tcW w:w="6946" w:type="dxa"/>
            <w:tcBorders>
              <w:top w:val="nil"/>
              <w:left w:val="nil"/>
              <w:bottom w:val="nil"/>
              <w:right w:val="nil"/>
            </w:tcBorders>
          </w:tcPr>
          <w:p w14:paraId="415013AF" w14:textId="77777777" w:rsidR="002E5F34" w:rsidRPr="00FF1893" w:rsidRDefault="002E5F34" w:rsidP="00396D13">
            <w:pPr>
              <w:spacing w:after="0"/>
              <w:rPr>
                <w:rFonts w:ascii="Calibri" w:hAnsi="Calibri"/>
                <w:sz w:val="20"/>
                <w:szCs w:val="20"/>
              </w:rPr>
            </w:pPr>
            <w:r w:rsidRPr="00FF1893">
              <w:rPr>
                <w:rFonts w:ascii="Calibri" w:hAnsi="Calibri"/>
                <w:sz w:val="20"/>
                <w:szCs w:val="20"/>
              </w:rPr>
              <w:t>Greenhouse production for export</w:t>
            </w:r>
            <w:r w:rsidRPr="00FF1893">
              <w:rPr>
                <w:rFonts w:ascii="Calibri" w:hAnsi="Calibri"/>
                <w:sz w:val="20"/>
                <w:szCs w:val="20"/>
                <w:vertAlign w:val="superscript"/>
              </w:rPr>
              <w:t>1</w:t>
            </w:r>
          </w:p>
        </w:tc>
      </w:tr>
      <w:tr w:rsidR="002E5F34" w14:paraId="22ED0D82" w14:textId="77777777" w:rsidTr="00FF1893">
        <w:trPr>
          <w:jc w:val="center"/>
        </w:trPr>
        <w:tc>
          <w:tcPr>
            <w:tcW w:w="1701" w:type="dxa"/>
            <w:tcBorders>
              <w:top w:val="nil"/>
              <w:left w:val="nil"/>
              <w:bottom w:val="nil"/>
              <w:right w:val="nil"/>
            </w:tcBorders>
          </w:tcPr>
          <w:p w14:paraId="32DD5086" w14:textId="77777777" w:rsidR="002E5F34" w:rsidRPr="00FF1893" w:rsidRDefault="002E5F34" w:rsidP="00396D13">
            <w:pPr>
              <w:spacing w:after="0"/>
              <w:rPr>
                <w:rFonts w:ascii="Calibri" w:hAnsi="Calibri"/>
                <w:sz w:val="20"/>
                <w:szCs w:val="20"/>
              </w:rPr>
            </w:pPr>
            <w:r w:rsidRPr="00FF1893">
              <w:rPr>
                <w:rFonts w:ascii="Calibri" w:hAnsi="Calibri"/>
                <w:sz w:val="20"/>
                <w:szCs w:val="20"/>
              </w:rPr>
              <w:t>Ecuador</w:t>
            </w:r>
          </w:p>
        </w:tc>
        <w:tc>
          <w:tcPr>
            <w:tcW w:w="851" w:type="dxa"/>
            <w:tcBorders>
              <w:top w:val="nil"/>
              <w:left w:val="nil"/>
              <w:bottom w:val="nil"/>
              <w:right w:val="nil"/>
            </w:tcBorders>
          </w:tcPr>
          <w:p w14:paraId="6F66F2D4" w14:textId="77777777" w:rsidR="002E5F34" w:rsidRPr="00FF1893" w:rsidRDefault="002E5F34" w:rsidP="00396D13">
            <w:pPr>
              <w:spacing w:after="0"/>
              <w:rPr>
                <w:rFonts w:ascii="Calibri" w:hAnsi="Calibri"/>
                <w:sz w:val="20"/>
                <w:szCs w:val="20"/>
              </w:rPr>
            </w:pPr>
            <w:r w:rsidRPr="00FF1893">
              <w:rPr>
                <w:rFonts w:ascii="Calibri" w:hAnsi="Calibri"/>
                <w:sz w:val="20"/>
                <w:szCs w:val="20"/>
              </w:rPr>
              <w:t>1997</w:t>
            </w:r>
          </w:p>
        </w:tc>
        <w:tc>
          <w:tcPr>
            <w:tcW w:w="6946" w:type="dxa"/>
            <w:tcBorders>
              <w:top w:val="nil"/>
              <w:left w:val="nil"/>
              <w:bottom w:val="nil"/>
              <w:right w:val="nil"/>
            </w:tcBorders>
          </w:tcPr>
          <w:p w14:paraId="5B7E9A29" w14:textId="77777777" w:rsidR="002E5F34" w:rsidRPr="00FF1893" w:rsidRDefault="002E5F34" w:rsidP="00396D13">
            <w:pPr>
              <w:spacing w:after="0"/>
              <w:rPr>
                <w:rFonts w:ascii="Calibri" w:hAnsi="Calibri"/>
                <w:sz w:val="20"/>
                <w:szCs w:val="20"/>
              </w:rPr>
            </w:pPr>
            <w:r w:rsidRPr="00FF1893">
              <w:rPr>
                <w:rFonts w:ascii="Calibri" w:hAnsi="Calibri"/>
                <w:sz w:val="20"/>
                <w:szCs w:val="20"/>
              </w:rPr>
              <w:t>Unspecified</w:t>
            </w:r>
            <w:r w:rsidRPr="00FF1893">
              <w:rPr>
                <w:rFonts w:ascii="Calibri" w:hAnsi="Calibri"/>
                <w:sz w:val="20"/>
                <w:szCs w:val="20"/>
                <w:vertAlign w:val="superscript"/>
              </w:rPr>
              <w:t>5</w:t>
            </w:r>
          </w:p>
        </w:tc>
      </w:tr>
      <w:tr w:rsidR="002E5F34" w14:paraId="4CF25C89" w14:textId="77777777" w:rsidTr="00FF1893">
        <w:trPr>
          <w:jc w:val="center"/>
        </w:trPr>
        <w:tc>
          <w:tcPr>
            <w:tcW w:w="1701" w:type="dxa"/>
            <w:tcBorders>
              <w:top w:val="nil"/>
              <w:left w:val="nil"/>
              <w:bottom w:val="nil"/>
              <w:right w:val="nil"/>
            </w:tcBorders>
          </w:tcPr>
          <w:p w14:paraId="4B4A06EC" w14:textId="77777777" w:rsidR="002E5F34" w:rsidRPr="00FF1893" w:rsidRDefault="002E5F34" w:rsidP="00396D13">
            <w:pPr>
              <w:spacing w:after="0"/>
              <w:rPr>
                <w:rFonts w:ascii="Calibri" w:hAnsi="Calibri"/>
                <w:sz w:val="20"/>
                <w:szCs w:val="20"/>
              </w:rPr>
            </w:pPr>
            <w:r w:rsidRPr="00FF1893">
              <w:rPr>
                <w:rFonts w:ascii="Calibri" w:hAnsi="Calibri"/>
                <w:sz w:val="20"/>
                <w:szCs w:val="20"/>
              </w:rPr>
              <w:t>EU</w:t>
            </w:r>
            <w:r w:rsidRPr="00FF1893">
              <w:rPr>
                <w:rFonts w:ascii="Calibri" w:hAnsi="Calibri"/>
                <w:sz w:val="20"/>
                <w:szCs w:val="20"/>
                <w:vertAlign w:val="superscript"/>
              </w:rPr>
              <w:t>2</w:t>
            </w:r>
          </w:p>
        </w:tc>
        <w:tc>
          <w:tcPr>
            <w:tcW w:w="851" w:type="dxa"/>
            <w:tcBorders>
              <w:top w:val="nil"/>
              <w:left w:val="nil"/>
              <w:bottom w:val="nil"/>
              <w:right w:val="nil"/>
            </w:tcBorders>
          </w:tcPr>
          <w:p w14:paraId="71F85E9A" w14:textId="77777777" w:rsidR="002E5F34" w:rsidRPr="00FF1893" w:rsidRDefault="002E5F34" w:rsidP="00396D13">
            <w:pPr>
              <w:spacing w:after="0"/>
              <w:rPr>
                <w:rFonts w:ascii="Calibri" w:hAnsi="Calibri"/>
                <w:sz w:val="20"/>
                <w:szCs w:val="20"/>
              </w:rPr>
            </w:pPr>
            <w:r w:rsidRPr="00FF1893">
              <w:rPr>
                <w:rFonts w:ascii="Calibri" w:hAnsi="Calibri"/>
                <w:sz w:val="20"/>
                <w:szCs w:val="20"/>
              </w:rPr>
              <w:t>2009</w:t>
            </w:r>
            <w:r w:rsidRPr="00FF1893">
              <w:rPr>
                <w:rFonts w:ascii="Calibri" w:hAnsi="Calibri"/>
                <w:sz w:val="20"/>
                <w:szCs w:val="20"/>
                <w:vertAlign w:val="superscript"/>
              </w:rPr>
              <w:t>3</w:t>
            </w:r>
          </w:p>
        </w:tc>
        <w:tc>
          <w:tcPr>
            <w:tcW w:w="6946" w:type="dxa"/>
            <w:tcBorders>
              <w:top w:val="nil"/>
              <w:left w:val="nil"/>
              <w:bottom w:val="nil"/>
              <w:right w:val="nil"/>
            </w:tcBorders>
          </w:tcPr>
          <w:p w14:paraId="6052361A" w14:textId="77777777" w:rsidR="002E5F34" w:rsidRPr="00FF1893" w:rsidRDefault="002E5F34" w:rsidP="00396D13">
            <w:pPr>
              <w:spacing w:after="0"/>
              <w:rPr>
                <w:rFonts w:ascii="Calibri" w:hAnsi="Calibri"/>
                <w:sz w:val="20"/>
                <w:szCs w:val="20"/>
              </w:rPr>
            </w:pPr>
            <w:r w:rsidRPr="00FF1893">
              <w:rPr>
                <w:rFonts w:ascii="Calibri" w:hAnsi="Calibri"/>
                <w:sz w:val="20"/>
                <w:szCs w:val="20"/>
              </w:rPr>
              <w:t>Placing on the market</w:t>
            </w:r>
            <w:r w:rsidRPr="00FF1893">
              <w:rPr>
                <w:rFonts w:ascii="Calibri" w:hAnsi="Calibri"/>
                <w:sz w:val="20"/>
                <w:szCs w:val="20"/>
                <w:vertAlign w:val="superscript"/>
              </w:rPr>
              <w:t>1</w:t>
            </w:r>
          </w:p>
        </w:tc>
      </w:tr>
      <w:tr w:rsidR="006204C6" w14:paraId="0D1E206E" w14:textId="77777777" w:rsidTr="00FF1893">
        <w:trPr>
          <w:jc w:val="center"/>
        </w:trPr>
        <w:tc>
          <w:tcPr>
            <w:tcW w:w="1701" w:type="dxa"/>
            <w:tcBorders>
              <w:top w:val="nil"/>
              <w:left w:val="nil"/>
              <w:bottom w:val="nil"/>
              <w:right w:val="nil"/>
            </w:tcBorders>
          </w:tcPr>
          <w:p w14:paraId="4D2EAF27" w14:textId="401CCCA6" w:rsidR="006204C6" w:rsidRPr="00FF1893" w:rsidRDefault="008968D5" w:rsidP="003E3A9D">
            <w:pPr>
              <w:spacing w:after="0"/>
              <w:rPr>
                <w:rFonts w:ascii="Calibri" w:hAnsi="Calibri"/>
                <w:sz w:val="20"/>
                <w:szCs w:val="20"/>
              </w:rPr>
            </w:pPr>
            <w:r w:rsidRPr="00FF1893">
              <w:rPr>
                <w:rFonts w:ascii="Calibri" w:hAnsi="Calibri"/>
                <w:sz w:val="20"/>
                <w:szCs w:val="20"/>
              </w:rPr>
              <w:t>Japan</w:t>
            </w:r>
          </w:p>
        </w:tc>
        <w:tc>
          <w:tcPr>
            <w:tcW w:w="851" w:type="dxa"/>
            <w:tcBorders>
              <w:top w:val="nil"/>
              <w:left w:val="nil"/>
              <w:bottom w:val="nil"/>
              <w:right w:val="nil"/>
            </w:tcBorders>
          </w:tcPr>
          <w:p w14:paraId="13025BA3" w14:textId="46A40076" w:rsidR="006204C6" w:rsidRPr="00FF1893" w:rsidRDefault="008968D5" w:rsidP="003E3A9D">
            <w:pPr>
              <w:spacing w:after="0"/>
              <w:rPr>
                <w:rFonts w:ascii="Calibri" w:hAnsi="Calibri"/>
                <w:sz w:val="20"/>
                <w:szCs w:val="20"/>
              </w:rPr>
            </w:pPr>
            <w:r w:rsidRPr="00FF1893">
              <w:rPr>
                <w:rFonts w:ascii="Calibri" w:hAnsi="Calibri"/>
                <w:sz w:val="20"/>
                <w:szCs w:val="20"/>
              </w:rPr>
              <w:t>2009</w:t>
            </w:r>
          </w:p>
        </w:tc>
        <w:tc>
          <w:tcPr>
            <w:tcW w:w="6946" w:type="dxa"/>
            <w:tcBorders>
              <w:top w:val="nil"/>
              <w:left w:val="nil"/>
              <w:bottom w:val="nil"/>
              <w:right w:val="nil"/>
            </w:tcBorders>
          </w:tcPr>
          <w:p w14:paraId="5C824857" w14:textId="4D7D666B" w:rsidR="006204C6" w:rsidRPr="00FF1893" w:rsidRDefault="008968D5" w:rsidP="003E3A9D">
            <w:pPr>
              <w:spacing w:after="0"/>
              <w:rPr>
                <w:rFonts w:ascii="Calibri" w:hAnsi="Calibri"/>
                <w:sz w:val="20"/>
                <w:szCs w:val="20"/>
              </w:rPr>
            </w:pPr>
            <w:r w:rsidRPr="00FF1893">
              <w:rPr>
                <w:rFonts w:ascii="Calibri" w:hAnsi="Calibri"/>
                <w:sz w:val="20"/>
                <w:szCs w:val="20"/>
              </w:rPr>
              <w:t>Cultivation</w:t>
            </w:r>
            <w:r w:rsidR="00C22D76" w:rsidRPr="00FF1893">
              <w:rPr>
                <w:rFonts w:ascii="Calibri" w:hAnsi="Calibri"/>
                <w:sz w:val="20"/>
                <w:szCs w:val="20"/>
              </w:rPr>
              <w:t>;</w:t>
            </w:r>
            <w:r w:rsidRPr="00FF1893">
              <w:rPr>
                <w:rFonts w:ascii="Calibri" w:hAnsi="Calibri"/>
                <w:sz w:val="20"/>
                <w:szCs w:val="20"/>
              </w:rPr>
              <w:t xml:space="preserve"> Import, use without conditions</w:t>
            </w:r>
            <w:r w:rsidR="000C5FB6" w:rsidRPr="00FF1893">
              <w:rPr>
                <w:rFonts w:ascii="Calibri" w:hAnsi="Calibri"/>
                <w:sz w:val="20"/>
                <w:szCs w:val="20"/>
                <w:vertAlign w:val="superscript"/>
              </w:rPr>
              <w:t>1</w:t>
            </w:r>
          </w:p>
        </w:tc>
      </w:tr>
      <w:tr w:rsidR="006204C6" w14:paraId="03A21417" w14:textId="77777777" w:rsidTr="00FF1893">
        <w:trPr>
          <w:jc w:val="center"/>
        </w:trPr>
        <w:tc>
          <w:tcPr>
            <w:tcW w:w="1701" w:type="dxa"/>
            <w:tcBorders>
              <w:top w:val="nil"/>
              <w:left w:val="nil"/>
              <w:bottom w:val="nil"/>
              <w:right w:val="nil"/>
            </w:tcBorders>
          </w:tcPr>
          <w:p w14:paraId="57CEC1E0" w14:textId="76293234" w:rsidR="006204C6" w:rsidRPr="00FF1893" w:rsidRDefault="008968D5" w:rsidP="003E3A9D">
            <w:pPr>
              <w:spacing w:after="0"/>
              <w:rPr>
                <w:rFonts w:ascii="Calibri" w:hAnsi="Calibri"/>
                <w:sz w:val="20"/>
                <w:szCs w:val="20"/>
              </w:rPr>
            </w:pPr>
            <w:r w:rsidRPr="00FF1893">
              <w:rPr>
                <w:rFonts w:ascii="Calibri" w:hAnsi="Calibri"/>
                <w:sz w:val="20"/>
                <w:szCs w:val="20"/>
              </w:rPr>
              <w:t>Malaysia</w:t>
            </w:r>
          </w:p>
        </w:tc>
        <w:tc>
          <w:tcPr>
            <w:tcW w:w="851" w:type="dxa"/>
            <w:tcBorders>
              <w:top w:val="nil"/>
              <w:left w:val="nil"/>
              <w:bottom w:val="nil"/>
              <w:right w:val="nil"/>
            </w:tcBorders>
          </w:tcPr>
          <w:p w14:paraId="31F084C5" w14:textId="564CDF83" w:rsidR="006204C6" w:rsidRPr="00FF1893" w:rsidRDefault="008968D5" w:rsidP="003E3A9D">
            <w:pPr>
              <w:spacing w:after="0"/>
              <w:rPr>
                <w:rFonts w:ascii="Calibri" w:hAnsi="Calibri"/>
                <w:sz w:val="20"/>
                <w:szCs w:val="20"/>
              </w:rPr>
            </w:pPr>
            <w:r w:rsidRPr="00FF1893">
              <w:rPr>
                <w:rFonts w:ascii="Calibri" w:hAnsi="Calibri"/>
                <w:sz w:val="20"/>
                <w:szCs w:val="20"/>
              </w:rPr>
              <w:t>2012</w:t>
            </w:r>
          </w:p>
        </w:tc>
        <w:tc>
          <w:tcPr>
            <w:tcW w:w="6946" w:type="dxa"/>
            <w:tcBorders>
              <w:top w:val="nil"/>
              <w:left w:val="nil"/>
              <w:bottom w:val="nil"/>
              <w:right w:val="nil"/>
            </w:tcBorders>
          </w:tcPr>
          <w:p w14:paraId="73223D99" w14:textId="45C74E28" w:rsidR="006204C6" w:rsidRPr="00FF1893" w:rsidRDefault="008968D5" w:rsidP="003E3A9D">
            <w:pPr>
              <w:spacing w:after="0"/>
              <w:rPr>
                <w:rFonts w:ascii="Calibri" w:hAnsi="Calibri"/>
                <w:sz w:val="20"/>
                <w:szCs w:val="20"/>
              </w:rPr>
            </w:pPr>
            <w:r w:rsidRPr="00FF1893">
              <w:rPr>
                <w:rFonts w:ascii="Calibri" w:hAnsi="Calibri"/>
                <w:sz w:val="20"/>
                <w:szCs w:val="20"/>
              </w:rPr>
              <w:t>Ornamental purposes, not for planting</w:t>
            </w:r>
            <w:r w:rsidRPr="00FF1893">
              <w:rPr>
                <w:rFonts w:ascii="Calibri" w:hAnsi="Calibri"/>
                <w:sz w:val="20"/>
                <w:szCs w:val="20"/>
                <w:vertAlign w:val="superscript"/>
              </w:rPr>
              <w:t>1</w:t>
            </w:r>
          </w:p>
        </w:tc>
      </w:tr>
      <w:tr w:rsidR="002E5F34" w14:paraId="078E29D3" w14:textId="77777777" w:rsidTr="00FF1893">
        <w:trPr>
          <w:jc w:val="center"/>
        </w:trPr>
        <w:tc>
          <w:tcPr>
            <w:tcW w:w="1701" w:type="dxa"/>
            <w:tcBorders>
              <w:top w:val="nil"/>
              <w:left w:val="nil"/>
              <w:bottom w:val="nil"/>
              <w:right w:val="nil"/>
            </w:tcBorders>
          </w:tcPr>
          <w:p w14:paraId="16F3A905" w14:textId="77777777" w:rsidR="002E5F34" w:rsidRPr="00FF1893" w:rsidRDefault="002E5F34" w:rsidP="00396D13">
            <w:pPr>
              <w:spacing w:after="0"/>
              <w:rPr>
                <w:rFonts w:ascii="Calibri" w:hAnsi="Calibri"/>
                <w:sz w:val="20"/>
                <w:szCs w:val="20"/>
              </w:rPr>
            </w:pPr>
            <w:r w:rsidRPr="00FF1893">
              <w:rPr>
                <w:rFonts w:ascii="Calibri" w:hAnsi="Calibri"/>
                <w:sz w:val="20"/>
                <w:szCs w:val="20"/>
              </w:rPr>
              <w:t>Singapore</w:t>
            </w:r>
          </w:p>
        </w:tc>
        <w:tc>
          <w:tcPr>
            <w:tcW w:w="851" w:type="dxa"/>
            <w:tcBorders>
              <w:top w:val="nil"/>
              <w:left w:val="nil"/>
              <w:bottom w:val="nil"/>
              <w:right w:val="nil"/>
            </w:tcBorders>
          </w:tcPr>
          <w:p w14:paraId="1CA7D632" w14:textId="77777777" w:rsidR="002E5F34" w:rsidRPr="00FF1893" w:rsidRDefault="002E5F34" w:rsidP="00396D13">
            <w:pPr>
              <w:spacing w:after="0"/>
              <w:rPr>
                <w:rFonts w:ascii="Calibri" w:hAnsi="Calibri"/>
                <w:sz w:val="20"/>
                <w:szCs w:val="20"/>
              </w:rPr>
            </w:pPr>
            <w:r w:rsidRPr="00FF1893">
              <w:rPr>
                <w:rFonts w:ascii="Calibri" w:hAnsi="Calibri"/>
                <w:sz w:val="20"/>
                <w:szCs w:val="20"/>
              </w:rPr>
              <w:t>2013</w:t>
            </w:r>
          </w:p>
        </w:tc>
        <w:tc>
          <w:tcPr>
            <w:tcW w:w="6946" w:type="dxa"/>
            <w:tcBorders>
              <w:top w:val="nil"/>
              <w:left w:val="nil"/>
              <w:bottom w:val="nil"/>
              <w:right w:val="nil"/>
            </w:tcBorders>
          </w:tcPr>
          <w:p w14:paraId="6DD10A89" w14:textId="77777777" w:rsidR="002E5F34" w:rsidRPr="00FF1893" w:rsidRDefault="002E5F34" w:rsidP="00396D13">
            <w:pPr>
              <w:spacing w:after="0"/>
              <w:rPr>
                <w:rFonts w:ascii="Calibri" w:hAnsi="Calibri"/>
                <w:sz w:val="20"/>
                <w:szCs w:val="20"/>
              </w:rPr>
            </w:pPr>
            <w:r w:rsidRPr="00FF1893">
              <w:rPr>
                <w:rFonts w:ascii="Calibri" w:hAnsi="Calibri"/>
                <w:sz w:val="20"/>
                <w:szCs w:val="20"/>
              </w:rPr>
              <w:t>Unspecified</w:t>
            </w:r>
            <w:r w:rsidRPr="00FF1893">
              <w:rPr>
                <w:rFonts w:ascii="Calibri" w:hAnsi="Calibri"/>
                <w:sz w:val="20"/>
                <w:szCs w:val="20"/>
                <w:vertAlign w:val="superscript"/>
              </w:rPr>
              <w:t>5</w:t>
            </w:r>
          </w:p>
        </w:tc>
      </w:tr>
      <w:tr w:rsidR="00F83BF1" w14:paraId="1A2ADC9D" w14:textId="77777777" w:rsidTr="00FF1893">
        <w:trPr>
          <w:jc w:val="center"/>
        </w:trPr>
        <w:tc>
          <w:tcPr>
            <w:tcW w:w="1701" w:type="dxa"/>
            <w:tcBorders>
              <w:top w:val="nil"/>
              <w:left w:val="nil"/>
              <w:bottom w:val="single" w:sz="4" w:space="0" w:color="auto"/>
              <w:right w:val="nil"/>
            </w:tcBorders>
          </w:tcPr>
          <w:p w14:paraId="7D90EB9A" w14:textId="70A27C32" w:rsidR="00F83BF1" w:rsidRPr="00FF1893" w:rsidRDefault="00F83BF1" w:rsidP="003E3A9D">
            <w:pPr>
              <w:spacing w:after="0"/>
              <w:rPr>
                <w:rFonts w:ascii="Calibri" w:hAnsi="Calibri"/>
                <w:sz w:val="20"/>
                <w:szCs w:val="20"/>
              </w:rPr>
            </w:pPr>
            <w:r w:rsidRPr="00FF1893">
              <w:rPr>
                <w:rFonts w:ascii="Calibri" w:hAnsi="Calibri"/>
                <w:sz w:val="20"/>
                <w:szCs w:val="20"/>
              </w:rPr>
              <w:t>USA</w:t>
            </w:r>
          </w:p>
        </w:tc>
        <w:tc>
          <w:tcPr>
            <w:tcW w:w="851" w:type="dxa"/>
            <w:tcBorders>
              <w:top w:val="nil"/>
              <w:left w:val="nil"/>
              <w:bottom w:val="single" w:sz="4" w:space="0" w:color="auto"/>
              <w:right w:val="nil"/>
            </w:tcBorders>
          </w:tcPr>
          <w:p w14:paraId="3BAB6FB4" w14:textId="661521D2" w:rsidR="00F83BF1" w:rsidRPr="00FF1893" w:rsidRDefault="00F83BF1" w:rsidP="003E3A9D">
            <w:pPr>
              <w:spacing w:after="0"/>
              <w:rPr>
                <w:rFonts w:ascii="Calibri" w:hAnsi="Calibri"/>
                <w:sz w:val="20"/>
                <w:szCs w:val="20"/>
              </w:rPr>
            </w:pPr>
            <w:r w:rsidRPr="00FF1893">
              <w:rPr>
                <w:rFonts w:ascii="Calibri" w:hAnsi="Calibri"/>
                <w:sz w:val="20"/>
                <w:szCs w:val="20"/>
              </w:rPr>
              <w:t>1997</w:t>
            </w:r>
          </w:p>
        </w:tc>
        <w:tc>
          <w:tcPr>
            <w:tcW w:w="6946" w:type="dxa"/>
            <w:tcBorders>
              <w:top w:val="nil"/>
              <w:left w:val="nil"/>
              <w:bottom w:val="single" w:sz="4" w:space="0" w:color="auto"/>
              <w:right w:val="nil"/>
            </w:tcBorders>
          </w:tcPr>
          <w:p w14:paraId="3AE91080" w14:textId="3BE1DF41" w:rsidR="00F83BF1" w:rsidRPr="00FF1893" w:rsidRDefault="00F83BF1" w:rsidP="003E3A9D">
            <w:pPr>
              <w:spacing w:after="0"/>
              <w:rPr>
                <w:rFonts w:ascii="Calibri" w:hAnsi="Calibri"/>
                <w:sz w:val="20"/>
                <w:szCs w:val="20"/>
              </w:rPr>
            </w:pPr>
            <w:r w:rsidRPr="00FF1893">
              <w:rPr>
                <w:rFonts w:ascii="Calibri" w:hAnsi="Calibri"/>
                <w:sz w:val="20"/>
                <w:szCs w:val="20"/>
              </w:rPr>
              <w:t>Cut flowers</w:t>
            </w:r>
            <w:r w:rsidR="00A67B2B" w:rsidRPr="00FF1893">
              <w:rPr>
                <w:rFonts w:ascii="Calibri" w:hAnsi="Calibri"/>
                <w:sz w:val="20"/>
                <w:szCs w:val="20"/>
                <w:vertAlign w:val="superscript"/>
              </w:rPr>
              <w:t>4</w:t>
            </w:r>
            <w:r w:rsidRPr="00FF1893">
              <w:rPr>
                <w:rFonts w:ascii="Calibri" w:hAnsi="Calibri"/>
                <w:sz w:val="20"/>
                <w:szCs w:val="20"/>
                <w:vertAlign w:val="superscript"/>
              </w:rPr>
              <w:t xml:space="preserve">, </w:t>
            </w:r>
            <w:r w:rsidR="00A67B2B" w:rsidRPr="00FF1893">
              <w:rPr>
                <w:rFonts w:ascii="Calibri" w:hAnsi="Calibri"/>
                <w:sz w:val="20"/>
                <w:szCs w:val="20"/>
                <w:vertAlign w:val="superscript"/>
              </w:rPr>
              <w:t>5</w:t>
            </w:r>
          </w:p>
        </w:tc>
      </w:tr>
      <w:tr w:rsidR="002E5F34" w14:paraId="4B1B65B6" w14:textId="77777777" w:rsidTr="00FF1893">
        <w:trPr>
          <w:jc w:val="center"/>
        </w:trPr>
        <w:tc>
          <w:tcPr>
            <w:tcW w:w="9498" w:type="dxa"/>
            <w:gridSpan w:val="3"/>
            <w:tcBorders>
              <w:top w:val="single" w:sz="4" w:space="0" w:color="auto"/>
              <w:left w:val="nil"/>
              <w:bottom w:val="single" w:sz="4" w:space="0" w:color="auto"/>
              <w:right w:val="nil"/>
            </w:tcBorders>
          </w:tcPr>
          <w:p w14:paraId="7DD0B778" w14:textId="7FBE7CCF" w:rsidR="002E5F34" w:rsidRPr="00FF1893" w:rsidRDefault="002E5F34" w:rsidP="002E5F34">
            <w:pPr>
              <w:spacing w:after="0"/>
              <w:jc w:val="center"/>
              <w:rPr>
                <w:rFonts w:ascii="Calibri" w:hAnsi="Calibri"/>
                <w:sz w:val="20"/>
                <w:szCs w:val="20"/>
              </w:rPr>
            </w:pPr>
            <w:r w:rsidRPr="00FF1893">
              <w:rPr>
                <w:rFonts w:ascii="Calibri" w:hAnsi="Calibri"/>
                <w:sz w:val="20"/>
                <w:szCs w:val="20"/>
              </w:rPr>
              <w:t>Moonberry™</w:t>
            </w:r>
          </w:p>
        </w:tc>
      </w:tr>
      <w:tr w:rsidR="00F83BF1" w14:paraId="7A1E9F21" w14:textId="77777777" w:rsidTr="00FF1893">
        <w:trPr>
          <w:jc w:val="center"/>
        </w:trPr>
        <w:tc>
          <w:tcPr>
            <w:tcW w:w="1701" w:type="dxa"/>
            <w:tcBorders>
              <w:left w:val="nil"/>
              <w:bottom w:val="nil"/>
              <w:right w:val="nil"/>
            </w:tcBorders>
          </w:tcPr>
          <w:p w14:paraId="7519DF57" w14:textId="2C0279CB" w:rsidR="00F83BF1" w:rsidRPr="00FF1893" w:rsidRDefault="00F83BF1" w:rsidP="003E3A9D">
            <w:pPr>
              <w:spacing w:after="0"/>
              <w:rPr>
                <w:rFonts w:ascii="Calibri" w:hAnsi="Calibri"/>
                <w:sz w:val="20"/>
                <w:szCs w:val="20"/>
              </w:rPr>
            </w:pPr>
            <w:r w:rsidRPr="00FF1893">
              <w:rPr>
                <w:rFonts w:ascii="Calibri" w:hAnsi="Calibri"/>
                <w:sz w:val="20"/>
                <w:szCs w:val="20"/>
              </w:rPr>
              <w:t>Australia</w:t>
            </w:r>
          </w:p>
        </w:tc>
        <w:tc>
          <w:tcPr>
            <w:tcW w:w="851" w:type="dxa"/>
            <w:tcBorders>
              <w:left w:val="nil"/>
              <w:bottom w:val="nil"/>
              <w:right w:val="nil"/>
            </w:tcBorders>
          </w:tcPr>
          <w:p w14:paraId="7C99FFD8" w14:textId="02245F5B" w:rsidR="00F83BF1" w:rsidRPr="00FF1893" w:rsidRDefault="00F83BF1" w:rsidP="003E3A9D">
            <w:pPr>
              <w:spacing w:after="0"/>
              <w:rPr>
                <w:rFonts w:ascii="Calibri" w:hAnsi="Calibri"/>
                <w:sz w:val="20"/>
                <w:szCs w:val="20"/>
              </w:rPr>
            </w:pPr>
            <w:r w:rsidRPr="00FF1893">
              <w:rPr>
                <w:rFonts w:ascii="Calibri" w:hAnsi="Calibri"/>
                <w:sz w:val="20"/>
                <w:szCs w:val="20"/>
              </w:rPr>
              <w:t>2015</w:t>
            </w:r>
          </w:p>
        </w:tc>
        <w:tc>
          <w:tcPr>
            <w:tcW w:w="6946" w:type="dxa"/>
            <w:tcBorders>
              <w:left w:val="nil"/>
              <w:bottom w:val="nil"/>
              <w:right w:val="nil"/>
            </w:tcBorders>
          </w:tcPr>
          <w:p w14:paraId="3AF8E965" w14:textId="2FA18667" w:rsidR="00F83BF1" w:rsidRPr="00FF1893" w:rsidRDefault="00F83BF1" w:rsidP="003E3A9D">
            <w:pPr>
              <w:spacing w:after="0"/>
              <w:rPr>
                <w:rFonts w:ascii="Calibri" w:hAnsi="Calibri"/>
                <w:sz w:val="20"/>
                <w:szCs w:val="20"/>
              </w:rPr>
            </w:pPr>
            <w:r w:rsidRPr="00FF1893">
              <w:rPr>
                <w:rFonts w:ascii="Calibri" w:hAnsi="Calibri"/>
                <w:sz w:val="20"/>
                <w:szCs w:val="20"/>
              </w:rPr>
              <w:t>Import, distribution (cut flowers)</w:t>
            </w:r>
            <w:r w:rsidRPr="00FF1893">
              <w:rPr>
                <w:rFonts w:ascii="Calibri" w:hAnsi="Calibri"/>
                <w:sz w:val="20"/>
                <w:szCs w:val="20"/>
                <w:vertAlign w:val="superscript"/>
              </w:rPr>
              <w:t>1</w:t>
            </w:r>
          </w:p>
        </w:tc>
      </w:tr>
      <w:tr w:rsidR="002E5F34" w14:paraId="25600B67" w14:textId="77777777" w:rsidTr="00FF1893">
        <w:trPr>
          <w:jc w:val="center"/>
        </w:trPr>
        <w:tc>
          <w:tcPr>
            <w:tcW w:w="1701" w:type="dxa"/>
            <w:tcBorders>
              <w:top w:val="nil"/>
              <w:left w:val="nil"/>
              <w:bottom w:val="nil"/>
              <w:right w:val="nil"/>
            </w:tcBorders>
          </w:tcPr>
          <w:p w14:paraId="2699FD7D" w14:textId="77777777" w:rsidR="002E5F34" w:rsidRPr="00FF1893" w:rsidRDefault="002E5F34" w:rsidP="00396D13">
            <w:pPr>
              <w:spacing w:after="0"/>
              <w:rPr>
                <w:rFonts w:ascii="Calibri" w:hAnsi="Calibri"/>
                <w:sz w:val="20"/>
                <w:szCs w:val="20"/>
              </w:rPr>
            </w:pPr>
            <w:r w:rsidRPr="00FF1893">
              <w:rPr>
                <w:rFonts w:ascii="Calibri" w:hAnsi="Calibri"/>
                <w:sz w:val="20"/>
                <w:szCs w:val="20"/>
              </w:rPr>
              <w:t>Canada</w:t>
            </w:r>
          </w:p>
        </w:tc>
        <w:tc>
          <w:tcPr>
            <w:tcW w:w="851" w:type="dxa"/>
            <w:tcBorders>
              <w:top w:val="nil"/>
              <w:left w:val="nil"/>
              <w:bottom w:val="nil"/>
              <w:right w:val="nil"/>
            </w:tcBorders>
          </w:tcPr>
          <w:p w14:paraId="7C9E7734" w14:textId="77777777" w:rsidR="002E5F34" w:rsidRPr="00FF1893" w:rsidRDefault="002E5F34" w:rsidP="00396D13">
            <w:pPr>
              <w:spacing w:after="0"/>
              <w:rPr>
                <w:rFonts w:ascii="Calibri" w:hAnsi="Calibri"/>
                <w:sz w:val="20"/>
                <w:szCs w:val="20"/>
              </w:rPr>
            </w:pPr>
            <w:r w:rsidRPr="00FF1893">
              <w:rPr>
                <w:rFonts w:ascii="Calibri" w:hAnsi="Calibri"/>
                <w:sz w:val="20"/>
                <w:szCs w:val="20"/>
              </w:rPr>
              <w:t>1999</w:t>
            </w:r>
          </w:p>
        </w:tc>
        <w:tc>
          <w:tcPr>
            <w:tcW w:w="6946" w:type="dxa"/>
            <w:tcBorders>
              <w:top w:val="nil"/>
              <w:left w:val="nil"/>
              <w:bottom w:val="nil"/>
              <w:right w:val="nil"/>
            </w:tcBorders>
          </w:tcPr>
          <w:p w14:paraId="664FFB14" w14:textId="77777777" w:rsidR="002E5F34" w:rsidRPr="00FF1893" w:rsidRDefault="002E5F34" w:rsidP="00396D13">
            <w:pPr>
              <w:spacing w:after="0"/>
              <w:rPr>
                <w:rFonts w:ascii="Calibri" w:hAnsi="Calibri"/>
                <w:sz w:val="20"/>
                <w:szCs w:val="20"/>
              </w:rPr>
            </w:pPr>
            <w:r w:rsidRPr="00FF1893">
              <w:rPr>
                <w:rFonts w:ascii="Calibri" w:hAnsi="Calibri"/>
                <w:sz w:val="20"/>
                <w:szCs w:val="20"/>
              </w:rPr>
              <w:t>Cut flowers</w:t>
            </w:r>
            <w:r w:rsidRPr="00FF1893">
              <w:rPr>
                <w:rFonts w:ascii="Calibri" w:hAnsi="Calibri"/>
                <w:sz w:val="20"/>
                <w:szCs w:val="20"/>
                <w:vertAlign w:val="superscript"/>
              </w:rPr>
              <w:t>4, 5</w:t>
            </w:r>
          </w:p>
        </w:tc>
      </w:tr>
      <w:tr w:rsidR="00F83BF1" w14:paraId="63C5CEB3" w14:textId="77777777" w:rsidTr="00FF1893">
        <w:trPr>
          <w:jc w:val="center"/>
        </w:trPr>
        <w:tc>
          <w:tcPr>
            <w:tcW w:w="1701" w:type="dxa"/>
            <w:tcBorders>
              <w:top w:val="nil"/>
              <w:left w:val="nil"/>
              <w:bottom w:val="nil"/>
              <w:right w:val="nil"/>
            </w:tcBorders>
          </w:tcPr>
          <w:p w14:paraId="03CBB438" w14:textId="1F4EEFFD" w:rsidR="00F83BF1" w:rsidRPr="00FF1893" w:rsidRDefault="00F83BF1" w:rsidP="003E3A9D">
            <w:pPr>
              <w:spacing w:after="0"/>
              <w:rPr>
                <w:rFonts w:ascii="Calibri" w:hAnsi="Calibri"/>
                <w:sz w:val="20"/>
                <w:szCs w:val="20"/>
              </w:rPr>
            </w:pPr>
            <w:r w:rsidRPr="00FF1893">
              <w:rPr>
                <w:rFonts w:ascii="Calibri" w:hAnsi="Calibri"/>
                <w:sz w:val="20"/>
                <w:szCs w:val="20"/>
              </w:rPr>
              <w:t>Colombia</w:t>
            </w:r>
          </w:p>
        </w:tc>
        <w:tc>
          <w:tcPr>
            <w:tcW w:w="851" w:type="dxa"/>
            <w:tcBorders>
              <w:top w:val="nil"/>
              <w:left w:val="nil"/>
              <w:bottom w:val="nil"/>
              <w:right w:val="nil"/>
            </w:tcBorders>
          </w:tcPr>
          <w:p w14:paraId="38CD8C4E" w14:textId="24DEF077" w:rsidR="00F83BF1" w:rsidRPr="00FF1893" w:rsidRDefault="00F83BF1" w:rsidP="003E3A9D">
            <w:pPr>
              <w:spacing w:after="0"/>
              <w:rPr>
                <w:rFonts w:ascii="Calibri" w:hAnsi="Calibri"/>
                <w:sz w:val="20"/>
                <w:szCs w:val="20"/>
              </w:rPr>
            </w:pPr>
            <w:r w:rsidRPr="00FF1893">
              <w:rPr>
                <w:rFonts w:ascii="Calibri" w:hAnsi="Calibri"/>
                <w:sz w:val="20"/>
                <w:szCs w:val="20"/>
              </w:rPr>
              <w:t>2008</w:t>
            </w:r>
          </w:p>
        </w:tc>
        <w:tc>
          <w:tcPr>
            <w:tcW w:w="6946" w:type="dxa"/>
            <w:tcBorders>
              <w:top w:val="nil"/>
              <w:left w:val="nil"/>
              <w:bottom w:val="nil"/>
              <w:right w:val="nil"/>
            </w:tcBorders>
          </w:tcPr>
          <w:p w14:paraId="408C5C82" w14:textId="3CFBBC2C" w:rsidR="00F83BF1" w:rsidRPr="00FF1893" w:rsidRDefault="00F83BF1" w:rsidP="003E3A9D">
            <w:pPr>
              <w:spacing w:after="0"/>
              <w:rPr>
                <w:rFonts w:ascii="Calibri" w:hAnsi="Calibri"/>
                <w:sz w:val="20"/>
                <w:szCs w:val="20"/>
              </w:rPr>
            </w:pPr>
            <w:r w:rsidRPr="00FF1893">
              <w:rPr>
                <w:rFonts w:ascii="Calibri" w:hAnsi="Calibri"/>
                <w:sz w:val="20"/>
                <w:szCs w:val="20"/>
              </w:rPr>
              <w:t>Greenhouse cultivation for export</w:t>
            </w:r>
            <w:r w:rsidRPr="00FF1893">
              <w:rPr>
                <w:rFonts w:ascii="Calibri" w:hAnsi="Calibri"/>
                <w:sz w:val="20"/>
                <w:szCs w:val="20"/>
                <w:vertAlign w:val="superscript"/>
              </w:rPr>
              <w:t>1</w:t>
            </w:r>
          </w:p>
        </w:tc>
      </w:tr>
      <w:tr w:rsidR="00F83BF1" w14:paraId="1E6DE1E3" w14:textId="77777777" w:rsidTr="00FF1893">
        <w:trPr>
          <w:jc w:val="center"/>
        </w:trPr>
        <w:tc>
          <w:tcPr>
            <w:tcW w:w="1701" w:type="dxa"/>
            <w:tcBorders>
              <w:top w:val="nil"/>
              <w:left w:val="nil"/>
              <w:bottom w:val="nil"/>
              <w:right w:val="nil"/>
            </w:tcBorders>
          </w:tcPr>
          <w:p w14:paraId="3697A350" w14:textId="1BDAD897" w:rsidR="00F83BF1" w:rsidRPr="00FF1893" w:rsidRDefault="00F83BF1" w:rsidP="003E3A9D">
            <w:pPr>
              <w:spacing w:after="0"/>
              <w:rPr>
                <w:rFonts w:ascii="Calibri" w:hAnsi="Calibri"/>
                <w:sz w:val="20"/>
                <w:szCs w:val="20"/>
              </w:rPr>
            </w:pPr>
            <w:r w:rsidRPr="00FF1893">
              <w:rPr>
                <w:rFonts w:ascii="Calibri" w:hAnsi="Calibri"/>
                <w:sz w:val="20"/>
                <w:szCs w:val="20"/>
              </w:rPr>
              <w:t>EU</w:t>
            </w:r>
            <w:r w:rsidR="00C22D76" w:rsidRPr="00FF1893">
              <w:rPr>
                <w:rFonts w:ascii="Calibri" w:hAnsi="Calibri"/>
                <w:sz w:val="20"/>
                <w:szCs w:val="20"/>
                <w:vertAlign w:val="superscript"/>
              </w:rPr>
              <w:t>2</w:t>
            </w:r>
          </w:p>
        </w:tc>
        <w:tc>
          <w:tcPr>
            <w:tcW w:w="851" w:type="dxa"/>
            <w:tcBorders>
              <w:top w:val="nil"/>
              <w:left w:val="nil"/>
              <w:bottom w:val="nil"/>
              <w:right w:val="nil"/>
            </w:tcBorders>
          </w:tcPr>
          <w:p w14:paraId="7260F852" w14:textId="2A5636B1" w:rsidR="00F83BF1" w:rsidRPr="00FF1893" w:rsidRDefault="00F83BF1" w:rsidP="00EA7894">
            <w:pPr>
              <w:spacing w:after="0"/>
              <w:rPr>
                <w:rFonts w:ascii="Calibri" w:hAnsi="Calibri"/>
                <w:sz w:val="20"/>
                <w:szCs w:val="20"/>
              </w:rPr>
            </w:pPr>
            <w:r w:rsidRPr="00FF1893">
              <w:rPr>
                <w:rFonts w:ascii="Calibri" w:hAnsi="Calibri"/>
                <w:sz w:val="20"/>
                <w:szCs w:val="20"/>
              </w:rPr>
              <w:t>201</w:t>
            </w:r>
            <w:r w:rsidR="00EA7894" w:rsidRPr="00FF1893">
              <w:rPr>
                <w:rFonts w:ascii="Calibri" w:hAnsi="Calibri"/>
                <w:sz w:val="20"/>
                <w:szCs w:val="20"/>
              </w:rPr>
              <w:t>7</w:t>
            </w:r>
          </w:p>
        </w:tc>
        <w:tc>
          <w:tcPr>
            <w:tcW w:w="6946" w:type="dxa"/>
            <w:tcBorders>
              <w:top w:val="nil"/>
              <w:left w:val="nil"/>
              <w:bottom w:val="nil"/>
              <w:right w:val="nil"/>
            </w:tcBorders>
          </w:tcPr>
          <w:p w14:paraId="0D234DD7" w14:textId="6B1ECCB0" w:rsidR="00F83BF1" w:rsidRPr="00FF1893" w:rsidRDefault="00F83BF1" w:rsidP="003E3A9D">
            <w:pPr>
              <w:spacing w:after="0"/>
              <w:rPr>
                <w:rFonts w:ascii="Calibri" w:hAnsi="Calibri"/>
                <w:sz w:val="20"/>
                <w:szCs w:val="20"/>
              </w:rPr>
            </w:pPr>
            <w:r w:rsidRPr="00FF1893">
              <w:rPr>
                <w:rFonts w:ascii="Calibri" w:hAnsi="Calibri"/>
                <w:sz w:val="20"/>
                <w:szCs w:val="20"/>
              </w:rPr>
              <w:t>Import, not for use as food or feed or for cultivation; processing, import/use with conditions</w:t>
            </w:r>
          </w:p>
        </w:tc>
      </w:tr>
      <w:tr w:rsidR="00F83BF1" w14:paraId="158875EF" w14:textId="77777777" w:rsidTr="00FF1893">
        <w:trPr>
          <w:jc w:val="center"/>
        </w:trPr>
        <w:tc>
          <w:tcPr>
            <w:tcW w:w="1701" w:type="dxa"/>
            <w:tcBorders>
              <w:top w:val="nil"/>
              <w:left w:val="nil"/>
              <w:bottom w:val="nil"/>
              <w:right w:val="nil"/>
            </w:tcBorders>
          </w:tcPr>
          <w:p w14:paraId="787F7E74" w14:textId="5CA66DB5" w:rsidR="00F83BF1" w:rsidRPr="00FF1893" w:rsidRDefault="00F83BF1" w:rsidP="003E3A9D">
            <w:pPr>
              <w:spacing w:after="0"/>
              <w:rPr>
                <w:rFonts w:ascii="Calibri" w:hAnsi="Calibri"/>
                <w:sz w:val="20"/>
                <w:szCs w:val="20"/>
              </w:rPr>
            </w:pPr>
            <w:r w:rsidRPr="00FF1893">
              <w:rPr>
                <w:rFonts w:ascii="Calibri" w:hAnsi="Calibri"/>
                <w:sz w:val="20"/>
                <w:szCs w:val="20"/>
              </w:rPr>
              <w:t>Japan</w:t>
            </w:r>
          </w:p>
        </w:tc>
        <w:tc>
          <w:tcPr>
            <w:tcW w:w="851" w:type="dxa"/>
            <w:tcBorders>
              <w:top w:val="nil"/>
              <w:left w:val="nil"/>
              <w:bottom w:val="nil"/>
              <w:right w:val="nil"/>
            </w:tcBorders>
          </w:tcPr>
          <w:p w14:paraId="4E2322CC" w14:textId="6C9B6B09" w:rsidR="00F83BF1" w:rsidRPr="00FF1893" w:rsidRDefault="00F83BF1" w:rsidP="003E3A9D">
            <w:pPr>
              <w:spacing w:after="0"/>
              <w:rPr>
                <w:rFonts w:ascii="Calibri" w:hAnsi="Calibri"/>
                <w:sz w:val="20"/>
                <w:szCs w:val="20"/>
              </w:rPr>
            </w:pPr>
            <w:r w:rsidRPr="00FF1893">
              <w:rPr>
                <w:rFonts w:ascii="Calibri" w:hAnsi="Calibri"/>
                <w:sz w:val="20"/>
                <w:szCs w:val="20"/>
              </w:rPr>
              <w:t>2013</w:t>
            </w:r>
          </w:p>
        </w:tc>
        <w:tc>
          <w:tcPr>
            <w:tcW w:w="6946" w:type="dxa"/>
            <w:tcBorders>
              <w:top w:val="nil"/>
              <w:left w:val="nil"/>
              <w:bottom w:val="nil"/>
              <w:right w:val="nil"/>
            </w:tcBorders>
          </w:tcPr>
          <w:p w14:paraId="34FAD349" w14:textId="0FCD9780" w:rsidR="00F83BF1" w:rsidRPr="00FF1893" w:rsidRDefault="00F83BF1" w:rsidP="003E3A9D">
            <w:pPr>
              <w:spacing w:after="0"/>
              <w:rPr>
                <w:rFonts w:ascii="Calibri" w:hAnsi="Calibri"/>
                <w:sz w:val="20"/>
                <w:szCs w:val="20"/>
              </w:rPr>
            </w:pPr>
            <w:r w:rsidRPr="00FF1893">
              <w:rPr>
                <w:rFonts w:ascii="Calibri" w:hAnsi="Calibri"/>
                <w:sz w:val="20"/>
                <w:szCs w:val="20"/>
              </w:rPr>
              <w:t>Cultivation</w:t>
            </w:r>
            <w:r w:rsidR="00C22D76" w:rsidRPr="00FF1893">
              <w:rPr>
                <w:rFonts w:ascii="Calibri" w:hAnsi="Calibri"/>
                <w:sz w:val="20"/>
                <w:szCs w:val="20"/>
              </w:rPr>
              <w:t>; Import, use without conditions</w:t>
            </w:r>
            <w:r w:rsidR="00C22D76" w:rsidRPr="00FF1893">
              <w:rPr>
                <w:rFonts w:ascii="Calibri" w:hAnsi="Calibri"/>
                <w:sz w:val="20"/>
                <w:szCs w:val="20"/>
                <w:vertAlign w:val="superscript"/>
              </w:rPr>
              <w:t>1</w:t>
            </w:r>
          </w:p>
        </w:tc>
      </w:tr>
      <w:tr w:rsidR="00F83BF1" w14:paraId="28283051" w14:textId="77777777" w:rsidTr="00FF1893">
        <w:trPr>
          <w:jc w:val="center"/>
        </w:trPr>
        <w:tc>
          <w:tcPr>
            <w:tcW w:w="1701" w:type="dxa"/>
            <w:tcBorders>
              <w:top w:val="nil"/>
              <w:left w:val="nil"/>
              <w:bottom w:val="nil"/>
              <w:right w:val="nil"/>
            </w:tcBorders>
          </w:tcPr>
          <w:p w14:paraId="2F210035" w14:textId="219276B6" w:rsidR="00F83BF1" w:rsidRPr="00FF1893" w:rsidRDefault="00F83BF1" w:rsidP="003E3A9D">
            <w:pPr>
              <w:spacing w:after="0"/>
              <w:rPr>
                <w:rFonts w:ascii="Calibri" w:hAnsi="Calibri"/>
                <w:sz w:val="20"/>
                <w:szCs w:val="20"/>
              </w:rPr>
            </w:pPr>
            <w:r w:rsidRPr="00FF1893">
              <w:rPr>
                <w:rFonts w:ascii="Calibri" w:hAnsi="Calibri"/>
                <w:sz w:val="20"/>
                <w:szCs w:val="20"/>
              </w:rPr>
              <w:t>Malaysia</w:t>
            </w:r>
          </w:p>
        </w:tc>
        <w:tc>
          <w:tcPr>
            <w:tcW w:w="851" w:type="dxa"/>
            <w:tcBorders>
              <w:top w:val="nil"/>
              <w:left w:val="nil"/>
              <w:bottom w:val="nil"/>
              <w:right w:val="nil"/>
            </w:tcBorders>
          </w:tcPr>
          <w:p w14:paraId="2011B571" w14:textId="0AE0E2A6" w:rsidR="00F83BF1" w:rsidRPr="00FF1893" w:rsidRDefault="00F83BF1" w:rsidP="003E3A9D">
            <w:pPr>
              <w:spacing w:after="0"/>
              <w:rPr>
                <w:rFonts w:ascii="Calibri" w:hAnsi="Calibri"/>
                <w:sz w:val="20"/>
                <w:szCs w:val="20"/>
              </w:rPr>
            </w:pPr>
            <w:r w:rsidRPr="00FF1893">
              <w:rPr>
                <w:rFonts w:ascii="Calibri" w:hAnsi="Calibri"/>
                <w:sz w:val="20"/>
                <w:szCs w:val="20"/>
              </w:rPr>
              <w:t>2012</w:t>
            </w:r>
          </w:p>
        </w:tc>
        <w:tc>
          <w:tcPr>
            <w:tcW w:w="6946" w:type="dxa"/>
            <w:tcBorders>
              <w:top w:val="nil"/>
              <w:left w:val="nil"/>
              <w:bottom w:val="nil"/>
              <w:right w:val="nil"/>
            </w:tcBorders>
          </w:tcPr>
          <w:p w14:paraId="626A6EC4" w14:textId="7063B0D0" w:rsidR="00F83BF1" w:rsidRPr="00FF1893" w:rsidRDefault="00F83BF1" w:rsidP="003E3A9D">
            <w:pPr>
              <w:spacing w:after="0"/>
              <w:rPr>
                <w:rFonts w:ascii="Calibri" w:hAnsi="Calibri"/>
                <w:sz w:val="20"/>
                <w:szCs w:val="20"/>
              </w:rPr>
            </w:pPr>
            <w:r w:rsidRPr="00FF1893">
              <w:rPr>
                <w:rFonts w:ascii="Calibri" w:hAnsi="Calibri"/>
                <w:sz w:val="20"/>
                <w:szCs w:val="20"/>
              </w:rPr>
              <w:t>Ornamental purposes, not for planting</w:t>
            </w:r>
            <w:r w:rsidRPr="00FF1893">
              <w:rPr>
                <w:rFonts w:ascii="Calibri" w:hAnsi="Calibri"/>
                <w:sz w:val="20"/>
                <w:szCs w:val="20"/>
                <w:vertAlign w:val="superscript"/>
              </w:rPr>
              <w:t>1</w:t>
            </w:r>
          </w:p>
        </w:tc>
      </w:tr>
      <w:tr w:rsidR="002E5F34" w14:paraId="748E64B3" w14:textId="77777777" w:rsidTr="00FF1893">
        <w:trPr>
          <w:jc w:val="center"/>
        </w:trPr>
        <w:tc>
          <w:tcPr>
            <w:tcW w:w="1701" w:type="dxa"/>
            <w:tcBorders>
              <w:top w:val="nil"/>
              <w:left w:val="nil"/>
              <w:bottom w:val="nil"/>
              <w:right w:val="nil"/>
            </w:tcBorders>
          </w:tcPr>
          <w:p w14:paraId="79AC3002" w14:textId="77777777" w:rsidR="002E5F34" w:rsidRPr="00FF1893" w:rsidRDefault="002E5F34" w:rsidP="00396D13">
            <w:pPr>
              <w:spacing w:after="0"/>
              <w:rPr>
                <w:rFonts w:ascii="Calibri" w:hAnsi="Calibri"/>
                <w:sz w:val="20"/>
                <w:szCs w:val="20"/>
              </w:rPr>
            </w:pPr>
            <w:r w:rsidRPr="00FF1893">
              <w:rPr>
                <w:rFonts w:ascii="Calibri" w:hAnsi="Calibri"/>
                <w:sz w:val="20"/>
                <w:szCs w:val="20"/>
              </w:rPr>
              <w:t>Singapore</w:t>
            </w:r>
          </w:p>
        </w:tc>
        <w:tc>
          <w:tcPr>
            <w:tcW w:w="851" w:type="dxa"/>
            <w:tcBorders>
              <w:top w:val="nil"/>
              <w:left w:val="nil"/>
              <w:bottom w:val="nil"/>
              <w:right w:val="nil"/>
            </w:tcBorders>
          </w:tcPr>
          <w:p w14:paraId="5DBAB296" w14:textId="77777777" w:rsidR="002E5F34" w:rsidRPr="00FF1893" w:rsidRDefault="002E5F34" w:rsidP="00396D13">
            <w:pPr>
              <w:spacing w:after="0"/>
              <w:rPr>
                <w:rFonts w:ascii="Calibri" w:hAnsi="Calibri"/>
                <w:sz w:val="20"/>
                <w:szCs w:val="20"/>
              </w:rPr>
            </w:pPr>
            <w:r w:rsidRPr="00FF1893">
              <w:rPr>
                <w:rFonts w:ascii="Calibri" w:hAnsi="Calibri"/>
                <w:sz w:val="20"/>
                <w:szCs w:val="20"/>
              </w:rPr>
              <w:t>2013</w:t>
            </w:r>
          </w:p>
        </w:tc>
        <w:tc>
          <w:tcPr>
            <w:tcW w:w="6946" w:type="dxa"/>
            <w:tcBorders>
              <w:top w:val="nil"/>
              <w:left w:val="nil"/>
              <w:bottom w:val="nil"/>
              <w:right w:val="nil"/>
            </w:tcBorders>
          </w:tcPr>
          <w:p w14:paraId="5E621A0E" w14:textId="77777777" w:rsidR="002E5F34" w:rsidRPr="00FF1893" w:rsidRDefault="002E5F34" w:rsidP="00396D13">
            <w:pPr>
              <w:spacing w:after="0"/>
              <w:rPr>
                <w:rFonts w:ascii="Calibri" w:hAnsi="Calibri"/>
                <w:sz w:val="20"/>
                <w:szCs w:val="20"/>
              </w:rPr>
            </w:pPr>
            <w:r w:rsidRPr="00FF1893">
              <w:rPr>
                <w:rFonts w:ascii="Calibri" w:hAnsi="Calibri"/>
                <w:sz w:val="20"/>
                <w:szCs w:val="20"/>
              </w:rPr>
              <w:t>Unspecified</w:t>
            </w:r>
            <w:r w:rsidRPr="00FF1893">
              <w:rPr>
                <w:rFonts w:ascii="Calibri" w:hAnsi="Calibri"/>
                <w:sz w:val="20"/>
                <w:szCs w:val="20"/>
                <w:vertAlign w:val="superscript"/>
              </w:rPr>
              <w:t>4</w:t>
            </w:r>
          </w:p>
        </w:tc>
      </w:tr>
      <w:tr w:rsidR="001F6FB0" w14:paraId="3AA64022" w14:textId="77777777" w:rsidTr="00FF1893">
        <w:trPr>
          <w:jc w:val="center"/>
        </w:trPr>
        <w:tc>
          <w:tcPr>
            <w:tcW w:w="1701" w:type="dxa"/>
            <w:tcBorders>
              <w:top w:val="nil"/>
              <w:left w:val="nil"/>
              <w:bottom w:val="single" w:sz="4" w:space="0" w:color="auto"/>
              <w:right w:val="nil"/>
            </w:tcBorders>
          </w:tcPr>
          <w:p w14:paraId="3CBEAE40" w14:textId="76DEE6A5" w:rsidR="001F6FB0" w:rsidRPr="00FF1893" w:rsidRDefault="001F6FB0" w:rsidP="003E3A9D">
            <w:pPr>
              <w:spacing w:after="0"/>
              <w:rPr>
                <w:rFonts w:ascii="Calibri" w:hAnsi="Calibri"/>
                <w:sz w:val="20"/>
                <w:szCs w:val="20"/>
              </w:rPr>
            </w:pPr>
            <w:r w:rsidRPr="00FF1893">
              <w:rPr>
                <w:rFonts w:ascii="Calibri" w:hAnsi="Calibri"/>
                <w:sz w:val="20"/>
                <w:szCs w:val="20"/>
              </w:rPr>
              <w:t>USA</w:t>
            </w:r>
          </w:p>
        </w:tc>
        <w:tc>
          <w:tcPr>
            <w:tcW w:w="851" w:type="dxa"/>
            <w:tcBorders>
              <w:top w:val="nil"/>
              <w:left w:val="nil"/>
              <w:bottom w:val="single" w:sz="4" w:space="0" w:color="auto"/>
              <w:right w:val="nil"/>
            </w:tcBorders>
          </w:tcPr>
          <w:p w14:paraId="7A2F91CE" w14:textId="3B46F2A0" w:rsidR="001F6FB0" w:rsidRPr="00FF1893" w:rsidRDefault="001F6FB0" w:rsidP="003E3A9D">
            <w:pPr>
              <w:spacing w:after="0"/>
              <w:rPr>
                <w:rFonts w:ascii="Calibri" w:hAnsi="Calibri"/>
                <w:sz w:val="20"/>
                <w:szCs w:val="20"/>
              </w:rPr>
            </w:pPr>
            <w:r w:rsidRPr="00FF1893">
              <w:rPr>
                <w:rFonts w:ascii="Calibri" w:hAnsi="Calibri"/>
                <w:sz w:val="20"/>
                <w:szCs w:val="20"/>
              </w:rPr>
              <w:t>1997</w:t>
            </w:r>
          </w:p>
        </w:tc>
        <w:tc>
          <w:tcPr>
            <w:tcW w:w="6946" w:type="dxa"/>
            <w:tcBorders>
              <w:top w:val="nil"/>
              <w:left w:val="nil"/>
              <w:bottom w:val="single" w:sz="4" w:space="0" w:color="auto"/>
              <w:right w:val="nil"/>
            </w:tcBorders>
          </w:tcPr>
          <w:p w14:paraId="0DF993C2" w14:textId="1F97188D" w:rsidR="001F6FB0" w:rsidRPr="00FF1893" w:rsidRDefault="001F6FB0" w:rsidP="003E3A9D">
            <w:pPr>
              <w:spacing w:after="0"/>
              <w:rPr>
                <w:rFonts w:ascii="Calibri" w:hAnsi="Calibri"/>
                <w:sz w:val="20"/>
                <w:szCs w:val="20"/>
              </w:rPr>
            </w:pPr>
            <w:r w:rsidRPr="00FF1893">
              <w:rPr>
                <w:rFonts w:ascii="Calibri" w:hAnsi="Calibri"/>
                <w:sz w:val="20"/>
                <w:szCs w:val="20"/>
              </w:rPr>
              <w:t>Cut flowers</w:t>
            </w:r>
            <w:r w:rsidR="00A67B2B" w:rsidRPr="00FF1893">
              <w:rPr>
                <w:rFonts w:ascii="Calibri" w:hAnsi="Calibri"/>
                <w:sz w:val="20"/>
                <w:szCs w:val="20"/>
                <w:vertAlign w:val="superscript"/>
              </w:rPr>
              <w:t>4, 5</w:t>
            </w:r>
          </w:p>
        </w:tc>
      </w:tr>
      <w:tr w:rsidR="002E5F34" w14:paraId="6C419961" w14:textId="77777777" w:rsidTr="00FF1893">
        <w:trPr>
          <w:jc w:val="center"/>
        </w:trPr>
        <w:tc>
          <w:tcPr>
            <w:tcW w:w="9498" w:type="dxa"/>
            <w:gridSpan w:val="3"/>
            <w:tcBorders>
              <w:top w:val="single" w:sz="4" w:space="0" w:color="auto"/>
              <w:left w:val="nil"/>
              <w:bottom w:val="single" w:sz="4" w:space="0" w:color="auto"/>
              <w:right w:val="nil"/>
            </w:tcBorders>
          </w:tcPr>
          <w:p w14:paraId="540C05A6" w14:textId="6A9A306D" w:rsidR="002E5F34" w:rsidRPr="00FF1893" w:rsidRDefault="002E5F34" w:rsidP="002E5F34">
            <w:pPr>
              <w:spacing w:after="0"/>
              <w:jc w:val="center"/>
              <w:rPr>
                <w:rFonts w:ascii="Calibri" w:hAnsi="Calibri"/>
                <w:sz w:val="20"/>
                <w:szCs w:val="20"/>
              </w:rPr>
            </w:pPr>
            <w:r w:rsidRPr="00FF1893">
              <w:rPr>
                <w:rFonts w:ascii="Calibri" w:hAnsi="Calibri"/>
                <w:sz w:val="20"/>
                <w:szCs w:val="20"/>
              </w:rPr>
              <w:lastRenderedPageBreak/>
              <w:t>Moonvelvet™</w:t>
            </w:r>
          </w:p>
        </w:tc>
      </w:tr>
      <w:tr w:rsidR="00A67B2B" w14:paraId="472F2077" w14:textId="77777777" w:rsidTr="00FF1893">
        <w:trPr>
          <w:jc w:val="center"/>
        </w:trPr>
        <w:tc>
          <w:tcPr>
            <w:tcW w:w="1701" w:type="dxa"/>
            <w:tcBorders>
              <w:left w:val="nil"/>
              <w:bottom w:val="nil"/>
              <w:right w:val="nil"/>
            </w:tcBorders>
          </w:tcPr>
          <w:p w14:paraId="4B0127C1" w14:textId="560A7ECA" w:rsidR="00A67B2B" w:rsidRPr="00FF1893" w:rsidRDefault="00A67B2B" w:rsidP="003E3A9D">
            <w:pPr>
              <w:spacing w:after="0"/>
              <w:rPr>
                <w:rFonts w:ascii="Calibri" w:hAnsi="Calibri"/>
                <w:sz w:val="20"/>
                <w:szCs w:val="20"/>
              </w:rPr>
            </w:pPr>
            <w:r w:rsidRPr="00FF1893">
              <w:rPr>
                <w:rFonts w:ascii="Calibri" w:hAnsi="Calibri"/>
                <w:sz w:val="20"/>
                <w:szCs w:val="20"/>
              </w:rPr>
              <w:t>Australia</w:t>
            </w:r>
          </w:p>
        </w:tc>
        <w:tc>
          <w:tcPr>
            <w:tcW w:w="851" w:type="dxa"/>
            <w:tcBorders>
              <w:left w:val="nil"/>
              <w:bottom w:val="nil"/>
              <w:right w:val="nil"/>
            </w:tcBorders>
          </w:tcPr>
          <w:p w14:paraId="065EECD6" w14:textId="6BAEE1B3" w:rsidR="00A67B2B" w:rsidRPr="00FF1893" w:rsidRDefault="00A67B2B" w:rsidP="003E3A9D">
            <w:pPr>
              <w:spacing w:after="0"/>
              <w:rPr>
                <w:rFonts w:ascii="Calibri" w:hAnsi="Calibri"/>
                <w:sz w:val="20"/>
                <w:szCs w:val="20"/>
              </w:rPr>
            </w:pPr>
            <w:r w:rsidRPr="00FF1893">
              <w:rPr>
                <w:rFonts w:ascii="Calibri" w:hAnsi="Calibri"/>
                <w:sz w:val="20"/>
                <w:szCs w:val="20"/>
              </w:rPr>
              <w:t>2015</w:t>
            </w:r>
          </w:p>
        </w:tc>
        <w:tc>
          <w:tcPr>
            <w:tcW w:w="6946" w:type="dxa"/>
            <w:tcBorders>
              <w:left w:val="nil"/>
              <w:bottom w:val="nil"/>
              <w:right w:val="nil"/>
            </w:tcBorders>
          </w:tcPr>
          <w:p w14:paraId="02B0796E" w14:textId="2F157375" w:rsidR="00A67B2B" w:rsidRPr="00FF1893" w:rsidRDefault="00A67B2B" w:rsidP="003E3A9D">
            <w:pPr>
              <w:spacing w:after="0"/>
              <w:rPr>
                <w:rFonts w:ascii="Calibri" w:hAnsi="Calibri"/>
                <w:sz w:val="20"/>
                <w:szCs w:val="20"/>
              </w:rPr>
            </w:pPr>
            <w:r w:rsidRPr="00FF1893">
              <w:rPr>
                <w:rFonts w:ascii="Calibri" w:hAnsi="Calibri"/>
                <w:sz w:val="20"/>
                <w:szCs w:val="20"/>
              </w:rPr>
              <w:t>Import, distribution (cut flowers)</w:t>
            </w:r>
            <w:r w:rsidRPr="00FF1893">
              <w:rPr>
                <w:rFonts w:ascii="Calibri" w:hAnsi="Calibri"/>
                <w:sz w:val="20"/>
                <w:szCs w:val="20"/>
                <w:vertAlign w:val="superscript"/>
              </w:rPr>
              <w:t>1</w:t>
            </w:r>
          </w:p>
        </w:tc>
      </w:tr>
      <w:tr w:rsidR="002E5F34" w14:paraId="2ACB8354" w14:textId="77777777" w:rsidTr="00FF1893">
        <w:trPr>
          <w:jc w:val="center"/>
        </w:trPr>
        <w:tc>
          <w:tcPr>
            <w:tcW w:w="1701" w:type="dxa"/>
            <w:tcBorders>
              <w:top w:val="nil"/>
              <w:left w:val="nil"/>
              <w:bottom w:val="nil"/>
              <w:right w:val="nil"/>
            </w:tcBorders>
          </w:tcPr>
          <w:p w14:paraId="1B931D8B" w14:textId="77777777" w:rsidR="002E5F34" w:rsidRPr="00FF1893" w:rsidRDefault="002E5F34" w:rsidP="00396D13">
            <w:pPr>
              <w:spacing w:after="0"/>
              <w:rPr>
                <w:rFonts w:ascii="Calibri" w:hAnsi="Calibri"/>
                <w:sz w:val="20"/>
                <w:szCs w:val="20"/>
              </w:rPr>
            </w:pPr>
            <w:r w:rsidRPr="00FF1893">
              <w:rPr>
                <w:rFonts w:ascii="Calibri" w:hAnsi="Calibri"/>
                <w:sz w:val="20"/>
                <w:szCs w:val="20"/>
              </w:rPr>
              <w:t>Canada</w:t>
            </w:r>
          </w:p>
        </w:tc>
        <w:tc>
          <w:tcPr>
            <w:tcW w:w="851" w:type="dxa"/>
            <w:tcBorders>
              <w:top w:val="nil"/>
              <w:left w:val="nil"/>
              <w:bottom w:val="nil"/>
              <w:right w:val="nil"/>
            </w:tcBorders>
          </w:tcPr>
          <w:p w14:paraId="75E12C78" w14:textId="77777777" w:rsidR="002E5F34" w:rsidRPr="00FF1893" w:rsidRDefault="002E5F34" w:rsidP="00396D13">
            <w:pPr>
              <w:spacing w:after="0"/>
              <w:rPr>
                <w:rFonts w:ascii="Calibri" w:hAnsi="Calibri"/>
                <w:sz w:val="20"/>
                <w:szCs w:val="20"/>
              </w:rPr>
            </w:pPr>
            <w:r w:rsidRPr="00FF1893">
              <w:rPr>
                <w:rFonts w:ascii="Calibri" w:hAnsi="Calibri"/>
                <w:sz w:val="20"/>
                <w:szCs w:val="20"/>
              </w:rPr>
              <w:t>1999</w:t>
            </w:r>
          </w:p>
        </w:tc>
        <w:tc>
          <w:tcPr>
            <w:tcW w:w="6946" w:type="dxa"/>
            <w:tcBorders>
              <w:top w:val="nil"/>
              <w:left w:val="nil"/>
              <w:bottom w:val="nil"/>
              <w:right w:val="nil"/>
            </w:tcBorders>
          </w:tcPr>
          <w:p w14:paraId="5A73E2AA" w14:textId="77777777" w:rsidR="002E5F34" w:rsidRPr="00FF1893" w:rsidRDefault="002E5F34" w:rsidP="00396D13">
            <w:pPr>
              <w:spacing w:after="0"/>
              <w:rPr>
                <w:rFonts w:ascii="Calibri" w:hAnsi="Calibri"/>
                <w:sz w:val="20"/>
                <w:szCs w:val="20"/>
              </w:rPr>
            </w:pPr>
            <w:r w:rsidRPr="00FF1893">
              <w:rPr>
                <w:rFonts w:ascii="Calibri" w:hAnsi="Calibri"/>
                <w:sz w:val="20"/>
                <w:szCs w:val="20"/>
              </w:rPr>
              <w:t>Cut flowers</w:t>
            </w:r>
            <w:r w:rsidRPr="00FF1893">
              <w:rPr>
                <w:rFonts w:ascii="Calibri" w:hAnsi="Calibri"/>
                <w:sz w:val="20"/>
                <w:szCs w:val="20"/>
                <w:vertAlign w:val="superscript"/>
              </w:rPr>
              <w:t>4, 5</w:t>
            </w:r>
          </w:p>
        </w:tc>
      </w:tr>
      <w:tr w:rsidR="00A67B2B" w14:paraId="5AA163E2" w14:textId="77777777" w:rsidTr="00FF1893">
        <w:trPr>
          <w:jc w:val="center"/>
        </w:trPr>
        <w:tc>
          <w:tcPr>
            <w:tcW w:w="1701" w:type="dxa"/>
            <w:tcBorders>
              <w:top w:val="nil"/>
              <w:left w:val="nil"/>
              <w:bottom w:val="nil"/>
              <w:right w:val="nil"/>
            </w:tcBorders>
          </w:tcPr>
          <w:p w14:paraId="75FD5537" w14:textId="33CCA5FA" w:rsidR="00A67B2B" w:rsidRPr="00FF1893" w:rsidRDefault="00A67B2B" w:rsidP="003E3A9D">
            <w:pPr>
              <w:spacing w:after="0"/>
              <w:rPr>
                <w:rFonts w:ascii="Calibri" w:hAnsi="Calibri"/>
                <w:sz w:val="20"/>
                <w:szCs w:val="20"/>
              </w:rPr>
            </w:pPr>
            <w:r w:rsidRPr="00FF1893">
              <w:rPr>
                <w:rFonts w:ascii="Calibri" w:hAnsi="Calibri"/>
                <w:sz w:val="20"/>
                <w:szCs w:val="20"/>
              </w:rPr>
              <w:t>Colombia</w:t>
            </w:r>
          </w:p>
        </w:tc>
        <w:tc>
          <w:tcPr>
            <w:tcW w:w="851" w:type="dxa"/>
            <w:tcBorders>
              <w:top w:val="nil"/>
              <w:left w:val="nil"/>
              <w:bottom w:val="nil"/>
              <w:right w:val="nil"/>
            </w:tcBorders>
          </w:tcPr>
          <w:p w14:paraId="12BB039D" w14:textId="14D7EF92" w:rsidR="00A67B2B" w:rsidRPr="00FF1893" w:rsidRDefault="00A67B2B" w:rsidP="003E3A9D">
            <w:pPr>
              <w:spacing w:after="0"/>
              <w:rPr>
                <w:rFonts w:ascii="Calibri" w:hAnsi="Calibri"/>
                <w:sz w:val="20"/>
                <w:szCs w:val="20"/>
              </w:rPr>
            </w:pPr>
            <w:r w:rsidRPr="00FF1893">
              <w:rPr>
                <w:rFonts w:ascii="Calibri" w:hAnsi="Calibri"/>
                <w:sz w:val="20"/>
                <w:szCs w:val="20"/>
              </w:rPr>
              <w:t>2008</w:t>
            </w:r>
          </w:p>
        </w:tc>
        <w:tc>
          <w:tcPr>
            <w:tcW w:w="6946" w:type="dxa"/>
            <w:tcBorders>
              <w:top w:val="nil"/>
              <w:left w:val="nil"/>
              <w:bottom w:val="nil"/>
              <w:right w:val="nil"/>
            </w:tcBorders>
          </w:tcPr>
          <w:p w14:paraId="2B864F6A" w14:textId="36D91442" w:rsidR="00A67B2B" w:rsidRPr="00FF1893" w:rsidRDefault="00A67B2B" w:rsidP="003E3A9D">
            <w:pPr>
              <w:spacing w:after="0"/>
              <w:rPr>
                <w:rFonts w:ascii="Calibri" w:hAnsi="Calibri"/>
                <w:sz w:val="20"/>
                <w:szCs w:val="20"/>
              </w:rPr>
            </w:pPr>
            <w:r w:rsidRPr="00FF1893">
              <w:rPr>
                <w:rFonts w:ascii="Calibri" w:hAnsi="Calibri"/>
                <w:sz w:val="20"/>
                <w:szCs w:val="20"/>
              </w:rPr>
              <w:t>Greenhouse cultivation for export</w:t>
            </w:r>
            <w:r w:rsidRPr="00FF1893">
              <w:rPr>
                <w:rFonts w:ascii="Calibri" w:hAnsi="Calibri"/>
                <w:sz w:val="20"/>
                <w:szCs w:val="20"/>
                <w:vertAlign w:val="superscript"/>
              </w:rPr>
              <w:t>1</w:t>
            </w:r>
          </w:p>
        </w:tc>
      </w:tr>
      <w:tr w:rsidR="00A67B2B" w14:paraId="0B6C4DE8" w14:textId="77777777" w:rsidTr="00FF1893">
        <w:trPr>
          <w:jc w:val="center"/>
        </w:trPr>
        <w:tc>
          <w:tcPr>
            <w:tcW w:w="1701" w:type="dxa"/>
            <w:tcBorders>
              <w:top w:val="nil"/>
              <w:left w:val="nil"/>
              <w:bottom w:val="nil"/>
              <w:right w:val="nil"/>
            </w:tcBorders>
          </w:tcPr>
          <w:p w14:paraId="7C81AECA" w14:textId="35B3E8E1" w:rsidR="00A67B2B" w:rsidRPr="00FF1893" w:rsidRDefault="00A67B2B" w:rsidP="003E3A9D">
            <w:pPr>
              <w:spacing w:after="0"/>
              <w:rPr>
                <w:rFonts w:ascii="Calibri" w:hAnsi="Calibri"/>
                <w:sz w:val="20"/>
                <w:szCs w:val="20"/>
              </w:rPr>
            </w:pPr>
            <w:r w:rsidRPr="00FF1893">
              <w:rPr>
                <w:rFonts w:ascii="Calibri" w:hAnsi="Calibri"/>
                <w:sz w:val="20"/>
                <w:szCs w:val="20"/>
              </w:rPr>
              <w:t>EU</w:t>
            </w:r>
            <w:r w:rsidR="00C22D76" w:rsidRPr="00FF1893">
              <w:rPr>
                <w:rFonts w:ascii="Calibri" w:hAnsi="Calibri"/>
                <w:sz w:val="20"/>
                <w:szCs w:val="20"/>
                <w:vertAlign w:val="superscript"/>
              </w:rPr>
              <w:t>2</w:t>
            </w:r>
          </w:p>
        </w:tc>
        <w:tc>
          <w:tcPr>
            <w:tcW w:w="851" w:type="dxa"/>
            <w:tcBorders>
              <w:top w:val="nil"/>
              <w:left w:val="nil"/>
              <w:bottom w:val="nil"/>
              <w:right w:val="nil"/>
            </w:tcBorders>
          </w:tcPr>
          <w:p w14:paraId="161B657C" w14:textId="16025756" w:rsidR="00A67B2B" w:rsidRPr="00FF1893" w:rsidRDefault="00A67B2B" w:rsidP="00EA7894">
            <w:pPr>
              <w:spacing w:after="0"/>
              <w:rPr>
                <w:rFonts w:ascii="Calibri" w:hAnsi="Calibri"/>
                <w:sz w:val="20"/>
                <w:szCs w:val="20"/>
              </w:rPr>
            </w:pPr>
            <w:r w:rsidRPr="00FF1893">
              <w:rPr>
                <w:rFonts w:ascii="Calibri" w:hAnsi="Calibri"/>
                <w:sz w:val="20"/>
                <w:szCs w:val="20"/>
              </w:rPr>
              <w:t>201</w:t>
            </w:r>
            <w:r w:rsidR="00EA7894" w:rsidRPr="00FF1893">
              <w:rPr>
                <w:rFonts w:ascii="Calibri" w:hAnsi="Calibri"/>
                <w:sz w:val="20"/>
                <w:szCs w:val="20"/>
              </w:rPr>
              <w:t>7</w:t>
            </w:r>
          </w:p>
        </w:tc>
        <w:tc>
          <w:tcPr>
            <w:tcW w:w="6946" w:type="dxa"/>
            <w:tcBorders>
              <w:top w:val="nil"/>
              <w:left w:val="nil"/>
              <w:bottom w:val="nil"/>
              <w:right w:val="nil"/>
            </w:tcBorders>
          </w:tcPr>
          <w:p w14:paraId="34110151" w14:textId="61337EE9" w:rsidR="00A67B2B" w:rsidRPr="00FF1893" w:rsidRDefault="00A67B2B" w:rsidP="003E3A9D">
            <w:pPr>
              <w:spacing w:after="0"/>
              <w:rPr>
                <w:rFonts w:ascii="Calibri" w:hAnsi="Calibri"/>
                <w:sz w:val="20"/>
                <w:szCs w:val="20"/>
              </w:rPr>
            </w:pPr>
            <w:r w:rsidRPr="00FF1893">
              <w:rPr>
                <w:rFonts w:ascii="Calibri" w:hAnsi="Calibri"/>
                <w:sz w:val="20"/>
                <w:szCs w:val="20"/>
              </w:rPr>
              <w:t>Import, not for use as food or feed or for cultivation; processing, import/use with conditions</w:t>
            </w:r>
          </w:p>
        </w:tc>
      </w:tr>
      <w:tr w:rsidR="00C22D76" w14:paraId="3B52A304" w14:textId="77777777" w:rsidTr="00FF1893">
        <w:trPr>
          <w:jc w:val="center"/>
        </w:trPr>
        <w:tc>
          <w:tcPr>
            <w:tcW w:w="1701" w:type="dxa"/>
            <w:tcBorders>
              <w:top w:val="nil"/>
              <w:left w:val="nil"/>
              <w:bottom w:val="nil"/>
              <w:right w:val="nil"/>
            </w:tcBorders>
          </w:tcPr>
          <w:p w14:paraId="2BA6038B" w14:textId="37DC96B6" w:rsidR="00C22D76" w:rsidRPr="00FF1893" w:rsidRDefault="00C22D76" w:rsidP="003E3A9D">
            <w:pPr>
              <w:spacing w:after="0"/>
              <w:rPr>
                <w:rFonts w:ascii="Calibri" w:hAnsi="Calibri"/>
                <w:sz w:val="20"/>
                <w:szCs w:val="20"/>
              </w:rPr>
            </w:pPr>
            <w:r w:rsidRPr="00FF1893">
              <w:rPr>
                <w:rFonts w:ascii="Calibri" w:hAnsi="Calibri"/>
                <w:sz w:val="20"/>
                <w:szCs w:val="20"/>
              </w:rPr>
              <w:t>Japan</w:t>
            </w:r>
          </w:p>
        </w:tc>
        <w:tc>
          <w:tcPr>
            <w:tcW w:w="851" w:type="dxa"/>
            <w:tcBorders>
              <w:top w:val="nil"/>
              <w:left w:val="nil"/>
              <w:bottom w:val="nil"/>
              <w:right w:val="nil"/>
            </w:tcBorders>
          </w:tcPr>
          <w:p w14:paraId="1AE2B527" w14:textId="248E915F" w:rsidR="00C22D76" w:rsidRPr="00FF1893" w:rsidRDefault="00C22D76" w:rsidP="003E3A9D">
            <w:pPr>
              <w:spacing w:after="0"/>
              <w:rPr>
                <w:rFonts w:ascii="Calibri" w:hAnsi="Calibri"/>
                <w:sz w:val="20"/>
                <w:szCs w:val="20"/>
              </w:rPr>
            </w:pPr>
            <w:r w:rsidRPr="00FF1893">
              <w:rPr>
                <w:rFonts w:ascii="Calibri" w:hAnsi="Calibri"/>
                <w:sz w:val="20"/>
                <w:szCs w:val="20"/>
              </w:rPr>
              <w:t>2013</w:t>
            </w:r>
          </w:p>
        </w:tc>
        <w:tc>
          <w:tcPr>
            <w:tcW w:w="6946" w:type="dxa"/>
            <w:tcBorders>
              <w:top w:val="nil"/>
              <w:left w:val="nil"/>
              <w:bottom w:val="nil"/>
              <w:right w:val="nil"/>
            </w:tcBorders>
          </w:tcPr>
          <w:p w14:paraId="064C61DA" w14:textId="1486FA97" w:rsidR="00C22D76" w:rsidRPr="00FF1893" w:rsidRDefault="00C22D76" w:rsidP="003E3A9D">
            <w:pPr>
              <w:spacing w:after="0"/>
              <w:rPr>
                <w:rFonts w:ascii="Calibri" w:hAnsi="Calibri"/>
                <w:sz w:val="20"/>
                <w:szCs w:val="20"/>
              </w:rPr>
            </w:pPr>
            <w:r w:rsidRPr="00FF1893">
              <w:rPr>
                <w:rFonts w:ascii="Calibri" w:hAnsi="Calibri"/>
                <w:sz w:val="20"/>
                <w:szCs w:val="20"/>
              </w:rPr>
              <w:t>Cultivation; Import, use without conditions</w:t>
            </w:r>
            <w:r w:rsidRPr="00FF1893">
              <w:rPr>
                <w:rFonts w:ascii="Calibri" w:hAnsi="Calibri"/>
                <w:sz w:val="20"/>
                <w:szCs w:val="20"/>
                <w:vertAlign w:val="superscript"/>
              </w:rPr>
              <w:t>1</w:t>
            </w:r>
          </w:p>
        </w:tc>
      </w:tr>
      <w:tr w:rsidR="00C22D76" w14:paraId="407CEC27" w14:textId="77777777" w:rsidTr="00FF1893">
        <w:trPr>
          <w:jc w:val="center"/>
        </w:trPr>
        <w:tc>
          <w:tcPr>
            <w:tcW w:w="1701" w:type="dxa"/>
            <w:tcBorders>
              <w:top w:val="nil"/>
              <w:left w:val="nil"/>
              <w:bottom w:val="nil"/>
              <w:right w:val="nil"/>
            </w:tcBorders>
          </w:tcPr>
          <w:p w14:paraId="6C449A7B" w14:textId="47BCF927" w:rsidR="00C22D76" w:rsidRPr="00FF1893" w:rsidRDefault="00C22D76" w:rsidP="003E3A9D">
            <w:pPr>
              <w:spacing w:after="0"/>
              <w:rPr>
                <w:rFonts w:ascii="Calibri" w:hAnsi="Calibri"/>
                <w:sz w:val="20"/>
                <w:szCs w:val="20"/>
              </w:rPr>
            </w:pPr>
            <w:r w:rsidRPr="00FF1893">
              <w:rPr>
                <w:rFonts w:ascii="Calibri" w:hAnsi="Calibri"/>
                <w:sz w:val="20"/>
                <w:szCs w:val="20"/>
              </w:rPr>
              <w:t>Malaysia</w:t>
            </w:r>
          </w:p>
        </w:tc>
        <w:tc>
          <w:tcPr>
            <w:tcW w:w="851" w:type="dxa"/>
            <w:tcBorders>
              <w:top w:val="nil"/>
              <w:left w:val="nil"/>
              <w:bottom w:val="nil"/>
              <w:right w:val="nil"/>
            </w:tcBorders>
          </w:tcPr>
          <w:p w14:paraId="1EE74C35" w14:textId="37AF3099" w:rsidR="00C22D76" w:rsidRPr="00FF1893" w:rsidRDefault="00C22D76" w:rsidP="003E3A9D">
            <w:pPr>
              <w:spacing w:after="0"/>
              <w:rPr>
                <w:rFonts w:ascii="Calibri" w:hAnsi="Calibri"/>
                <w:sz w:val="20"/>
                <w:szCs w:val="20"/>
              </w:rPr>
            </w:pPr>
            <w:r w:rsidRPr="00FF1893">
              <w:rPr>
                <w:rFonts w:ascii="Calibri" w:hAnsi="Calibri"/>
                <w:sz w:val="20"/>
                <w:szCs w:val="20"/>
              </w:rPr>
              <w:t>2012</w:t>
            </w:r>
          </w:p>
        </w:tc>
        <w:tc>
          <w:tcPr>
            <w:tcW w:w="6946" w:type="dxa"/>
            <w:tcBorders>
              <w:top w:val="nil"/>
              <w:left w:val="nil"/>
              <w:bottom w:val="nil"/>
              <w:right w:val="nil"/>
            </w:tcBorders>
          </w:tcPr>
          <w:p w14:paraId="2A6359E8" w14:textId="56E838D8" w:rsidR="00C22D76" w:rsidRPr="00FF1893" w:rsidRDefault="00C22D76" w:rsidP="003E3A9D">
            <w:pPr>
              <w:spacing w:after="0"/>
              <w:rPr>
                <w:rFonts w:ascii="Calibri" w:hAnsi="Calibri"/>
                <w:sz w:val="20"/>
                <w:szCs w:val="20"/>
              </w:rPr>
            </w:pPr>
            <w:r w:rsidRPr="00FF1893">
              <w:rPr>
                <w:rFonts w:ascii="Calibri" w:hAnsi="Calibri"/>
                <w:sz w:val="20"/>
                <w:szCs w:val="20"/>
              </w:rPr>
              <w:t>Ornamental purposes, not for planting</w:t>
            </w:r>
            <w:r w:rsidRPr="00FF1893">
              <w:rPr>
                <w:rFonts w:ascii="Calibri" w:hAnsi="Calibri"/>
                <w:sz w:val="20"/>
                <w:szCs w:val="20"/>
                <w:vertAlign w:val="superscript"/>
              </w:rPr>
              <w:t>1</w:t>
            </w:r>
          </w:p>
        </w:tc>
      </w:tr>
      <w:tr w:rsidR="002E5F34" w14:paraId="36E11B2B" w14:textId="77777777" w:rsidTr="00FF1893">
        <w:trPr>
          <w:jc w:val="center"/>
        </w:trPr>
        <w:tc>
          <w:tcPr>
            <w:tcW w:w="1701" w:type="dxa"/>
            <w:tcBorders>
              <w:top w:val="nil"/>
              <w:left w:val="nil"/>
              <w:bottom w:val="nil"/>
              <w:right w:val="nil"/>
            </w:tcBorders>
          </w:tcPr>
          <w:p w14:paraId="3B029285" w14:textId="77777777" w:rsidR="002E5F34" w:rsidRPr="00FF1893" w:rsidRDefault="002E5F34" w:rsidP="00396D13">
            <w:pPr>
              <w:spacing w:after="0"/>
              <w:rPr>
                <w:rFonts w:ascii="Calibri" w:hAnsi="Calibri"/>
                <w:sz w:val="20"/>
                <w:szCs w:val="20"/>
              </w:rPr>
            </w:pPr>
            <w:r w:rsidRPr="00FF1893">
              <w:rPr>
                <w:rFonts w:ascii="Calibri" w:hAnsi="Calibri"/>
                <w:sz w:val="20"/>
                <w:szCs w:val="20"/>
              </w:rPr>
              <w:t>Singapore</w:t>
            </w:r>
          </w:p>
        </w:tc>
        <w:tc>
          <w:tcPr>
            <w:tcW w:w="851" w:type="dxa"/>
            <w:tcBorders>
              <w:top w:val="nil"/>
              <w:left w:val="nil"/>
              <w:bottom w:val="nil"/>
              <w:right w:val="nil"/>
            </w:tcBorders>
          </w:tcPr>
          <w:p w14:paraId="6CBBB8FA" w14:textId="77777777" w:rsidR="002E5F34" w:rsidRPr="00FF1893" w:rsidRDefault="002E5F34" w:rsidP="00396D13">
            <w:pPr>
              <w:spacing w:after="0"/>
              <w:rPr>
                <w:rFonts w:ascii="Calibri" w:hAnsi="Calibri"/>
                <w:sz w:val="20"/>
                <w:szCs w:val="20"/>
              </w:rPr>
            </w:pPr>
            <w:r w:rsidRPr="00FF1893">
              <w:rPr>
                <w:rFonts w:ascii="Calibri" w:hAnsi="Calibri"/>
                <w:sz w:val="20"/>
                <w:szCs w:val="20"/>
              </w:rPr>
              <w:t>2013</w:t>
            </w:r>
          </w:p>
        </w:tc>
        <w:tc>
          <w:tcPr>
            <w:tcW w:w="6946" w:type="dxa"/>
            <w:tcBorders>
              <w:top w:val="nil"/>
              <w:left w:val="nil"/>
              <w:bottom w:val="nil"/>
              <w:right w:val="nil"/>
            </w:tcBorders>
          </w:tcPr>
          <w:p w14:paraId="78B445A7" w14:textId="77777777" w:rsidR="002E5F34" w:rsidRPr="00FF1893" w:rsidRDefault="002E5F34" w:rsidP="00396D13">
            <w:pPr>
              <w:spacing w:after="0"/>
              <w:rPr>
                <w:rFonts w:ascii="Calibri" w:hAnsi="Calibri"/>
                <w:sz w:val="20"/>
                <w:szCs w:val="20"/>
              </w:rPr>
            </w:pPr>
            <w:r w:rsidRPr="00FF1893">
              <w:rPr>
                <w:rFonts w:ascii="Calibri" w:hAnsi="Calibri"/>
                <w:sz w:val="20"/>
                <w:szCs w:val="20"/>
              </w:rPr>
              <w:t>Application under review</w:t>
            </w:r>
            <w:r w:rsidRPr="00FF1893">
              <w:rPr>
                <w:rFonts w:ascii="Calibri" w:hAnsi="Calibri"/>
                <w:sz w:val="20"/>
                <w:szCs w:val="20"/>
                <w:vertAlign w:val="superscript"/>
              </w:rPr>
              <w:t>4</w:t>
            </w:r>
          </w:p>
        </w:tc>
      </w:tr>
      <w:tr w:rsidR="00C22D76" w14:paraId="6535F96E" w14:textId="77777777" w:rsidTr="00FF1893">
        <w:trPr>
          <w:jc w:val="center"/>
        </w:trPr>
        <w:tc>
          <w:tcPr>
            <w:tcW w:w="1701" w:type="dxa"/>
            <w:tcBorders>
              <w:top w:val="nil"/>
              <w:left w:val="nil"/>
              <w:bottom w:val="single" w:sz="4" w:space="0" w:color="auto"/>
              <w:right w:val="nil"/>
            </w:tcBorders>
          </w:tcPr>
          <w:p w14:paraId="3364634C" w14:textId="4ECC99FA" w:rsidR="00C22D76" w:rsidRPr="00FF1893" w:rsidRDefault="00C22D76" w:rsidP="003E3A9D">
            <w:pPr>
              <w:spacing w:after="0"/>
              <w:rPr>
                <w:rFonts w:ascii="Calibri" w:hAnsi="Calibri"/>
                <w:sz w:val="20"/>
                <w:szCs w:val="20"/>
              </w:rPr>
            </w:pPr>
            <w:r w:rsidRPr="00FF1893">
              <w:rPr>
                <w:rFonts w:ascii="Calibri" w:hAnsi="Calibri"/>
                <w:sz w:val="20"/>
                <w:szCs w:val="20"/>
              </w:rPr>
              <w:t>USA</w:t>
            </w:r>
          </w:p>
        </w:tc>
        <w:tc>
          <w:tcPr>
            <w:tcW w:w="851" w:type="dxa"/>
            <w:tcBorders>
              <w:top w:val="nil"/>
              <w:left w:val="nil"/>
              <w:bottom w:val="single" w:sz="4" w:space="0" w:color="auto"/>
              <w:right w:val="nil"/>
            </w:tcBorders>
          </w:tcPr>
          <w:p w14:paraId="2D423653" w14:textId="1A3BF493" w:rsidR="00C22D76" w:rsidRPr="00FF1893" w:rsidRDefault="00C22D76" w:rsidP="003E3A9D">
            <w:pPr>
              <w:spacing w:after="0"/>
              <w:rPr>
                <w:rFonts w:ascii="Calibri" w:hAnsi="Calibri"/>
                <w:sz w:val="20"/>
                <w:szCs w:val="20"/>
              </w:rPr>
            </w:pPr>
            <w:r w:rsidRPr="00FF1893">
              <w:rPr>
                <w:rFonts w:ascii="Calibri" w:hAnsi="Calibri"/>
                <w:sz w:val="20"/>
                <w:szCs w:val="20"/>
              </w:rPr>
              <w:t>1997</w:t>
            </w:r>
          </w:p>
        </w:tc>
        <w:tc>
          <w:tcPr>
            <w:tcW w:w="6946" w:type="dxa"/>
            <w:tcBorders>
              <w:top w:val="nil"/>
              <w:left w:val="nil"/>
              <w:bottom w:val="single" w:sz="4" w:space="0" w:color="auto"/>
              <w:right w:val="nil"/>
            </w:tcBorders>
          </w:tcPr>
          <w:p w14:paraId="602ACE37" w14:textId="09225C56" w:rsidR="00C22D76" w:rsidRPr="00FF1893" w:rsidRDefault="00C22D76" w:rsidP="003E3A9D">
            <w:pPr>
              <w:spacing w:after="0"/>
              <w:rPr>
                <w:rFonts w:ascii="Calibri" w:hAnsi="Calibri"/>
                <w:sz w:val="20"/>
                <w:szCs w:val="20"/>
              </w:rPr>
            </w:pPr>
            <w:r w:rsidRPr="00FF1893">
              <w:rPr>
                <w:rFonts w:ascii="Calibri" w:hAnsi="Calibri"/>
                <w:sz w:val="20"/>
                <w:szCs w:val="20"/>
              </w:rPr>
              <w:t>Cut flowers</w:t>
            </w:r>
            <w:r w:rsidRPr="00FF1893">
              <w:rPr>
                <w:rFonts w:ascii="Calibri" w:hAnsi="Calibri"/>
                <w:sz w:val="20"/>
                <w:szCs w:val="20"/>
                <w:vertAlign w:val="superscript"/>
              </w:rPr>
              <w:t>4, 5</w:t>
            </w:r>
          </w:p>
        </w:tc>
      </w:tr>
    </w:tbl>
    <w:p w14:paraId="3C5B0F54" w14:textId="12866ACA" w:rsidR="006204C6" w:rsidRPr="000D3808" w:rsidRDefault="006204C6" w:rsidP="008968D5">
      <w:pPr>
        <w:spacing w:after="0"/>
        <w:rPr>
          <w:color w:val="000000" w:themeColor="text1"/>
          <w:sz w:val="20"/>
        </w:rPr>
      </w:pPr>
      <w:r w:rsidRPr="008968D5">
        <w:rPr>
          <w:sz w:val="20"/>
          <w:vertAlign w:val="superscript"/>
        </w:rPr>
        <w:t>1</w:t>
      </w:r>
      <w:r w:rsidRPr="008968D5">
        <w:rPr>
          <w:sz w:val="20"/>
        </w:rPr>
        <w:t xml:space="preserve"> </w:t>
      </w:r>
      <w:r w:rsidR="000C5FB6">
        <w:rPr>
          <w:sz w:val="20"/>
        </w:rPr>
        <w:t xml:space="preserve">Information from GMO databases: </w:t>
      </w:r>
      <w:hyperlink r:id="rId18" w:history="1">
        <w:r w:rsidRPr="000D3808">
          <w:rPr>
            <w:rStyle w:val="Hyperlink"/>
            <w:color w:val="000000" w:themeColor="text1"/>
            <w:sz w:val="20"/>
          </w:rPr>
          <w:t>ISAAA GMO database</w:t>
        </w:r>
      </w:hyperlink>
      <w:r w:rsidR="000C5FB6" w:rsidRPr="000D3808">
        <w:rPr>
          <w:color w:val="000000" w:themeColor="text1"/>
          <w:sz w:val="20"/>
        </w:rPr>
        <w:t xml:space="preserve">; </w:t>
      </w:r>
      <w:hyperlink r:id="rId19" w:history="1">
        <w:r w:rsidR="00ED55FC">
          <w:rPr>
            <w:rStyle w:val="Hyperlink"/>
            <w:color w:val="000000" w:themeColor="text1"/>
            <w:sz w:val="20"/>
          </w:rPr>
          <w:t>Biosafety Clearing House LMO database</w:t>
        </w:r>
      </w:hyperlink>
      <w:r w:rsidR="000C5FB6" w:rsidRPr="000D3808">
        <w:rPr>
          <w:color w:val="000000" w:themeColor="text1"/>
          <w:sz w:val="20"/>
        </w:rPr>
        <w:t xml:space="preserve">; </w:t>
      </w:r>
      <w:hyperlink r:id="rId20" w:history="1">
        <w:r w:rsidR="000C5FB6" w:rsidRPr="000D3808">
          <w:rPr>
            <w:rStyle w:val="Hyperlink"/>
            <w:color w:val="000000" w:themeColor="text1"/>
            <w:sz w:val="20"/>
          </w:rPr>
          <w:t>EU GMO Register</w:t>
        </w:r>
      </w:hyperlink>
      <w:r w:rsidR="000C5FB6" w:rsidRPr="000D3808">
        <w:rPr>
          <w:color w:val="000000" w:themeColor="text1"/>
          <w:sz w:val="20"/>
        </w:rPr>
        <w:t xml:space="preserve">; </w:t>
      </w:r>
      <w:hyperlink r:id="rId21" w:history="1">
        <w:r w:rsidR="000C5FB6" w:rsidRPr="000D3808">
          <w:rPr>
            <w:rStyle w:val="Hyperlink"/>
            <w:color w:val="000000" w:themeColor="text1"/>
            <w:sz w:val="20"/>
          </w:rPr>
          <w:t>Biotrack Product Database</w:t>
        </w:r>
      </w:hyperlink>
    </w:p>
    <w:p w14:paraId="35C0A834" w14:textId="0802B282" w:rsidR="00C22D76" w:rsidRPr="000D3808" w:rsidRDefault="00C22D76" w:rsidP="008968D5">
      <w:pPr>
        <w:spacing w:after="0"/>
        <w:rPr>
          <w:color w:val="000000" w:themeColor="text1"/>
          <w:sz w:val="20"/>
        </w:rPr>
      </w:pPr>
      <w:r w:rsidRPr="000D3808">
        <w:rPr>
          <w:color w:val="000000" w:themeColor="text1"/>
          <w:sz w:val="20"/>
          <w:vertAlign w:val="superscript"/>
        </w:rPr>
        <w:t>2</w:t>
      </w:r>
      <w:r w:rsidRPr="000D3808">
        <w:rPr>
          <w:color w:val="000000" w:themeColor="text1"/>
          <w:sz w:val="20"/>
        </w:rPr>
        <w:t xml:space="preserve"> Documentation provided by Netherlands, decision for EU</w:t>
      </w:r>
    </w:p>
    <w:p w14:paraId="01BFF07C" w14:textId="20D853EF" w:rsidR="00C22D76" w:rsidRPr="008968D5" w:rsidRDefault="00C22D76" w:rsidP="00C22D76">
      <w:pPr>
        <w:spacing w:after="0"/>
        <w:rPr>
          <w:sz w:val="20"/>
          <w:szCs w:val="20"/>
        </w:rPr>
      </w:pPr>
      <w:r w:rsidRPr="000D3808">
        <w:rPr>
          <w:color w:val="000000" w:themeColor="text1"/>
          <w:sz w:val="20"/>
          <w:szCs w:val="20"/>
          <w:vertAlign w:val="superscript"/>
        </w:rPr>
        <w:t>3</w:t>
      </w:r>
      <w:r w:rsidRPr="000D3808">
        <w:rPr>
          <w:color w:val="000000" w:themeColor="text1"/>
          <w:sz w:val="20"/>
          <w:szCs w:val="20"/>
        </w:rPr>
        <w:t xml:space="preserve"> Ten year approval, </w:t>
      </w:r>
      <w:hyperlink r:id="rId22" w:history="1">
        <w:r w:rsidR="00DE58B7" w:rsidRPr="000D3808">
          <w:rPr>
            <w:rStyle w:val="Hyperlink"/>
            <w:color w:val="000000" w:themeColor="text1"/>
            <w:sz w:val="20"/>
            <w:szCs w:val="20"/>
          </w:rPr>
          <w:t>renewed in 2019</w:t>
        </w:r>
      </w:hyperlink>
      <w:r w:rsidR="00325226" w:rsidRPr="000D3808">
        <w:rPr>
          <w:rStyle w:val="Hyperlink"/>
          <w:rFonts w:ascii="Calibri" w:hAnsi="Calibri" w:cs="Calibri"/>
          <w:color w:val="000000" w:themeColor="text1"/>
          <w:sz w:val="20"/>
          <w:szCs w:val="20"/>
          <w:u w:val="none"/>
        </w:rPr>
        <w:t xml:space="preserve"> </w:t>
      </w:r>
      <w:r w:rsidR="00325226" w:rsidRPr="00325226">
        <w:rPr>
          <w:rStyle w:val="Hyperlink"/>
          <w:rFonts w:ascii="Calibri" w:hAnsi="Calibri" w:cs="Calibri"/>
          <w:color w:val="auto"/>
          <w:sz w:val="20"/>
          <w:szCs w:val="20"/>
          <w:u w:val="none"/>
        </w:rPr>
        <w:t>(</w:t>
      </w:r>
      <w:r w:rsidR="00325226">
        <w:rPr>
          <w:rStyle w:val="Hyperlink"/>
          <w:rFonts w:ascii="Calibri" w:hAnsi="Calibri" w:cs="Calibri"/>
          <w:color w:val="auto"/>
          <w:sz w:val="20"/>
          <w:szCs w:val="20"/>
          <w:u w:val="none"/>
        </w:rPr>
        <w:t>d</w:t>
      </w:r>
      <w:r w:rsidR="00325226" w:rsidRPr="00325226">
        <w:rPr>
          <w:rStyle w:val="Hyperlink"/>
          <w:rFonts w:ascii="Calibri" w:hAnsi="Calibri" w:cs="Calibri"/>
          <w:color w:val="auto"/>
          <w:sz w:val="20"/>
          <w:szCs w:val="20"/>
          <w:u w:val="none"/>
        </w:rPr>
        <w:t>ocument in Dutch)</w:t>
      </w:r>
    </w:p>
    <w:p w14:paraId="1E4BFB5E" w14:textId="16BB2900" w:rsidR="006204C6" w:rsidRPr="008968D5" w:rsidRDefault="00C22D76" w:rsidP="008968D5">
      <w:pPr>
        <w:spacing w:after="0"/>
        <w:rPr>
          <w:sz w:val="20"/>
          <w:szCs w:val="20"/>
        </w:rPr>
      </w:pPr>
      <w:r>
        <w:rPr>
          <w:sz w:val="20"/>
          <w:szCs w:val="20"/>
          <w:vertAlign w:val="superscript"/>
        </w:rPr>
        <w:t>4</w:t>
      </w:r>
      <w:r w:rsidR="008968D5" w:rsidRPr="008968D5">
        <w:rPr>
          <w:sz w:val="20"/>
          <w:szCs w:val="20"/>
        </w:rPr>
        <w:t xml:space="preserve"> </w:t>
      </w:r>
      <w:r>
        <w:rPr>
          <w:sz w:val="20"/>
          <w:szCs w:val="20"/>
        </w:rPr>
        <w:t>Information provided by a</w:t>
      </w:r>
      <w:r w:rsidR="008968D5" w:rsidRPr="008968D5">
        <w:rPr>
          <w:sz w:val="20"/>
          <w:szCs w:val="20"/>
        </w:rPr>
        <w:t>pplicant</w:t>
      </w:r>
    </w:p>
    <w:p w14:paraId="4C2F5AA0" w14:textId="1BB561B4" w:rsidR="008968D5" w:rsidRDefault="00C22D76" w:rsidP="00F21C85">
      <w:pPr>
        <w:rPr>
          <w:sz w:val="20"/>
          <w:szCs w:val="20"/>
        </w:rPr>
      </w:pPr>
      <w:r>
        <w:rPr>
          <w:sz w:val="20"/>
          <w:szCs w:val="20"/>
          <w:vertAlign w:val="superscript"/>
        </w:rPr>
        <w:t>5</w:t>
      </w:r>
      <w:r w:rsidR="00F83BF1">
        <w:rPr>
          <w:sz w:val="20"/>
          <w:szCs w:val="20"/>
        </w:rPr>
        <w:t xml:space="preserve"> Exempt from regulation</w:t>
      </w:r>
    </w:p>
    <w:p w14:paraId="0B797A14" w14:textId="6513DA35" w:rsidR="002E1D2F" w:rsidRDefault="002E1D2F" w:rsidP="00923A59">
      <w:pPr>
        <w:pStyle w:val="RARMPPara"/>
      </w:pPr>
      <w:r>
        <w:t xml:space="preserve">Of these </w:t>
      </w:r>
      <w:r w:rsidR="00231501">
        <w:t>authorisations, two have occurred since the licence for DIR 134 was issued</w:t>
      </w:r>
      <w:r w:rsidR="00F21C85">
        <w:t>. These were authorisations for ‘placing on the market’ (import of cut flowers) of</w:t>
      </w:r>
      <w:r w:rsidR="00231501">
        <w:t xml:space="preserve"> </w:t>
      </w:r>
      <w:r w:rsidR="00F21C85">
        <w:t>Moonberry™</w:t>
      </w:r>
      <w:r w:rsidR="00231501">
        <w:t xml:space="preserve"> and </w:t>
      </w:r>
      <w:r w:rsidR="00F21C85">
        <w:t>Moonvelvet™</w:t>
      </w:r>
      <w:r w:rsidR="002E381D">
        <w:t xml:space="preserve"> </w:t>
      </w:r>
      <w:r w:rsidR="00F21C85">
        <w:t>in the EU. T</w:t>
      </w:r>
      <w:r w:rsidR="002E381D">
        <w:t>he authorisation for</w:t>
      </w:r>
      <w:r w:rsidR="00F21C85">
        <w:t xml:space="preserve"> ‘placing on the market’</w:t>
      </w:r>
      <w:r w:rsidR="002E381D">
        <w:t xml:space="preserve"> </w:t>
      </w:r>
      <w:r w:rsidR="00F21C85">
        <w:t>of Moonaqua™</w:t>
      </w:r>
      <w:r w:rsidR="002E381D">
        <w:t xml:space="preserve"> (originally granted in 2009 for ten years) </w:t>
      </w:r>
      <w:r w:rsidR="00F21C85">
        <w:t xml:space="preserve">in the EU </w:t>
      </w:r>
      <w:r w:rsidR="002E381D">
        <w:t>was renewed in 2019</w:t>
      </w:r>
      <w:r w:rsidR="00231501">
        <w:t>. In addition to these, authorisation</w:t>
      </w:r>
      <w:r w:rsidR="00A453B4">
        <w:t>s</w:t>
      </w:r>
      <w:r w:rsidR="00231501">
        <w:t xml:space="preserve"> for other GM carnation</w:t>
      </w:r>
      <w:r w:rsidR="002E381D">
        <w:t>s were granted (Moonvista™ in 2019) or renewed</w:t>
      </w:r>
      <w:r w:rsidR="00231501">
        <w:t xml:space="preserve"> </w:t>
      </w:r>
      <w:r w:rsidR="002E381D">
        <w:t>(</w:t>
      </w:r>
      <w:r w:rsidR="00231501">
        <w:t xml:space="preserve">Moonlite™ </w:t>
      </w:r>
      <w:r w:rsidR="002E381D">
        <w:t>in 2017) in</w:t>
      </w:r>
      <w:r w:rsidR="00231501">
        <w:t xml:space="preserve"> the EU for </w:t>
      </w:r>
      <w:r w:rsidR="00F21C85">
        <w:t>‘placing on the market</w:t>
      </w:r>
      <w:r w:rsidR="004E5B07">
        <w:t>’</w:t>
      </w:r>
      <w:r w:rsidR="002E381D">
        <w:t>.</w:t>
      </w:r>
      <w:r w:rsidR="00231501">
        <w:t xml:space="preserve"> </w:t>
      </w:r>
      <w:r w:rsidR="00D7388B">
        <w:t>Decision and consent documents for release onto the market in the EU can be found in the EU GMO database, “</w:t>
      </w:r>
      <w:hyperlink r:id="rId23" w:history="1">
        <w:r w:rsidR="00D7388B" w:rsidRPr="000D3808">
          <w:rPr>
            <w:rStyle w:val="Hyperlink"/>
            <w:color w:val="000000" w:themeColor="text1"/>
          </w:rPr>
          <w:t>Deliberate Release and Placing on the EU Market of GMOs - GMO Register</w:t>
        </w:r>
      </w:hyperlink>
      <w:r w:rsidR="00D7388B">
        <w:t>”.</w:t>
      </w:r>
    </w:p>
    <w:p w14:paraId="4938B1E5" w14:textId="77777777" w:rsidR="000B0D88" w:rsidRDefault="000B0D88" w:rsidP="00B1284D"/>
    <w:p w14:paraId="2AE4DE6B" w14:textId="3ED3694C" w:rsidR="000B0D88" w:rsidRDefault="001D1DE3" w:rsidP="000B0D88">
      <w:pPr>
        <w:pStyle w:val="Heading4"/>
      </w:pPr>
      <w:r>
        <w:t xml:space="preserve">Findings of the previous </w:t>
      </w:r>
      <w:r w:rsidR="000B0D88">
        <w:t>Risk Assessment</w:t>
      </w:r>
      <w:r>
        <w:t xml:space="preserve"> and Risk Management Plan</w:t>
      </w:r>
    </w:p>
    <w:p w14:paraId="3AE48CA7" w14:textId="78212712" w:rsidR="00507693" w:rsidRDefault="00507693" w:rsidP="00923A59">
      <w:pPr>
        <w:pStyle w:val="RARMPPara"/>
      </w:pPr>
      <w:r>
        <w:t xml:space="preserve">The RARMP for DIR 134 concluded that the commercial release of the three GM carnation varieties posed negligible risks to human health and safety and the environment and as such no specific risk treatment measures were imposed. </w:t>
      </w:r>
    </w:p>
    <w:p w14:paraId="4EF16BA6" w14:textId="2C08A35F" w:rsidR="002F475E" w:rsidRDefault="004E5B07" w:rsidP="00923A59">
      <w:pPr>
        <w:pStyle w:val="RARMPPara"/>
      </w:pPr>
      <w:r>
        <w:t xml:space="preserve">The RARMP for DIR 134 considered information on the inserted genes and the pathways in which they are involved, the proteins encoded by the genes, the anthocyanin composition, the stability of the transgenes, detailed molecular characterisation, morphology including vegetative and reproductive morphology of the GM carnations and compared these with non GM carnations. </w:t>
      </w:r>
      <w:r w:rsidR="002F475E">
        <w:t>Credible pathways to potential harm considered in the RARMP for DIR 134 included</w:t>
      </w:r>
      <w:r w:rsidR="00A453B4">
        <w:t>:</w:t>
      </w:r>
      <w:r w:rsidR="002F475E">
        <w:t xml:space="preserve"> exposure of people or other organisms through contact with</w:t>
      </w:r>
      <w:r w:rsidR="00A453B4">
        <w:t>,</w:t>
      </w:r>
      <w:r w:rsidR="002F475E">
        <w:t xml:space="preserve"> or ingestion of</w:t>
      </w:r>
      <w:r w:rsidR="00A453B4">
        <w:t>,</w:t>
      </w:r>
      <w:r w:rsidR="002F475E">
        <w:t xml:space="preserve"> GM carnation flowers</w:t>
      </w:r>
      <w:r w:rsidR="00A453B4">
        <w:t>;</w:t>
      </w:r>
      <w:r w:rsidR="002F475E">
        <w:t xml:space="preserve"> spread and persistence of GM plants or hybrid offspring leading to increased toxicity or allergenicity in people or increased toxicity in other desirable organisms</w:t>
      </w:r>
      <w:r w:rsidR="00A453B4">
        <w:t xml:space="preserve"> and;</w:t>
      </w:r>
      <w:r w:rsidR="002F475E">
        <w:t xml:space="preserve"> reduced establishment of desirable plants and reduced biodiversity.</w:t>
      </w:r>
    </w:p>
    <w:p w14:paraId="1EBBA8E2" w14:textId="0FE6C544" w:rsidR="002F475E" w:rsidRDefault="00FD1FE8" w:rsidP="00FD1FE8">
      <w:pPr>
        <w:pStyle w:val="RARMPPara"/>
      </w:pPr>
      <w:r>
        <w:t>The principal reasons for the conclusion of negligible risks were:</w:t>
      </w:r>
    </w:p>
    <w:p w14:paraId="204A96F5" w14:textId="3333770C" w:rsidR="002F475E" w:rsidRDefault="002F475E" w:rsidP="00A93450">
      <w:pPr>
        <w:pStyle w:val="ListParagraph"/>
        <w:numPr>
          <w:ilvl w:val="0"/>
          <w:numId w:val="1"/>
        </w:numPr>
        <w:ind w:left="284" w:hanging="284"/>
      </w:pPr>
      <w:r>
        <w:t xml:space="preserve">The GM carnations are not authorised for food or feed. Additionally, in the unlikely event of accidental consumption, the proteins encoded by the inserted genes are </w:t>
      </w:r>
      <w:r w:rsidRPr="00810007">
        <w:t xml:space="preserve">widely consumed by humans in </w:t>
      </w:r>
      <w:r>
        <w:t>a range of foods and beverages</w:t>
      </w:r>
      <w:r w:rsidRPr="00810007">
        <w:t xml:space="preserve"> and </w:t>
      </w:r>
      <w:r>
        <w:t xml:space="preserve">are </w:t>
      </w:r>
      <w:r w:rsidRPr="00810007">
        <w:t>not known to be toxic or allergenic</w:t>
      </w:r>
      <w:r>
        <w:t xml:space="preserve">. </w:t>
      </w:r>
      <w:r w:rsidR="00CA35C6">
        <w:t xml:space="preserve">Effects on other desirable organisms are unlikely due to minimal exposure as a result of the dealings. </w:t>
      </w:r>
      <w:r>
        <w:t xml:space="preserve">Adverse effects from siRNA intake are unlikely and </w:t>
      </w:r>
      <w:r w:rsidR="00921CAA">
        <w:t xml:space="preserve">could be expected to be </w:t>
      </w:r>
      <w:r>
        <w:t>transient.</w:t>
      </w:r>
    </w:p>
    <w:p w14:paraId="32CB7791" w14:textId="77777777" w:rsidR="002F475E" w:rsidRDefault="002F475E" w:rsidP="00A93450">
      <w:pPr>
        <w:pStyle w:val="ListParagraph"/>
        <w:numPr>
          <w:ilvl w:val="0"/>
          <w:numId w:val="1"/>
        </w:numPr>
        <w:ind w:left="284" w:hanging="284"/>
      </w:pPr>
      <w:r>
        <w:t xml:space="preserve">The GM carnations are unlikely to spread and persist in the environment as the result of a number of factors. </w:t>
      </w:r>
    </w:p>
    <w:p w14:paraId="6CEE715E" w14:textId="2E699F80" w:rsidR="002F475E" w:rsidRDefault="002F475E" w:rsidP="00A93450">
      <w:pPr>
        <w:pStyle w:val="ListParagraph"/>
        <w:numPr>
          <w:ilvl w:val="0"/>
          <w:numId w:val="3"/>
        </w:numPr>
        <w:ind w:left="567" w:hanging="283"/>
      </w:pPr>
      <w:r>
        <w:t xml:space="preserve">Due to the morphology of carnation flowers, the GM carnations are </w:t>
      </w:r>
      <w:r w:rsidR="00921CAA">
        <w:t xml:space="preserve">highly </w:t>
      </w:r>
      <w:r>
        <w:t xml:space="preserve">unlikely to release any pollen. Insect pollination is </w:t>
      </w:r>
      <w:r w:rsidR="0043053B">
        <w:t xml:space="preserve">highly </w:t>
      </w:r>
      <w:r>
        <w:t xml:space="preserve">unlikely as a result of both flower morphology that restricts insect access to pollen in the flower and because access to cut flowers by pollinators is unlikely. </w:t>
      </w:r>
    </w:p>
    <w:p w14:paraId="40071F5E" w14:textId="64ABDA5A" w:rsidR="002F475E" w:rsidRDefault="002F475E" w:rsidP="00A93450">
      <w:pPr>
        <w:pStyle w:val="ListParagraph"/>
        <w:numPr>
          <w:ilvl w:val="0"/>
          <w:numId w:val="3"/>
        </w:numPr>
        <w:ind w:left="567" w:hanging="283"/>
      </w:pPr>
      <w:r>
        <w:lastRenderedPageBreak/>
        <w:t xml:space="preserve">Carnations rarely set large numbers of seeds and the time taken to produce seed is greater than the vase life of cut carnation flowers, thus it is </w:t>
      </w:r>
      <w:r w:rsidR="0043053B">
        <w:t xml:space="preserve">highly </w:t>
      </w:r>
      <w:r>
        <w:t xml:space="preserve">unlikely that cut flowers would set viable seed before being discarded. </w:t>
      </w:r>
    </w:p>
    <w:p w14:paraId="6CA76710" w14:textId="77777777" w:rsidR="002F475E" w:rsidRDefault="002F475E" w:rsidP="00A93450">
      <w:pPr>
        <w:pStyle w:val="ListParagraph"/>
        <w:numPr>
          <w:ilvl w:val="0"/>
          <w:numId w:val="3"/>
        </w:numPr>
        <w:ind w:left="567" w:hanging="283"/>
      </w:pPr>
      <w:r>
        <w:t xml:space="preserve">Propagation of carnations through cuttings is not authorised under DIR 134 and requires specific conditions for successful propagation even if it were attempted. </w:t>
      </w:r>
    </w:p>
    <w:p w14:paraId="688DF8F6" w14:textId="5B0868C0" w:rsidR="002F475E" w:rsidRDefault="002F475E" w:rsidP="00A93450">
      <w:pPr>
        <w:pStyle w:val="ListParagraph"/>
        <w:numPr>
          <w:ilvl w:val="0"/>
          <w:numId w:val="3"/>
        </w:numPr>
        <w:ind w:left="567" w:hanging="283"/>
      </w:pPr>
      <w:r>
        <w:t>In addition, the cut flowers are devitalised before import.</w:t>
      </w:r>
    </w:p>
    <w:p w14:paraId="1BFB8CEA" w14:textId="61F41862" w:rsidR="004E5B07" w:rsidRPr="000B0D88" w:rsidRDefault="001B483D" w:rsidP="000B0D88">
      <w:pPr>
        <w:pStyle w:val="Heading2"/>
      </w:pPr>
      <w:r w:rsidRPr="000B0D88">
        <w:t>Risk assessment: e</w:t>
      </w:r>
      <w:r w:rsidR="004E5B07" w:rsidRPr="000B0D88">
        <w:t xml:space="preserve">valuation of new information </w:t>
      </w:r>
    </w:p>
    <w:p w14:paraId="6F78961B" w14:textId="193C5DCC" w:rsidR="004E5B07" w:rsidRPr="004E5B07" w:rsidRDefault="004E5B07" w:rsidP="00331C09">
      <w:pPr>
        <w:pStyle w:val="Heading3"/>
      </w:pPr>
      <w:r w:rsidRPr="004E5B07">
        <w:t>Information received as part of DIR 134 licence conditions</w:t>
      </w:r>
    </w:p>
    <w:p w14:paraId="5CEC445D" w14:textId="194AF314" w:rsidR="002F475E" w:rsidRDefault="00BC39EF" w:rsidP="00BC39EF">
      <w:pPr>
        <w:pStyle w:val="RARMPPara"/>
      </w:pPr>
      <w:r>
        <w:t>DIR licence conditions require reporting of any i</w:t>
      </w:r>
      <w:r w:rsidRPr="00BC39EF">
        <w:t xml:space="preserve">nformation about any adverse impacts, unintended effects, or new information relating </w:t>
      </w:r>
      <w:r>
        <w:t>to risks</w:t>
      </w:r>
      <w:r w:rsidRPr="00BC39EF">
        <w:t xml:space="preserve"> to human health and safety or the environment caused by the GMOs or material from the GMOs</w:t>
      </w:r>
      <w:r>
        <w:t>.</w:t>
      </w:r>
      <w:r w:rsidRPr="00BC39EF">
        <w:t xml:space="preserve"> </w:t>
      </w:r>
      <w:r w:rsidRPr="00B17689">
        <w:t>Annual reports for DIR 134 do not report any adverse or unintended effects.</w:t>
      </w:r>
    </w:p>
    <w:p w14:paraId="64C87BF6" w14:textId="666B0FAF" w:rsidR="00856B48" w:rsidRDefault="00D401D7" w:rsidP="00923A59">
      <w:pPr>
        <w:pStyle w:val="RARMPPara"/>
      </w:pPr>
      <w:r>
        <w:t xml:space="preserve">Since approving </w:t>
      </w:r>
      <w:r w:rsidR="00507693">
        <w:t>licence</w:t>
      </w:r>
      <w:r>
        <w:t xml:space="preserve"> DIR 134</w:t>
      </w:r>
      <w:r w:rsidR="00507693">
        <w:t>, the</w:t>
      </w:r>
      <w:r w:rsidR="00856B48" w:rsidRPr="006A19C1">
        <w:t xml:space="preserve"> Regulator has not received any </w:t>
      </w:r>
      <w:r w:rsidR="002F475E">
        <w:t xml:space="preserve">other </w:t>
      </w:r>
      <w:r w:rsidR="00856B48" w:rsidRPr="006A19C1">
        <w:t xml:space="preserve">reports of adverse impacts, unintended effects, or new </w:t>
      </w:r>
      <w:r w:rsidR="00507693">
        <w:t>risks posed by the GM carnations.</w:t>
      </w:r>
    </w:p>
    <w:p w14:paraId="748258B6" w14:textId="2C8A9E6B" w:rsidR="00A51FD1" w:rsidRPr="00A51FD1" w:rsidRDefault="00A51FD1" w:rsidP="00331C09">
      <w:pPr>
        <w:pStyle w:val="Heading3"/>
      </w:pPr>
      <w:r w:rsidRPr="00A51FD1">
        <w:t>Information supplied by IFD</w:t>
      </w:r>
    </w:p>
    <w:p w14:paraId="640BAD08" w14:textId="65EA27E1" w:rsidR="00D401D7" w:rsidRPr="00D401D7" w:rsidRDefault="00D401D7" w:rsidP="00923B33">
      <w:pPr>
        <w:pStyle w:val="Heading4"/>
      </w:pPr>
      <w:r w:rsidRPr="00D401D7">
        <w:t>Import volumes for GM carnations since 2015</w:t>
      </w:r>
    </w:p>
    <w:p w14:paraId="5D054D80" w14:textId="2E923426" w:rsidR="007549C8" w:rsidRPr="007E04F4" w:rsidRDefault="007549C8" w:rsidP="00CD1714">
      <w:pPr>
        <w:pStyle w:val="RARMPPara"/>
        <w:numPr>
          <w:ilvl w:val="0"/>
          <w:numId w:val="0"/>
        </w:numPr>
      </w:pPr>
      <w:r>
        <w:t>Since the licence for DIR 134 was issued in 2015</w:t>
      </w:r>
      <w:r w:rsidR="00895B5D">
        <w:t>,</w:t>
      </w:r>
      <w:r>
        <w:t xml:space="preserve"> </w:t>
      </w:r>
      <w:r w:rsidR="00A52756">
        <w:t xml:space="preserve">a total of </w:t>
      </w:r>
      <w:r w:rsidR="00033C38">
        <w:t>630</w:t>
      </w:r>
      <w:r>
        <w:t>,000 stems of the three GM carnations authorised under that licence</w:t>
      </w:r>
      <w:r w:rsidR="00033C38">
        <w:t xml:space="preserve"> </w:t>
      </w:r>
      <w:r>
        <w:t>have been imported into Australia from Colombia and Ecuador. Over the same period</w:t>
      </w:r>
      <w:r w:rsidR="00895B5D">
        <w:t>,</w:t>
      </w:r>
      <w:r>
        <w:t xml:space="preserve"> </w:t>
      </w:r>
      <w:r w:rsidR="00A52756">
        <w:t xml:space="preserve">a total of </w:t>
      </w:r>
      <w:r w:rsidR="009814DB">
        <w:t xml:space="preserve">approximately </w:t>
      </w:r>
      <w:r>
        <w:t>2,</w:t>
      </w:r>
      <w:r w:rsidR="009814DB">
        <w:t>500</w:t>
      </w:r>
      <w:r>
        <w:t xml:space="preserve">,000 </w:t>
      </w:r>
      <w:r w:rsidR="0051163F">
        <w:t>of the</w:t>
      </w:r>
      <w:r w:rsidR="009814DB">
        <w:t xml:space="preserve"> </w:t>
      </w:r>
      <w:r>
        <w:t xml:space="preserve">GM carnations </w:t>
      </w:r>
      <w:r w:rsidR="009814DB">
        <w:t xml:space="preserve">currently included on the GMO Register </w:t>
      </w:r>
      <w:r>
        <w:t xml:space="preserve">have also been imported </w:t>
      </w:r>
      <w:r w:rsidR="00A52756">
        <w:t>into</w:t>
      </w:r>
      <w:r>
        <w:t xml:space="preserve"> Australia.</w:t>
      </w:r>
    </w:p>
    <w:p w14:paraId="5A3F7ACF" w14:textId="70AB1FF5" w:rsidR="00D401D7" w:rsidRPr="000B0D88" w:rsidRDefault="00D401D7" w:rsidP="00331C09">
      <w:pPr>
        <w:pStyle w:val="Heading4"/>
      </w:pPr>
      <w:r w:rsidRPr="000B0D88">
        <w:t>Authorisations for GM carnations</w:t>
      </w:r>
    </w:p>
    <w:p w14:paraId="7DB01BE4" w14:textId="36AFF374" w:rsidR="00507693" w:rsidRDefault="00DF57A0" w:rsidP="00923A59">
      <w:pPr>
        <w:pStyle w:val="RARMPPara"/>
      </w:pPr>
      <w:r>
        <w:t xml:space="preserve">Since the issue of </w:t>
      </w:r>
      <w:r w:rsidR="00416747">
        <w:t>DIR 134</w:t>
      </w:r>
      <w:r>
        <w:t>, n</w:t>
      </w:r>
      <w:r w:rsidR="00126E71">
        <w:t xml:space="preserve">o applications </w:t>
      </w:r>
      <w:r>
        <w:t xml:space="preserve">for authorisation of dealings with the three GM carnation lines </w:t>
      </w:r>
      <w:r w:rsidR="00126E71">
        <w:t>have been withdrawn or expired</w:t>
      </w:r>
      <w:r>
        <w:t xml:space="preserve">. During this time, </w:t>
      </w:r>
      <w:r w:rsidR="00126E71">
        <w:t xml:space="preserve">EU authorisations have been renewed </w:t>
      </w:r>
      <w:r w:rsidR="005148F4">
        <w:t xml:space="preserve">for all three lines </w:t>
      </w:r>
      <w:r w:rsidR="00126E71">
        <w:t xml:space="preserve">(Table </w:t>
      </w:r>
      <w:r w:rsidR="00B22345">
        <w:t>1</w:t>
      </w:r>
      <w:r w:rsidR="005148F4">
        <w:t>). No applications for permits or licences</w:t>
      </w:r>
      <w:r w:rsidR="00A51FD1">
        <w:t xml:space="preserve"> for dealing with the GMOs have been refused.</w:t>
      </w:r>
      <w:r w:rsidR="00066BDC">
        <w:t xml:space="preserve"> </w:t>
      </w:r>
    </w:p>
    <w:p w14:paraId="24724F7D" w14:textId="0573FAE9" w:rsidR="00D401D7" w:rsidRPr="00D401D7" w:rsidRDefault="00D401D7" w:rsidP="00331C09">
      <w:pPr>
        <w:pStyle w:val="Heading4"/>
      </w:pPr>
      <w:r w:rsidRPr="00D401D7">
        <w:t>Monitoring information from commercial releases of GM carnations</w:t>
      </w:r>
    </w:p>
    <w:p w14:paraId="245691AA" w14:textId="4D1D76F1" w:rsidR="007549C8" w:rsidRDefault="007549C8" w:rsidP="00923A59">
      <w:pPr>
        <w:pStyle w:val="RARMPPara"/>
      </w:pPr>
      <w:r>
        <w:t xml:space="preserve">Authorisations for import and distribution of the GM carnations in the EU include requirements </w:t>
      </w:r>
      <w:r w:rsidR="00D04767">
        <w:t xml:space="preserve">for </w:t>
      </w:r>
      <w:r>
        <w:t xml:space="preserve">a general post market evaluation and monitoring plan (PMEM). Requirements for these are available in European Commission documents produced for each carnation line </w:t>
      </w:r>
      <w:r w:rsidR="00DB48CB">
        <w:fldChar w:fldCharType="begin">
          <w:fldData xml:space="preserve">PEVuZE5vdGU+PENpdGU+PEF1dGhvcj5FdXJvcGVhbiBDb21taXNzaW9uPC9BdXRob3I+PFllYXI+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</w:fldData>
        </w:fldChar>
      </w:r>
      <w:r w:rsidR="00DB48CB">
        <w:instrText xml:space="preserve"> ADDIN EN.CITE </w:instrText>
      </w:r>
      <w:r w:rsidR="00DB48CB">
        <w:fldChar w:fldCharType="begin">
          <w:fldData xml:space="preserve">PEVuZE5vdGU+PENpdGU+PEF1dGhvcj5FdXJvcGVhbiBDb21taXNzaW9uPC9BdXRob3I+PFllYXI+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</w:fldData>
        </w:fldChar>
      </w:r>
      <w:r w:rsidR="00DB48CB">
        <w:instrText xml:space="preserve"> ADDIN EN.CITE.DATA </w:instrText>
      </w:r>
      <w:r w:rsidR="00DB48CB">
        <w:fldChar w:fldCharType="end"/>
      </w:r>
      <w:r w:rsidR="00DB48CB">
        <w:fldChar w:fldCharType="separate"/>
      </w:r>
      <w:r w:rsidR="00DB48CB">
        <w:rPr>
          <w:noProof/>
        </w:rPr>
        <w:t>(European Commission, 2015a, b, 2018)</w:t>
      </w:r>
      <w:r w:rsidR="00DB48CB">
        <w:fldChar w:fldCharType="end"/>
      </w:r>
      <w:r>
        <w:t>. Briefly, reporting from these requirements indicated that no adverse effects were reported by people handling the GM carnations during import and marketing, nor from customers purchasing the GM carnations. No weedy populations were found in Europe or at production sites and no changes to disease or pests of the GM carnations were reported.</w:t>
      </w:r>
    </w:p>
    <w:p w14:paraId="7A0353B9" w14:textId="53FB86AE" w:rsidR="00A51FD1" w:rsidRDefault="00A51FD1" w:rsidP="00923A59">
      <w:pPr>
        <w:pStyle w:val="RARMPPara"/>
      </w:pPr>
      <w:r>
        <w:t>At the growing sites (for example around composting areas) in Colombia and Ecuador, surveys were conducted to determine whether any populations of GM carnations had established outside cultivation. Five surveys were conducted in Ecuador between April 2016 and April 2019, while in Colombia 11 surveys were conducted between January 2016 and October 2019. No populations were found.</w:t>
      </w:r>
    </w:p>
    <w:p w14:paraId="17DDCF79" w14:textId="28AA7324" w:rsidR="00D401D7" w:rsidRPr="00D401D7" w:rsidRDefault="002900AE" w:rsidP="00331C09">
      <w:pPr>
        <w:pStyle w:val="Heading4"/>
      </w:pPr>
      <w:r>
        <w:t xml:space="preserve">GM </w:t>
      </w:r>
      <w:r w:rsidR="00D401D7">
        <w:t>Carnation m</w:t>
      </w:r>
      <w:r w:rsidR="00D401D7" w:rsidRPr="00D401D7">
        <w:t>orphology</w:t>
      </w:r>
    </w:p>
    <w:p w14:paraId="29A6B0F7" w14:textId="06491A3E" w:rsidR="0087292E" w:rsidRDefault="00066BDC" w:rsidP="00923A59">
      <w:pPr>
        <w:pStyle w:val="RARMPPara"/>
      </w:pPr>
      <w:r>
        <w:t xml:space="preserve">The average number of anthers for GM carnation flowers have been monitored </w:t>
      </w:r>
      <w:r w:rsidR="00D04767">
        <w:t xml:space="preserve">at </w:t>
      </w:r>
      <w:r>
        <w:t xml:space="preserve">13 </w:t>
      </w:r>
      <w:r w:rsidR="00E8707F">
        <w:t>time points</w:t>
      </w:r>
      <w:r>
        <w:t xml:space="preserve"> from 2013 until 2019</w:t>
      </w:r>
      <w:r w:rsidR="004E6200">
        <w:t xml:space="preserve"> at the production site in Colombia</w:t>
      </w:r>
      <w:r>
        <w:t xml:space="preserve">. No increase in the average number of anthers over time was observed, although for </w:t>
      </w:r>
      <w:r w:rsidR="00F21C85">
        <w:t>Moonberry™</w:t>
      </w:r>
      <w:r w:rsidR="00E8707F">
        <w:t xml:space="preserve"> the average number varies between less than one and four per flower at different time points</w:t>
      </w:r>
      <w:r>
        <w:t xml:space="preserve">. </w:t>
      </w:r>
      <w:r w:rsidR="004E6200">
        <w:t xml:space="preserve">No anthers were observed in </w:t>
      </w:r>
      <w:r w:rsidR="00F21C85">
        <w:t>Moonaqua™</w:t>
      </w:r>
      <w:r w:rsidR="004E6200">
        <w:t xml:space="preserve">, while in </w:t>
      </w:r>
      <w:r w:rsidR="00F21C85">
        <w:t>Moonvelvet™</w:t>
      </w:r>
      <w:r w:rsidR="004E6200">
        <w:t xml:space="preserve"> average anther number was less than one for 12 of the 13 observations.</w:t>
      </w:r>
    </w:p>
    <w:p w14:paraId="22A57A03" w14:textId="15FE4178" w:rsidR="004E6200" w:rsidRDefault="004E6200" w:rsidP="00923A59">
      <w:pPr>
        <w:pStyle w:val="RARMPPara"/>
      </w:pPr>
      <w:r>
        <w:lastRenderedPageBreak/>
        <w:t>Petal numbers have been assessed at 21 time points from 2013 to 2019 at the production site in Columbia. Numbers of petals per flower show some fluctuation at different time points, but there no trend for increasing or decreasing petal numbers.</w:t>
      </w:r>
    </w:p>
    <w:p w14:paraId="2E0FC5F7" w14:textId="194988FD" w:rsidR="00D401D7" w:rsidRPr="00D401D7" w:rsidRDefault="00D401D7" w:rsidP="00331C09">
      <w:pPr>
        <w:pStyle w:val="Heading4"/>
      </w:pPr>
      <w:r w:rsidRPr="00D401D7">
        <w:t>GM carnation sequencing</w:t>
      </w:r>
    </w:p>
    <w:p w14:paraId="415A0E3A" w14:textId="50F04EE7" w:rsidR="00D401D7" w:rsidRDefault="00D401D7" w:rsidP="00923A59">
      <w:pPr>
        <w:pStyle w:val="RARMPPara"/>
      </w:pPr>
      <w:r>
        <w:t xml:space="preserve">Re-sequencing of the insert and flanking regions for the GM carnations was requested by the EU in 2017. Both Moonberry™ and Moonvelvet™ sequences were identical to those originally provided. The sequence for Moonaqua™ showed a single nucleotide deletion in the flanking region of one of three insertion loci when compared with the sequence submitted in 2006. Analysis of open reading frames, including the inserted genes, showed no biologically significant homology to known toxins or allergens </w:t>
      </w:r>
      <w:r>
        <w:fldChar w:fldCharType="begin"/>
      </w:r>
      <w:r>
        <w:instrText xml:space="preserve"> ADDIN EN.CITE &lt;EndNote&gt;&lt;Cite&gt;&lt;Author&gt;European Food Safety Authority&lt;/Author&gt;&lt;Year&gt;2018&lt;/Year&gt;&lt;RecNum&gt;71&lt;/RecNum&gt;&lt;DisplayText&gt;(European Food Safety Authority et al., 2018)&lt;/DisplayText&gt;&lt;record&gt;&lt;rec-number&gt;71&lt;/rec-number&gt;&lt;foreign-keys&gt;&lt;key app="EN" db-id="zf9222dwpzrzdje0xwpvwttz999vxasfz0rv" timestamp="1573617884"&gt;71&lt;/key&gt;&lt;/foreign-keys&gt;&lt;ref-type name="Journal Article"&gt;17&lt;/ref-type&gt;&lt;contributors&gt;&lt;authors&gt;&lt;author&gt;European Food Safety Authority,&lt;/author&gt;&lt;author&gt;Gennaro, Andrea&lt;/author&gt;&lt;author&gt;Olaru, Irina&lt;/author&gt;&lt;author&gt;Papadopoulou, Nikoletta&lt;/author&gt;&lt;author&gt;Ramon, Matthew&lt;/author&gt;&lt;/authors&gt;&lt;/contributors&gt;&lt;titles&gt;&lt;title&gt;Risk assessment of new sequencing information on genetically modified carnation FLO-40689-6&lt;/title&gt;&lt;secondary-title&gt;EFSA Journal&lt;/secondary-title&gt;&lt;/titles&gt;&lt;periodical&gt;&lt;full-title&gt;EFSA Journal&lt;/full-title&gt;&lt;/periodical&gt;&lt;pages&gt;e05424&lt;/pages&gt;&lt;volume&gt;16&lt;/volume&gt;&lt;number&gt;9&lt;/number&gt;&lt;dates&gt;&lt;year&gt;2018&lt;/year&gt;&lt;/dates&gt;&lt;isbn&gt;1831-4732&lt;/isbn&gt;&lt;urls&gt;&lt;related-urls&gt;&lt;url&gt;https://efsa.onlinelibrary.wiley.com/doi/abs/10.2903/j.efsa.2018.5424&lt;/url&gt;&lt;/related-urls&gt;&lt;/urls&gt;&lt;electronic-resource-num&gt;10.2903/j.efsa.2018.5424&lt;/electronic-resource-num&gt;&lt;/record&gt;&lt;/Cite&gt;&lt;/EndNote&gt;</w:instrText>
      </w:r>
      <w:r>
        <w:fldChar w:fldCharType="separate"/>
      </w:r>
      <w:r>
        <w:rPr>
          <w:noProof/>
        </w:rPr>
        <w:t>(European Food Safety Authority et al., 2018)</w:t>
      </w:r>
      <w:r>
        <w:fldChar w:fldCharType="end"/>
      </w:r>
      <w:r>
        <w:t>.</w:t>
      </w:r>
    </w:p>
    <w:p w14:paraId="403E0946" w14:textId="385C2090" w:rsidR="0060567B" w:rsidRPr="00547A42" w:rsidRDefault="0060567B" w:rsidP="00331C09">
      <w:pPr>
        <w:pStyle w:val="Heading3"/>
      </w:pPr>
      <w:r w:rsidRPr="00547A42">
        <w:t>Plant database searches</w:t>
      </w:r>
    </w:p>
    <w:p w14:paraId="26F68E69" w14:textId="7C9A6049" w:rsidR="0060567B" w:rsidRDefault="00D04767" w:rsidP="00923A59">
      <w:pPr>
        <w:pStyle w:val="RARMPPara"/>
      </w:pPr>
      <w:r>
        <w:t>The following f</w:t>
      </w:r>
      <w:r w:rsidR="009872FA">
        <w:t>l</w:t>
      </w:r>
      <w:r w:rsidR="0060567B">
        <w:t>ora databases were also accessed</w:t>
      </w:r>
      <w:r w:rsidR="009872FA">
        <w:t xml:space="preserve"> in December 2019</w:t>
      </w:r>
      <w:r w:rsidR="0060567B">
        <w:t xml:space="preserve"> to </w:t>
      </w:r>
      <w:r w:rsidR="009872FA">
        <w:t>search for</w:t>
      </w:r>
      <w:r w:rsidR="0060567B">
        <w:t xml:space="preserve"> records of </w:t>
      </w:r>
      <w:r w:rsidR="0060567B" w:rsidRPr="00A166F3">
        <w:rPr>
          <w:i/>
        </w:rPr>
        <w:t>D. caryophyllus</w:t>
      </w:r>
      <w:r w:rsidR="0060567B">
        <w:t xml:space="preserve"> in Australia during the period from 2015 (the licence for DIR 134 was i</w:t>
      </w:r>
      <w:r w:rsidR="009872FA">
        <w:t>ssued in October 2015) to 2019</w:t>
      </w:r>
      <w:r>
        <w:t>:</w:t>
      </w:r>
    </w:p>
    <w:p w14:paraId="5BC20CAA" w14:textId="7E788210" w:rsidR="0060567B" w:rsidRPr="000D3808" w:rsidRDefault="003E4B73" w:rsidP="00923A59">
      <w:pPr>
        <w:pStyle w:val="ListParagraph"/>
        <w:numPr>
          <w:ilvl w:val="0"/>
          <w:numId w:val="6"/>
        </w:numPr>
        <w:ind w:left="851" w:hanging="284"/>
        <w:rPr>
          <w:rFonts w:ascii="Calibri" w:hAnsi="Calibri" w:cs="Calibri"/>
          <w:color w:val="000000" w:themeColor="text1"/>
        </w:rPr>
      </w:pPr>
      <w:r w:rsidRPr="00923A59">
        <w:rPr>
          <w:rFonts w:ascii="Calibri" w:hAnsi="Calibri" w:cs="Calibri"/>
        </w:rPr>
        <w:t>Global Biodiversity Information Facility (</w:t>
      </w:r>
      <w:r w:rsidR="0060567B" w:rsidRPr="00923A59">
        <w:rPr>
          <w:rFonts w:ascii="Calibri" w:hAnsi="Calibri" w:cs="Calibri"/>
        </w:rPr>
        <w:t>GBIF</w:t>
      </w:r>
      <w:r w:rsidRPr="00923A59">
        <w:rPr>
          <w:rFonts w:ascii="Calibri" w:hAnsi="Calibri" w:cs="Calibri"/>
        </w:rPr>
        <w:t>)</w:t>
      </w:r>
      <w:r w:rsidR="0060567B" w:rsidRPr="00923A59">
        <w:rPr>
          <w:rFonts w:ascii="Calibri" w:hAnsi="Calibri" w:cs="Calibri"/>
        </w:rPr>
        <w:t xml:space="preserve"> Backbone Taxonomy. (GBIF</w:t>
      </w:r>
      <w:r w:rsidRPr="00923A59">
        <w:rPr>
          <w:rFonts w:ascii="Calibri" w:hAnsi="Calibri" w:cs="Calibri"/>
        </w:rPr>
        <w:t xml:space="preserve"> </w:t>
      </w:r>
      <w:r w:rsidR="0060567B" w:rsidRPr="00923A59">
        <w:rPr>
          <w:rFonts w:ascii="Calibri" w:hAnsi="Calibri" w:cs="Calibri"/>
        </w:rPr>
        <w:t>Secretariat</w:t>
      </w:r>
      <w:r w:rsidRPr="00923A59">
        <w:rPr>
          <w:rFonts w:ascii="Calibri" w:hAnsi="Calibri" w:cs="Calibri"/>
        </w:rPr>
        <w:t xml:space="preserve"> - </w:t>
      </w:r>
      <w:hyperlink r:id="rId24" w:history="1">
        <w:r w:rsidR="0060567B" w:rsidRPr="000D3808">
          <w:rPr>
            <w:rStyle w:val="Hyperlink"/>
            <w:rFonts w:ascii="Calibri" w:hAnsi="Calibri" w:cs="Calibri"/>
            <w:color w:val="000000" w:themeColor="text1"/>
          </w:rPr>
          <w:t>https://doi.org/10.15468/39omei</w:t>
        </w:r>
      </w:hyperlink>
      <w:r w:rsidR="0060567B" w:rsidRPr="000D3808">
        <w:rPr>
          <w:rFonts w:ascii="Calibri" w:hAnsi="Calibri" w:cs="Calibri"/>
          <w:color w:val="000000" w:themeColor="text1"/>
        </w:rPr>
        <w:t xml:space="preserve"> Accessed via </w:t>
      </w:r>
      <w:hyperlink r:id="rId25" w:history="1">
        <w:r w:rsidR="0060567B" w:rsidRPr="000D3808">
          <w:rPr>
            <w:rStyle w:val="Hyperlink"/>
            <w:rFonts w:ascii="Calibri" w:hAnsi="Calibri" w:cs="Calibri"/>
            <w:color w:val="000000" w:themeColor="text1"/>
          </w:rPr>
          <w:t>https://www.gbif.org/occurrence/search?continent=OCEANIA&amp;taxon_key=3085420&amp;year=2015,2019</w:t>
        </w:r>
      </w:hyperlink>
      <w:r w:rsidR="0060567B" w:rsidRPr="000D3808">
        <w:rPr>
          <w:rFonts w:ascii="Calibri" w:hAnsi="Calibri" w:cs="Calibri"/>
          <w:color w:val="000000" w:themeColor="text1"/>
        </w:rPr>
        <w:t xml:space="preserve">). No occurrences listed for </w:t>
      </w:r>
      <w:r w:rsidR="0060567B" w:rsidRPr="000D3808">
        <w:rPr>
          <w:rFonts w:ascii="Calibri" w:hAnsi="Calibri" w:cs="Calibri"/>
          <w:i/>
          <w:color w:val="000000" w:themeColor="text1"/>
        </w:rPr>
        <w:t>D. caryophyllus</w:t>
      </w:r>
      <w:r w:rsidR="0060567B" w:rsidRPr="000D3808">
        <w:rPr>
          <w:rFonts w:ascii="Calibri" w:hAnsi="Calibri" w:cs="Calibri"/>
          <w:color w:val="000000" w:themeColor="text1"/>
        </w:rPr>
        <w:t xml:space="preserve"> from 2015 to 2019 in Oceania.</w:t>
      </w:r>
    </w:p>
    <w:p w14:paraId="3E6CAA47" w14:textId="77777777" w:rsidR="0060567B" w:rsidRPr="000D3808" w:rsidRDefault="0060567B" w:rsidP="00923A59">
      <w:pPr>
        <w:pStyle w:val="ListParagraph"/>
        <w:numPr>
          <w:ilvl w:val="0"/>
          <w:numId w:val="6"/>
        </w:numPr>
        <w:ind w:left="851" w:hanging="284"/>
        <w:rPr>
          <w:color w:val="000000" w:themeColor="text1"/>
        </w:rPr>
      </w:pPr>
      <w:r w:rsidRPr="000D3808">
        <w:rPr>
          <w:rFonts w:ascii="Calibri" w:hAnsi="Calibri" w:cs="Calibri"/>
          <w:color w:val="000000" w:themeColor="text1"/>
        </w:rPr>
        <w:t xml:space="preserve">Atlas of Living Australia (ALA - </w:t>
      </w:r>
      <w:hyperlink r:id="rId26" w:history="1">
        <w:r w:rsidRPr="000D3808">
          <w:rPr>
            <w:rStyle w:val="Hyperlink"/>
            <w:color w:val="000000" w:themeColor="text1"/>
          </w:rPr>
          <w:t>https://www.ala.org.au/</w:t>
        </w:r>
      </w:hyperlink>
      <w:r w:rsidRPr="000D3808">
        <w:rPr>
          <w:color w:val="000000" w:themeColor="text1"/>
        </w:rPr>
        <w:t>) showed only one recent record (2017) of a sample collected in NSW.</w:t>
      </w:r>
    </w:p>
    <w:p w14:paraId="69CD3B6F" w14:textId="77777777" w:rsidR="0060567B" w:rsidRPr="000D3808" w:rsidRDefault="0060567B" w:rsidP="00923A59">
      <w:pPr>
        <w:pStyle w:val="ListParagraph"/>
        <w:numPr>
          <w:ilvl w:val="0"/>
          <w:numId w:val="6"/>
        </w:numPr>
        <w:ind w:left="851" w:hanging="284"/>
        <w:rPr>
          <w:color w:val="000000" w:themeColor="text1"/>
        </w:rPr>
      </w:pPr>
      <w:r w:rsidRPr="000D3808">
        <w:rPr>
          <w:rFonts w:ascii="Calibri" w:hAnsi="Calibri" w:cs="Calibri"/>
          <w:color w:val="000000" w:themeColor="text1"/>
        </w:rPr>
        <w:t xml:space="preserve">The Australasian Virtual Herbarium (AVH - </w:t>
      </w:r>
      <w:hyperlink r:id="rId27" w:history="1">
        <w:r w:rsidRPr="000D3808">
          <w:rPr>
            <w:rStyle w:val="Hyperlink"/>
            <w:color w:val="000000" w:themeColor="text1"/>
          </w:rPr>
          <w:t>https://avh.chah.org.au/</w:t>
        </w:r>
      </w:hyperlink>
      <w:r w:rsidRPr="000D3808">
        <w:rPr>
          <w:color w:val="000000" w:themeColor="text1"/>
        </w:rPr>
        <w:t xml:space="preserve">) contained no recent records. </w:t>
      </w:r>
    </w:p>
    <w:p w14:paraId="016E02C5" w14:textId="77777777" w:rsidR="0060567B" w:rsidRPr="000D3808" w:rsidRDefault="0060567B" w:rsidP="00923A59">
      <w:pPr>
        <w:pStyle w:val="ListParagraph"/>
        <w:numPr>
          <w:ilvl w:val="0"/>
          <w:numId w:val="6"/>
        </w:numPr>
        <w:ind w:left="851" w:hanging="284"/>
        <w:rPr>
          <w:color w:val="000000" w:themeColor="text1"/>
        </w:rPr>
      </w:pPr>
      <w:r w:rsidRPr="000D3808">
        <w:rPr>
          <w:color w:val="000000" w:themeColor="text1"/>
        </w:rPr>
        <w:t xml:space="preserve">The Australian Plant Name Index (APNI - </w:t>
      </w:r>
      <w:hyperlink r:id="rId28" w:history="1">
        <w:r w:rsidRPr="000D3808">
          <w:rPr>
            <w:rStyle w:val="Hyperlink"/>
            <w:color w:val="000000" w:themeColor="text1"/>
          </w:rPr>
          <w:t>https://biodiversity.org.au/nsl/services/apni</w:t>
        </w:r>
      </w:hyperlink>
      <w:r w:rsidRPr="000D3808">
        <w:rPr>
          <w:color w:val="000000" w:themeColor="text1"/>
        </w:rPr>
        <w:t xml:space="preserve">) and Australian Plant Census (APC - </w:t>
      </w:r>
      <w:hyperlink r:id="rId29" w:history="1">
        <w:r w:rsidRPr="000D3808">
          <w:rPr>
            <w:rStyle w:val="Hyperlink"/>
            <w:color w:val="000000" w:themeColor="text1"/>
          </w:rPr>
          <w:t>https://biodiversity.org.au/nsl/services/apc</w:t>
        </w:r>
      </w:hyperlink>
      <w:r w:rsidRPr="000D3808">
        <w:rPr>
          <w:color w:val="000000" w:themeColor="text1"/>
        </w:rPr>
        <w:t>) yielded no matches, nor did links from this site to other plant flora surveys.</w:t>
      </w:r>
    </w:p>
    <w:p w14:paraId="746CF330" w14:textId="7C5097C6" w:rsidR="0060567B" w:rsidRDefault="0060567B" w:rsidP="00923A59">
      <w:pPr>
        <w:pStyle w:val="ListParagraph"/>
        <w:numPr>
          <w:ilvl w:val="0"/>
          <w:numId w:val="6"/>
        </w:numPr>
        <w:ind w:left="851" w:hanging="284"/>
      </w:pPr>
      <w:r w:rsidRPr="000D3808">
        <w:rPr>
          <w:color w:val="000000" w:themeColor="text1"/>
        </w:rPr>
        <w:t xml:space="preserve">The Weeds of National Significance (WoNS - </w:t>
      </w:r>
      <w:hyperlink r:id="rId30" w:history="1">
        <w:r w:rsidRPr="000D3808">
          <w:rPr>
            <w:rStyle w:val="Hyperlink"/>
            <w:color w:val="000000" w:themeColor="text1"/>
          </w:rPr>
          <w:t>https://www.environment.gov.au/cgi-bin/biodiversity/invasive/weeds/weedspeciesindex.pl?id=701</w:t>
        </w:r>
      </w:hyperlink>
      <w:r w:rsidRPr="000D3808">
        <w:rPr>
          <w:color w:val="000000" w:themeColor="text1"/>
        </w:rPr>
        <w:t xml:space="preserve">) list </w:t>
      </w:r>
      <w:r>
        <w:t xml:space="preserve">does not include </w:t>
      </w:r>
      <w:r w:rsidRPr="00923A59">
        <w:rPr>
          <w:i/>
        </w:rPr>
        <w:t>D.</w:t>
      </w:r>
      <w:r w:rsidR="005E71F1">
        <w:rPr>
          <w:i/>
        </w:rPr>
        <w:t> </w:t>
      </w:r>
      <w:r w:rsidRPr="00923A59">
        <w:rPr>
          <w:i/>
        </w:rPr>
        <w:t>caryophyllus,</w:t>
      </w:r>
      <w:r>
        <w:t xml:space="preserve"> nor any other Dianthus species.</w:t>
      </w:r>
    </w:p>
    <w:p w14:paraId="12BA7E6A" w14:textId="1D268DDE" w:rsidR="0060567B" w:rsidRPr="00923A59" w:rsidRDefault="0060567B" w:rsidP="00923A59">
      <w:pPr>
        <w:pStyle w:val="ListParagraph"/>
        <w:numPr>
          <w:ilvl w:val="0"/>
          <w:numId w:val="6"/>
        </w:numPr>
        <w:ind w:left="851" w:hanging="284"/>
        <w:rPr>
          <w:rFonts w:ascii="Calibri" w:hAnsi="Calibri" w:cs="Calibri"/>
        </w:rPr>
      </w:pPr>
      <w:r w:rsidRPr="00923A59">
        <w:rPr>
          <w:rFonts w:ascii="Calibri" w:hAnsi="Calibri" w:cs="Calibri"/>
        </w:rPr>
        <w:t xml:space="preserve">Individual state floral databases (many of which feed into AVH and ALA) did not record </w:t>
      </w:r>
      <w:r w:rsidRPr="00923A59">
        <w:rPr>
          <w:rFonts w:ascii="Calibri" w:hAnsi="Calibri" w:cs="Calibri"/>
          <w:i/>
        </w:rPr>
        <w:t>D.</w:t>
      </w:r>
      <w:r w:rsidR="005E71F1">
        <w:rPr>
          <w:rFonts w:ascii="Calibri" w:hAnsi="Calibri" w:cs="Calibri"/>
          <w:i/>
        </w:rPr>
        <w:t> </w:t>
      </w:r>
      <w:r w:rsidRPr="00923A59">
        <w:rPr>
          <w:rFonts w:ascii="Calibri" w:hAnsi="Calibri" w:cs="Calibri"/>
          <w:i/>
        </w:rPr>
        <w:t xml:space="preserve">caryophyllus </w:t>
      </w:r>
      <w:r w:rsidRPr="00923A59">
        <w:rPr>
          <w:rFonts w:ascii="Calibri" w:hAnsi="Calibri" w:cs="Calibri"/>
        </w:rPr>
        <w:t>as naturalised or weedy.</w:t>
      </w:r>
    </w:p>
    <w:p w14:paraId="6A54052F" w14:textId="6CD36F00" w:rsidR="00923A59" w:rsidRDefault="00923A59" w:rsidP="00923A59">
      <w:pPr>
        <w:pStyle w:val="RARMPPara"/>
      </w:pPr>
      <w:r>
        <w:t>From the information available across these databases</w:t>
      </w:r>
      <w:r w:rsidR="00FD1FE8">
        <w:t>,</w:t>
      </w:r>
      <w:r>
        <w:t xml:space="preserve"> it is apparent that no weedy populations have established in Australia since the previous review made under DIR 134. Thus</w:t>
      </w:r>
      <w:r w:rsidR="00661B0F">
        <w:t>,</w:t>
      </w:r>
      <w:r>
        <w:t xml:space="preserve"> it appears that despite a</w:t>
      </w:r>
      <w:r w:rsidR="00923B33">
        <w:t xml:space="preserve"> </w:t>
      </w:r>
      <w:r>
        <w:t>long history of commercial cultivation, carnation is not a weedy species in Australia.</w:t>
      </w:r>
    </w:p>
    <w:p w14:paraId="78A58865" w14:textId="3128CFB0" w:rsidR="00507693" w:rsidRPr="00547A42" w:rsidRDefault="004E6200" w:rsidP="00331C09">
      <w:pPr>
        <w:pStyle w:val="Heading3"/>
      </w:pPr>
      <w:r w:rsidRPr="00547A42">
        <w:t>Literature review</w:t>
      </w:r>
    </w:p>
    <w:p w14:paraId="140DE055" w14:textId="38875DFB" w:rsidR="00EA0852" w:rsidRDefault="000905FA" w:rsidP="00923A59">
      <w:pPr>
        <w:pStyle w:val="RARMPPara"/>
      </w:pPr>
      <w:r>
        <w:t xml:space="preserve">Literature searches were conducted mainly in Google Scholar, but also in AGRICOLA, Proquest (Agriculture and Environment), and Science </w:t>
      </w:r>
      <w:r w:rsidR="00232E82">
        <w:t>D</w:t>
      </w:r>
      <w:r>
        <w:t xml:space="preserve">irect using search terms including ‘carnation’, </w:t>
      </w:r>
      <w:r w:rsidR="00EA0852">
        <w:t>‘</w:t>
      </w:r>
      <w:r>
        <w:t>Dianthus</w:t>
      </w:r>
      <w:r w:rsidR="00EA0852">
        <w:t>’</w:t>
      </w:r>
      <w:r>
        <w:t xml:space="preserve">, </w:t>
      </w:r>
      <w:r w:rsidR="00EA0852">
        <w:t>‘</w:t>
      </w:r>
      <w:r w:rsidR="00325226">
        <w:t>Dianthus ca</w:t>
      </w:r>
      <w:r>
        <w:t>ryophyllus</w:t>
      </w:r>
      <w:r w:rsidR="00EA0852">
        <w:t>’</w:t>
      </w:r>
      <w:r w:rsidR="00B4501B">
        <w:t>, individually and</w:t>
      </w:r>
      <w:r w:rsidR="00EA0852">
        <w:t xml:space="preserve"> in conjunction with terms such as ‘transgenic’, ‘genetically modified’, ‘genetically engineered’, ‘environment’, ‘allergy’, ‘toxicity’ (and wildcards for these terms as appropriate). Searches were conducted for material published since 2014 in order to target information that may not have been available when the RARMP for DIR 134 was completed.</w:t>
      </w:r>
    </w:p>
    <w:p w14:paraId="25ABDFCD" w14:textId="07506A23" w:rsidR="0060567B" w:rsidRDefault="0060567B" w:rsidP="00923A59">
      <w:pPr>
        <w:pStyle w:val="RARMPPara"/>
      </w:pPr>
      <w:r>
        <w:t>References that included pertinent information are cited and a list of the references found through the literature searches that have not been directly cited in this RARMP can be found in the Appendix, grouped by general subject area.</w:t>
      </w:r>
    </w:p>
    <w:p w14:paraId="1B75C6F7" w14:textId="6F3DF814" w:rsidR="00B4501B" w:rsidRDefault="00B4501B" w:rsidP="00923A59">
      <w:pPr>
        <w:pStyle w:val="RARMPPara"/>
      </w:pPr>
      <w:r>
        <w:t>A number of references detail information about floral surveys for other regions – mainly European</w:t>
      </w:r>
      <w:r w:rsidR="0060567B">
        <w:t xml:space="preserve"> -</w:t>
      </w:r>
      <w:r>
        <w:t xml:space="preserve"> in which the presence of species as naturalised or weedy in natural ecosystems is examined. </w:t>
      </w:r>
      <w:r w:rsidRPr="00381198">
        <w:rPr>
          <w:i/>
        </w:rPr>
        <w:t xml:space="preserve">D. caryophyllus </w:t>
      </w:r>
      <w:r w:rsidR="001B483D">
        <w:t>i</w:t>
      </w:r>
      <w:r>
        <w:t xml:space="preserve">s not listed in any of these surveys as weed or as being naturalised </w:t>
      </w:r>
      <w:r w:rsidR="0060567B">
        <w:t>or present as</w:t>
      </w:r>
      <w:r>
        <w:t xml:space="preserve"> large </w:t>
      </w:r>
      <w:r>
        <w:lastRenderedPageBreak/>
        <w:t xml:space="preserve">populations </w:t>
      </w:r>
      <w:r w:rsidR="00DB48CB">
        <w:fldChar w:fldCharType="begin">
          <w:fldData xml:space="preserve">PEVuZE5vdGU+PENpdGU+PEF1dGhvcj5DcmF3bGV5PC9BdXRob3I+PFllYXI+MjAxNzwvWWVhcj48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</w:fldData>
        </w:fldChar>
      </w:r>
      <w:r w:rsidR="00DB48CB">
        <w:instrText xml:space="preserve"> ADDIN EN.CITE </w:instrText>
      </w:r>
      <w:r w:rsidR="00DB48CB">
        <w:fldChar w:fldCharType="begin">
          <w:fldData xml:space="preserve">PEVuZE5vdGU+PENpdGU+PEF1dGhvcj5DcmF3bGV5PC9BdXRob3I+PFllYXI+MjAxNzwvWWVhcj48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</w:fldData>
        </w:fldChar>
      </w:r>
      <w:r w:rsidR="00DB48CB">
        <w:instrText xml:space="preserve"> ADDIN EN.CITE.DATA </w:instrText>
      </w:r>
      <w:r w:rsidR="00DB48CB">
        <w:fldChar w:fldCharType="end"/>
      </w:r>
      <w:r w:rsidR="00DB48CB">
        <w:fldChar w:fldCharType="separate"/>
      </w:r>
      <w:r w:rsidR="00DB48CB">
        <w:rPr>
          <w:noProof/>
        </w:rPr>
        <w:t>(Pyšek et al., 2012; Milović et al., 2016; Pergl et al., 2016; Crawley, 2017; Mayer et al., 2017; Gawhari et al., 2018)</w:t>
      </w:r>
      <w:r w:rsidR="00DB48CB">
        <w:fldChar w:fldCharType="end"/>
      </w:r>
      <w:r>
        <w:t>.</w:t>
      </w:r>
    </w:p>
    <w:p w14:paraId="68467134" w14:textId="64B3DC2F" w:rsidR="0060567B" w:rsidRPr="002D2374" w:rsidRDefault="0060567B" w:rsidP="00923A59">
      <w:pPr>
        <w:pStyle w:val="RARMPPara"/>
        <w:rPr>
          <w:rFonts w:ascii="Calibri" w:hAnsi="Calibri" w:cs="Calibri"/>
        </w:rPr>
      </w:pPr>
      <w:r>
        <w:rPr>
          <w:rFonts w:ascii="Calibri" w:hAnsi="Calibri" w:cs="Calibri"/>
        </w:rPr>
        <w:t xml:space="preserve">No references were found that recorded weediness of carnations in Australia and the most recent update of the Global Compendium of Weeds did not include any records of weediness in Australia </w:t>
      </w:r>
      <w:r>
        <w:rPr>
          <w:rFonts w:ascii="Calibri" w:hAnsi="Calibri" w:cs="Calibri"/>
        </w:rPr>
        <w:fldChar w:fldCharType="begin"/>
      </w:r>
      <w:r>
        <w:rPr>
          <w:rFonts w:ascii="Calibri" w:hAnsi="Calibri" w:cs="Calibri"/>
        </w:rPr>
        <w:instrText xml:space="preserve"> ADDIN EN.CITE &lt;EndNote&gt;&lt;Cite&gt;&lt;Author&gt;Randall&lt;/Author&gt;&lt;Year&gt;2017&lt;/Year&gt;&lt;RecNum&gt;65&lt;/RecNum&gt;&lt;DisplayText&gt;(Randall, 2017)&lt;/DisplayText&gt;&lt;record&gt;&lt;rec-number&gt;65&lt;/rec-number&gt;&lt;foreign-keys&gt;&lt;key app="EN" db-id="zf9222dwpzrzdje0xwpvwttz999vxasfz0rv" timestamp="1573601284"&gt;65&lt;/key&gt;&lt;/foreign-keys&gt;&lt;ref-type name="Book"&gt;6&lt;/ref-type&gt;&lt;contributors&gt;&lt;authors&gt;&lt;author&gt;Randall, R.P.&lt;/author&gt;&lt;/authors&gt;&lt;/contributors&gt;&lt;titles&gt;&lt;title&gt;A Global Compendium of Weeds&lt;/title&gt;&lt;/titles&gt;&lt;edition&gt;3rd&lt;/edition&gt;&lt;reprint-edition&gt;Not in File&lt;/reprint-edition&gt;&lt;dates&gt;&lt;year&gt;2017&lt;/year&gt;&lt;pub-dates&gt;&lt;date&gt;2017&lt;/date&gt;&lt;/pub-dates&gt;&lt;/dates&gt;&lt;pub-location&gt;Perth, Western Australia&lt;/pub-location&gt;&lt;label&gt;22245&lt;/label&gt;&lt;urls&gt;&lt;/urls&gt;&lt;/record&gt;&lt;/Cite&gt;&lt;/EndNote&gt;</w:instrText>
      </w:r>
      <w:r>
        <w:rPr>
          <w:rFonts w:ascii="Calibri" w:hAnsi="Calibri" w:cs="Calibri"/>
        </w:rPr>
        <w:fldChar w:fldCharType="separate"/>
      </w:r>
      <w:r>
        <w:rPr>
          <w:rFonts w:ascii="Calibri" w:hAnsi="Calibri" w:cs="Calibri"/>
          <w:noProof/>
        </w:rPr>
        <w:t>(Randall, 2017)</w:t>
      </w:r>
      <w:r>
        <w:rPr>
          <w:rFonts w:ascii="Calibri" w:hAnsi="Calibri" w:cs="Calibri"/>
        </w:rPr>
        <w:fldChar w:fldCharType="end"/>
      </w:r>
      <w:r>
        <w:rPr>
          <w:rFonts w:ascii="Calibri" w:hAnsi="Calibri" w:cs="Calibri"/>
        </w:rPr>
        <w:t>. This is consistent with the results of flora database searches.</w:t>
      </w:r>
    </w:p>
    <w:p w14:paraId="5E3678DB" w14:textId="0E8593D8" w:rsidR="00547A42" w:rsidRPr="00DC26B6" w:rsidRDefault="00DC26B6" w:rsidP="00AC220F">
      <w:pPr>
        <w:pStyle w:val="Heading4"/>
      </w:pPr>
      <w:r w:rsidRPr="00DC26B6">
        <w:t>Risk assessments published</w:t>
      </w:r>
    </w:p>
    <w:p w14:paraId="1A2F36CF" w14:textId="13384855" w:rsidR="007549C8" w:rsidRDefault="00AA0CD3" w:rsidP="00923A59">
      <w:pPr>
        <w:pStyle w:val="RARMPPara"/>
      </w:pPr>
      <w:r>
        <w:t>A number of risk assessments for GM carnations have been published by European regulatory bodies since the licence for DIR 134 was issued. For the renewal of authorisation for ‘p</w:t>
      </w:r>
      <w:r w:rsidR="007549C8">
        <w:t>laci</w:t>
      </w:r>
      <w:r>
        <w:t xml:space="preserve">ng on the market’ of </w:t>
      </w:r>
      <w:r w:rsidR="00F21C85">
        <w:t>Moonaqua™</w:t>
      </w:r>
      <w:r>
        <w:t>, risk</w:t>
      </w:r>
      <w:r w:rsidR="00B67E97">
        <w:t xml:space="preserve"> </w:t>
      </w:r>
      <w:r>
        <w:t>assessment documents from</w:t>
      </w:r>
      <w:r w:rsidR="008E7AA5">
        <w:t xml:space="preserve"> a number of agencies, including</w:t>
      </w:r>
      <w:r>
        <w:t xml:space="preserve"> </w:t>
      </w:r>
      <w:r w:rsidR="00B67E97">
        <w:t>Commissie Genetische Modificatie (COGEM – Netherlands), European Food Safety Authority (EFSA), Vitenskapskomiteen for mattyrgghet (VKM, Norwegian Scientific Committee for Food Safety)</w:t>
      </w:r>
      <w:r w:rsidR="008E7AA5">
        <w:t xml:space="preserve"> were published</w:t>
      </w:r>
      <w:r w:rsidR="00B67E97">
        <w:t>. Each of these assessments concluded that there were n</w:t>
      </w:r>
      <w:r w:rsidR="00161CC5">
        <w:t>egligible</w:t>
      </w:r>
      <w:r w:rsidR="00B67E97">
        <w:t xml:space="preserve"> risks to human safety or to the environment from the import of </w:t>
      </w:r>
      <w:r w:rsidR="00F21C85">
        <w:t>Moonaqua™</w:t>
      </w:r>
      <w:r w:rsidR="00B67E97">
        <w:t xml:space="preserve"> carnations for cut flowers </w:t>
      </w:r>
      <w:r w:rsidR="00DB48CB">
        <w:fldChar w:fldCharType="begin">
          <w:fldData xml:space="preserve">PEVuZE5vdGU+PENpdGU+PEF1dGhvcj5DT0dFTTwvQXV0aG9yPjxZZWFyPjIwMTg8L1llYXI+PFJl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</w:fldData>
        </w:fldChar>
      </w:r>
      <w:r w:rsidR="00DB48CB">
        <w:instrText xml:space="preserve"> ADDIN EN.CITE </w:instrText>
      </w:r>
      <w:r w:rsidR="00DB48CB">
        <w:fldChar w:fldCharType="begin">
          <w:fldData xml:space="preserve">PEVuZE5vdGU+PENpdGU+PEF1dGhvcj5DT0dFTTwvQXV0aG9yPjxZZWFyPjIwMTg8L1llYXI+PFJl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</w:fldData>
        </w:fldChar>
      </w:r>
      <w:r w:rsidR="00DB48CB">
        <w:instrText xml:space="preserve"> ADDIN EN.CITE.DATA </w:instrText>
      </w:r>
      <w:r w:rsidR="00DB48CB">
        <w:fldChar w:fldCharType="end"/>
      </w:r>
      <w:r w:rsidR="00DB48CB">
        <w:fldChar w:fldCharType="separate"/>
      </w:r>
      <w:r w:rsidR="00DB48CB">
        <w:rPr>
          <w:noProof/>
        </w:rPr>
        <w:t>(VKM, 2015a; COGEM, 2018; European Food Safety Authority et al., 2018)</w:t>
      </w:r>
      <w:r w:rsidR="00DB48CB">
        <w:fldChar w:fldCharType="end"/>
      </w:r>
      <w:r w:rsidR="00B67E97">
        <w:t xml:space="preserve">. </w:t>
      </w:r>
      <w:r w:rsidR="007549C8">
        <w:t>Likewise for Moonberry</w:t>
      </w:r>
      <w:r w:rsidR="00F57ED1">
        <w:t>™</w:t>
      </w:r>
      <w:r w:rsidR="007549C8">
        <w:t xml:space="preserve"> and </w:t>
      </w:r>
      <w:r w:rsidR="00F21C85">
        <w:t>Moonvelvet™</w:t>
      </w:r>
      <w:r w:rsidR="007549C8">
        <w:t xml:space="preserve">, the risk assessments concluded that </w:t>
      </w:r>
      <w:r w:rsidR="00161CC5">
        <w:t>there were negligible risks to human safety or to the environment from the import of Moonberry</w:t>
      </w:r>
      <w:r w:rsidR="00F57ED1">
        <w:t>™</w:t>
      </w:r>
      <w:r w:rsidR="00161CC5">
        <w:t xml:space="preserve"> and </w:t>
      </w:r>
      <w:r w:rsidR="00F21C85">
        <w:t>Moonvelvet™</w:t>
      </w:r>
      <w:r w:rsidR="00161CC5">
        <w:t xml:space="preserve"> carnations for cut flowers </w:t>
      </w:r>
      <w:r w:rsidR="00DB48CB">
        <w:fldChar w:fldCharType="begin">
          <w:fldData xml:space="preserve">PEVuZE5vdGU+PENpdGU+PEF1dGhvcj5WS008L0F1dGhvcj48WWVhcj4yMDE1PC9ZZWFyPjxSZWNO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</w:fldData>
        </w:fldChar>
      </w:r>
      <w:r w:rsidR="00276CBB">
        <w:instrText xml:space="preserve"> ADDIN EN.CITE </w:instrText>
      </w:r>
      <w:r w:rsidR="00276CBB">
        <w:fldChar w:fldCharType="begin">
          <w:fldData xml:space="preserve">PEVuZE5vdGU+PENpdGU+PEF1dGhvcj5WS008L0F1dGhvcj48WWVhcj4yMDE1PC9ZZWFyPjxSZWNO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</w:fldData>
        </w:fldChar>
      </w:r>
      <w:r w:rsidR="00276CBB">
        <w:instrText xml:space="preserve"> ADDIN EN.CITE.DATA </w:instrText>
      </w:r>
      <w:r w:rsidR="00276CBB">
        <w:fldChar w:fldCharType="end"/>
      </w:r>
      <w:r w:rsidR="00DB48CB">
        <w:fldChar w:fldCharType="separate"/>
      </w:r>
      <w:r w:rsidR="00276CBB">
        <w:rPr>
          <w:noProof/>
        </w:rPr>
        <w:t>(EFSA Panel on Genetically Modified Organisms, 2014a, b; VKM, 2015b, c)</w:t>
      </w:r>
      <w:r w:rsidR="00DB48CB">
        <w:fldChar w:fldCharType="end"/>
      </w:r>
      <w:r w:rsidR="00161CC5">
        <w:t>.</w:t>
      </w:r>
    </w:p>
    <w:p w14:paraId="6524B173" w14:textId="203E3E01" w:rsidR="00AA0CD3" w:rsidRDefault="007549C8" w:rsidP="00923A59">
      <w:pPr>
        <w:pStyle w:val="RARMPPara"/>
      </w:pPr>
      <w:r>
        <w:t>Decision and consent documents relating to authorisation for import of the GM carnations into the EU can be found on the European Commission (EC) website (</w:t>
      </w:r>
      <w:hyperlink r:id="rId31" w:history="1">
        <w:r w:rsidRPr="000D3808">
          <w:rPr>
            <w:rStyle w:val="Hyperlink"/>
            <w:color w:val="000000" w:themeColor="text1"/>
          </w:rPr>
          <w:t>Deliberate Release and Placing on the EU Market of GMOs - GMO Register</w:t>
        </w:r>
      </w:hyperlink>
      <w:r>
        <w:t xml:space="preserve">). </w:t>
      </w:r>
    </w:p>
    <w:p w14:paraId="0EDD7B0B" w14:textId="1CEFD47C" w:rsidR="00161CC5" w:rsidRDefault="00161CC5" w:rsidP="00923A59">
      <w:pPr>
        <w:pStyle w:val="RARMPPara"/>
      </w:pPr>
      <w:r>
        <w:t xml:space="preserve">No information was found from literature searches that indicated </w:t>
      </w:r>
      <w:r w:rsidR="00B17689">
        <w:t>any changed or unexpected risk from the commercial release of the GM carnations in a number of countries, either through escape i</w:t>
      </w:r>
      <w:r w:rsidR="00F57ED1">
        <w:t xml:space="preserve">nto the environment of through </w:t>
      </w:r>
      <w:r w:rsidR="00B17689">
        <w:t>risks to human health.</w:t>
      </w:r>
    </w:p>
    <w:p w14:paraId="37B76194" w14:textId="557C6157" w:rsidR="00322A03" w:rsidRDefault="00322A03" w:rsidP="00923A59">
      <w:pPr>
        <w:pStyle w:val="RARMPPara"/>
      </w:pPr>
      <w:r>
        <w:t>No new risks were identified</w:t>
      </w:r>
      <w:r w:rsidR="00317D51" w:rsidRPr="00317D51">
        <w:t xml:space="preserve"> </w:t>
      </w:r>
      <w:r w:rsidR="00317D51">
        <w:t>in the submissions received during consultation on the RARMP</w:t>
      </w:r>
      <w:r>
        <w:t>, nor was any information received to indicate risk ratings greater than negligible for previously</w:t>
      </w:r>
      <w:r w:rsidR="009F1B63">
        <w:t xml:space="preserve"> </w:t>
      </w:r>
      <w:r>
        <w:t>identified risks.</w:t>
      </w:r>
    </w:p>
    <w:p w14:paraId="7A487F01" w14:textId="58934A37" w:rsidR="00856B48" w:rsidRPr="00363C1E" w:rsidRDefault="00856B48" w:rsidP="00331C09">
      <w:pPr>
        <w:pStyle w:val="Heading3"/>
      </w:pPr>
      <w:r w:rsidRPr="00363C1E">
        <w:t>Conclusion</w:t>
      </w:r>
      <w:r w:rsidR="00363C1E" w:rsidRPr="00363C1E">
        <w:t xml:space="preserve"> of the risk assessment</w:t>
      </w:r>
    </w:p>
    <w:p w14:paraId="12BE2C8A" w14:textId="6928782F" w:rsidR="003C5DA4" w:rsidRDefault="0060567B" w:rsidP="00923A59">
      <w:pPr>
        <w:pStyle w:val="RARMPPara"/>
        <w:rPr>
          <w:spacing w:val="2"/>
          <w:lang w:val="en"/>
        </w:rPr>
      </w:pPr>
      <w:r>
        <w:t>B</w:t>
      </w:r>
      <w:r w:rsidR="00856B48">
        <w:t>ased on available information</w:t>
      </w:r>
      <w:r w:rsidR="002905FA">
        <w:t xml:space="preserve">, </w:t>
      </w:r>
      <w:r w:rsidR="00CB53B4">
        <w:t>there is no indication that any adverse or unexpected events have occurred either in Australia or in other countries where cultivation and</w:t>
      </w:r>
      <w:r>
        <w:t>/</w:t>
      </w:r>
      <w:r w:rsidR="00CB53B4">
        <w:t xml:space="preserve">or import and distribution of the GM carnations </w:t>
      </w:r>
      <w:r w:rsidR="00F21C85">
        <w:t>Moonaqua™</w:t>
      </w:r>
      <w:r w:rsidR="00CB53B4">
        <w:t xml:space="preserve">, </w:t>
      </w:r>
      <w:r w:rsidR="00F21C85">
        <w:t>Moonberry™</w:t>
      </w:r>
      <w:r w:rsidR="00CB53B4">
        <w:t xml:space="preserve"> and </w:t>
      </w:r>
      <w:r w:rsidR="00F21C85">
        <w:t>Moonvelvet™</w:t>
      </w:r>
      <w:r>
        <w:t xml:space="preserve"> has been authorised</w:t>
      </w:r>
      <w:r w:rsidR="00CB53B4">
        <w:t>. No information was found in the literature</w:t>
      </w:r>
      <w:r>
        <w:t xml:space="preserve"> review or from plant databases</w:t>
      </w:r>
      <w:r w:rsidR="00CB53B4">
        <w:t xml:space="preserve"> to indicate </w:t>
      </w:r>
      <w:r w:rsidR="00671F53">
        <w:t>altered</w:t>
      </w:r>
      <w:r w:rsidR="00CB53B4">
        <w:t xml:space="preserve"> or increased risk</w:t>
      </w:r>
      <w:r w:rsidR="00671F53">
        <w:t>s</w:t>
      </w:r>
      <w:r w:rsidR="00CB53B4">
        <w:t xml:space="preserve"> to human health and safety or to the environment from GM carnations. </w:t>
      </w:r>
      <w:r w:rsidR="004E2F97">
        <w:t>T</w:t>
      </w:r>
      <w:r w:rsidR="00CB53B4">
        <w:t xml:space="preserve">he </w:t>
      </w:r>
      <w:r w:rsidR="00F57ED1">
        <w:t xml:space="preserve">conclusion of the </w:t>
      </w:r>
      <w:r w:rsidR="001B483D">
        <w:t xml:space="preserve">risk assessment </w:t>
      </w:r>
      <w:r w:rsidR="00F57ED1">
        <w:t>for DIR 134 remains valid</w:t>
      </w:r>
      <w:r w:rsidR="00CB53B4">
        <w:rPr>
          <w:spacing w:val="2"/>
          <w:lang w:val="en"/>
        </w:rPr>
        <w:t xml:space="preserve">. </w:t>
      </w:r>
    </w:p>
    <w:p w14:paraId="4A3D461E" w14:textId="78B969FF" w:rsidR="00856B48" w:rsidRDefault="00AE0765" w:rsidP="00923A59">
      <w:pPr>
        <w:pStyle w:val="RARMPPara"/>
        <w:rPr>
          <w:spacing w:val="2"/>
          <w:lang w:val="en"/>
        </w:rPr>
      </w:pPr>
      <w:r>
        <w:rPr>
          <w:spacing w:val="2"/>
          <w:lang w:val="en"/>
        </w:rPr>
        <w:t>Th</w:t>
      </w:r>
      <w:r w:rsidR="003C5DA4">
        <w:rPr>
          <w:spacing w:val="2"/>
          <w:lang w:val="en"/>
        </w:rPr>
        <w:t>us</w:t>
      </w:r>
      <w:r w:rsidR="00761B7C">
        <w:rPr>
          <w:spacing w:val="2"/>
          <w:lang w:val="en"/>
        </w:rPr>
        <w:t>,</w:t>
      </w:r>
      <w:r w:rsidR="003C5DA4">
        <w:rPr>
          <w:spacing w:val="2"/>
          <w:lang w:val="en"/>
        </w:rPr>
        <w:t xml:space="preserve"> th</w:t>
      </w:r>
      <w:r>
        <w:rPr>
          <w:spacing w:val="2"/>
          <w:lang w:val="en"/>
        </w:rPr>
        <w:t xml:space="preserve">e dealings with GM carnations </w:t>
      </w:r>
      <w:r w:rsidR="004E2F97">
        <w:rPr>
          <w:spacing w:val="2"/>
          <w:lang w:val="en"/>
        </w:rPr>
        <w:t>represent</w:t>
      </w:r>
      <w:r w:rsidR="003C5DA4">
        <w:rPr>
          <w:spacing w:val="2"/>
          <w:lang w:val="en"/>
        </w:rPr>
        <w:t xml:space="preserve"> minimal risk to human health and the environment</w:t>
      </w:r>
      <w:r>
        <w:rPr>
          <w:spacing w:val="2"/>
          <w:lang w:val="en"/>
        </w:rPr>
        <w:t xml:space="preserve">. </w:t>
      </w:r>
    </w:p>
    <w:p w14:paraId="70893970" w14:textId="77777777" w:rsidR="001B483D" w:rsidRPr="00836EF4" w:rsidRDefault="001B483D" w:rsidP="00363C1E">
      <w:pPr>
        <w:pStyle w:val="Heading2"/>
      </w:pPr>
      <w:r w:rsidRPr="00836EF4">
        <w:t>Risk management plan</w:t>
      </w:r>
    </w:p>
    <w:p w14:paraId="40C67AA3" w14:textId="77777777" w:rsidR="003B6C27" w:rsidRDefault="001B483D" w:rsidP="00923A59">
      <w:pPr>
        <w:pStyle w:val="RARMPPara"/>
        <w:rPr>
          <w:lang w:val="en"/>
        </w:rPr>
      </w:pPr>
      <w:r w:rsidRPr="001B483D">
        <w:rPr>
          <w:lang w:val="en"/>
        </w:rPr>
        <w:t>Risk management is used to protect the health and safety of people and to protect the environment by controlling or mitigating risk. The risk management plan addresses risks evaluated as requiring treatment</w:t>
      </w:r>
      <w:r>
        <w:rPr>
          <w:lang w:val="en"/>
        </w:rPr>
        <w:t xml:space="preserve">. </w:t>
      </w:r>
    </w:p>
    <w:p w14:paraId="498D161E" w14:textId="653E1369" w:rsidR="00481135" w:rsidRDefault="001B483D" w:rsidP="00923A59">
      <w:pPr>
        <w:pStyle w:val="RARMPPara"/>
        <w:rPr>
          <w:lang w:val="en"/>
        </w:rPr>
      </w:pPr>
      <w:r w:rsidRPr="001B483D">
        <w:rPr>
          <w:lang w:val="en"/>
        </w:rPr>
        <w:t xml:space="preserve">Under Section </w:t>
      </w:r>
      <w:r w:rsidR="003B6C27">
        <w:rPr>
          <w:lang w:val="en"/>
        </w:rPr>
        <w:t>79(1)</w:t>
      </w:r>
      <w:r w:rsidRPr="001B483D">
        <w:rPr>
          <w:lang w:val="en"/>
        </w:rPr>
        <w:t xml:space="preserve"> of the Act, </w:t>
      </w:r>
      <w:r w:rsidR="003B6C27">
        <w:rPr>
          <w:lang w:val="en"/>
        </w:rPr>
        <w:t>t</w:t>
      </w:r>
      <w:r w:rsidR="003B6C27" w:rsidRPr="003B6C27">
        <w:rPr>
          <w:lang w:val="en"/>
        </w:rPr>
        <w:t>he Regulator must not decide to include dealings with a GMO on the GMO Register unless satisfied that any risks posed by the dealing are minimal and it is not necessary for persons undertaking the dealing to hold, or be covered by</w:t>
      </w:r>
      <w:r w:rsidR="00A67214">
        <w:rPr>
          <w:lang w:val="en"/>
        </w:rPr>
        <w:t>,</w:t>
      </w:r>
      <w:r w:rsidR="003B6C27" w:rsidRPr="003B6C27">
        <w:rPr>
          <w:lang w:val="en"/>
        </w:rPr>
        <w:t xml:space="preserve"> a GMO licence in order to protect the health and safety of people or to protect the environment.</w:t>
      </w:r>
      <w:r w:rsidR="003B6C27">
        <w:rPr>
          <w:lang w:val="en"/>
        </w:rPr>
        <w:t xml:space="preserve"> </w:t>
      </w:r>
    </w:p>
    <w:p w14:paraId="6B696F49" w14:textId="359C559C" w:rsidR="00E34634" w:rsidRDefault="00E34634" w:rsidP="00923A59">
      <w:pPr>
        <w:pStyle w:val="RARMPPara"/>
        <w:rPr>
          <w:lang w:val="en"/>
        </w:rPr>
      </w:pPr>
      <w:r>
        <w:rPr>
          <w:lang w:val="en"/>
        </w:rPr>
        <w:t>A licence is not considered necessary for the proposed dealings, because</w:t>
      </w:r>
      <w:r w:rsidR="003C5DA4">
        <w:rPr>
          <w:lang w:val="en"/>
        </w:rPr>
        <w:t>:</w:t>
      </w:r>
    </w:p>
    <w:p w14:paraId="2C6BF916" w14:textId="4F16EA43" w:rsidR="00E34634" w:rsidRPr="00836EF4" w:rsidRDefault="00E34634" w:rsidP="00923A59">
      <w:pPr>
        <w:pStyle w:val="ListParagraph"/>
        <w:numPr>
          <w:ilvl w:val="0"/>
          <w:numId w:val="4"/>
        </w:numPr>
        <w:ind w:left="851" w:hanging="284"/>
        <w:rPr>
          <w:spacing w:val="2"/>
          <w:lang w:val="en"/>
        </w:rPr>
      </w:pPr>
      <w:r w:rsidRPr="00836EF4">
        <w:rPr>
          <w:spacing w:val="2"/>
          <w:lang w:val="en"/>
        </w:rPr>
        <w:lastRenderedPageBreak/>
        <w:t>the risk was assessed as</w:t>
      </w:r>
      <w:r w:rsidR="0060567B" w:rsidRPr="00836EF4">
        <w:rPr>
          <w:spacing w:val="2"/>
          <w:lang w:val="en"/>
        </w:rPr>
        <w:t xml:space="preserve"> negligible</w:t>
      </w:r>
      <w:r w:rsidR="000516E3" w:rsidRPr="00836EF4">
        <w:rPr>
          <w:spacing w:val="2"/>
          <w:lang w:val="en"/>
        </w:rPr>
        <w:t xml:space="preserve"> and </w:t>
      </w:r>
      <w:r w:rsidRPr="002B5FE9">
        <w:rPr>
          <w:spacing w:val="2"/>
          <w:lang w:val="en"/>
        </w:rPr>
        <w:t xml:space="preserve">previous experience in dealing with the GM carnations </w:t>
      </w:r>
      <w:r w:rsidR="006E2196">
        <w:rPr>
          <w:spacing w:val="2"/>
          <w:lang w:val="en"/>
        </w:rPr>
        <w:t>demonstrated safe use which indicates minimal risk as a result of gene technology</w:t>
      </w:r>
      <w:r w:rsidR="00263223">
        <w:rPr>
          <w:spacing w:val="2"/>
          <w:lang w:val="en"/>
        </w:rPr>
        <w:t>;</w:t>
      </w:r>
      <w:r w:rsidRPr="002B5FE9">
        <w:rPr>
          <w:spacing w:val="2"/>
          <w:lang w:val="en"/>
        </w:rPr>
        <w:t xml:space="preserve"> </w:t>
      </w:r>
      <w:r>
        <w:rPr>
          <w:spacing w:val="2"/>
          <w:lang w:val="en"/>
        </w:rPr>
        <w:t>and</w:t>
      </w:r>
    </w:p>
    <w:p w14:paraId="3DAFF1D8" w14:textId="282E3FAA" w:rsidR="003B6C27" w:rsidRPr="00836EF4" w:rsidRDefault="00E34634" w:rsidP="00923A59">
      <w:pPr>
        <w:pStyle w:val="ListParagraph"/>
        <w:numPr>
          <w:ilvl w:val="0"/>
          <w:numId w:val="4"/>
        </w:numPr>
        <w:ind w:left="851" w:hanging="284"/>
        <w:rPr>
          <w:spacing w:val="2"/>
          <w:lang w:val="en"/>
        </w:rPr>
      </w:pPr>
      <w:r>
        <w:rPr>
          <w:spacing w:val="2"/>
          <w:lang w:val="en"/>
        </w:rPr>
        <w:t xml:space="preserve">neither statutory </w:t>
      </w:r>
      <w:r w:rsidR="007A5BBC">
        <w:rPr>
          <w:spacing w:val="2"/>
          <w:lang w:val="en"/>
        </w:rPr>
        <w:t xml:space="preserve">(s65 and s66 of the Act) </w:t>
      </w:r>
      <w:r>
        <w:rPr>
          <w:spacing w:val="2"/>
          <w:lang w:val="en"/>
        </w:rPr>
        <w:t xml:space="preserve">nor application-specific licence conditions </w:t>
      </w:r>
      <w:r w:rsidR="007A5BBC">
        <w:rPr>
          <w:spacing w:val="2"/>
          <w:lang w:val="en"/>
        </w:rPr>
        <w:t xml:space="preserve">(DIR 134) </w:t>
      </w:r>
      <w:r>
        <w:rPr>
          <w:spacing w:val="2"/>
          <w:lang w:val="en"/>
        </w:rPr>
        <w:t>resulted in a finding that would justify continued licensing</w:t>
      </w:r>
      <w:r w:rsidR="00263223" w:rsidRPr="00263223">
        <w:rPr>
          <w:spacing w:val="2"/>
          <w:lang w:val="en"/>
        </w:rPr>
        <w:t xml:space="preserve"> </w:t>
      </w:r>
      <w:r w:rsidR="00263223" w:rsidRPr="002B5FE9">
        <w:rPr>
          <w:spacing w:val="2"/>
          <w:lang w:val="en"/>
        </w:rPr>
        <w:t>to manage th</w:t>
      </w:r>
      <w:r w:rsidR="006E2196">
        <w:rPr>
          <w:spacing w:val="2"/>
          <w:lang w:val="en"/>
        </w:rPr>
        <w:t>i</w:t>
      </w:r>
      <w:r w:rsidR="00263223" w:rsidRPr="002B5FE9">
        <w:rPr>
          <w:spacing w:val="2"/>
          <w:lang w:val="en"/>
        </w:rPr>
        <w:t xml:space="preserve">s </w:t>
      </w:r>
      <w:r w:rsidR="006E2196">
        <w:rPr>
          <w:spacing w:val="2"/>
          <w:lang w:val="en"/>
        </w:rPr>
        <w:t>minimal</w:t>
      </w:r>
      <w:r w:rsidR="006E2196" w:rsidRPr="002B5FE9">
        <w:rPr>
          <w:spacing w:val="2"/>
          <w:lang w:val="en"/>
        </w:rPr>
        <w:t xml:space="preserve"> </w:t>
      </w:r>
      <w:r w:rsidR="00263223" w:rsidRPr="002B5FE9">
        <w:rPr>
          <w:spacing w:val="2"/>
          <w:lang w:val="en"/>
        </w:rPr>
        <w:t>risk</w:t>
      </w:r>
      <w:r w:rsidR="003B6C27" w:rsidRPr="00836EF4">
        <w:rPr>
          <w:spacing w:val="2"/>
          <w:lang w:val="en"/>
        </w:rPr>
        <w:t>.</w:t>
      </w:r>
    </w:p>
    <w:p w14:paraId="7BC52670" w14:textId="61D4A479" w:rsidR="002C1EC8" w:rsidRPr="002C1EC8" w:rsidRDefault="007A5BBC" w:rsidP="002C1EC8">
      <w:pPr>
        <w:pStyle w:val="RARMPPara"/>
        <w:rPr>
          <w:lang w:val="en"/>
        </w:rPr>
      </w:pPr>
      <w:r>
        <w:rPr>
          <w:lang w:val="en"/>
        </w:rPr>
        <w:t>If the Regulator makes a determination to include dealings with a GMO on the Register,</w:t>
      </w:r>
      <w:r w:rsidRPr="007A5BBC">
        <w:rPr>
          <w:lang w:val="en"/>
        </w:rPr>
        <w:t xml:space="preserve"> </w:t>
      </w:r>
      <w:r>
        <w:rPr>
          <w:lang w:val="en"/>
        </w:rPr>
        <w:t>under Section 77(b)</w:t>
      </w:r>
      <w:r w:rsidRPr="007A5BBC">
        <w:rPr>
          <w:lang w:val="en"/>
        </w:rPr>
        <w:t xml:space="preserve"> </w:t>
      </w:r>
      <w:r>
        <w:rPr>
          <w:lang w:val="en"/>
        </w:rPr>
        <w:t>specific conditions</w:t>
      </w:r>
      <w:r w:rsidDel="007A5BBC">
        <w:rPr>
          <w:lang w:val="en"/>
        </w:rPr>
        <w:t xml:space="preserve"> </w:t>
      </w:r>
      <w:r>
        <w:rPr>
          <w:lang w:val="en"/>
        </w:rPr>
        <w:t>might be included on the GM Register to manage risks. However,</w:t>
      </w:r>
      <w:r w:rsidR="00836EF4">
        <w:rPr>
          <w:lang w:val="en"/>
        </w:rPr>
        <w:t xml:space="preserve"> based on the risk assessment presented here and on</w:t>
      </w:r>
      <w:r w:rsidDel="007A5BBC">
        <w:rPr>
          <w:lang w:val="en"/>
        </w:rPr>
        <w:t xml:space="preserve"> </w:t>
      </w:r>
      <w:r w:rsidR="00836EF4">
        <w:rPr>
          <w:lang w:val="en"/>
        </w:rPr>
        <w:t>p</w:t>
      </w:r>
      <w:r w:rsidR="00E34634">
        <w:rPr>
          <w:lang w:val="en"/>
        </w:rPr>
        <w:t xml:space="preserve">revious experience with dealings </w:t>
      </w:r>
      <w:r w:rsidR="00836EF4">
        <w:rPr>
          <w:lang w:val="en"/>
        </w:rPr>
        <w:t xml:space="preserve">with similar GM carnations </w:t>
      </w:r>
      <w:r w:rsidR="00E34634">
        <w:rPr>
          <w:lang w:val="en"/>
        </w:rPr>
        <w:t>under Reg-001/2004</w:t>
      </w:r>
      <w:r w:rsidR="00481135">
        <w:rPr>
          <w:lang w:val="en"/>
        </w:rPr>
        <w:t>,</w:t>
      </w:r>
      <w:r w:rsidR="00E34634">
        <w:rPr>
          <w:lang w:val="en"/>
        </w:rPr>
        <w:t xml:space="preserve"> </w:t>
      </w:r>
      <w:r w:rsidR="00836EF4">
        <w:rPr>
          <w:lang w:val="en"/>
        </w:rPr>
        <w:t xml:space="preserve">such specific conditions </w:t>
      </w:r>
      <w:r w:rsidR="0060567B">
        <w:rPr>
          <w:lang w:val="en"/>
        </w:rPr>
        <w:t>are not considered necessary.</w:t>
      </w:r>
    </w:p>
    <w:p w14:paraId="3EEAB0BD" w14:textId="768AAFCE" w:rsidR="00553C35" w:rsidRDefault="00553C35" w:rsidP="0023274B">
      <w:pPr>
        <w:pStyle w:val="Heading2"/>
        <w:rPr>
          <w:lang w:val="en"/>
        </w:rPr>
      </w:pPr>
      <w:r>
        <w:rPr>
          <w:lang w:val="en"/>
        </w:rPr>
        <w:t>Conclusions of the consultation Risk Assessment and Risk Management Plan</w:t>
      </w:r>
    </w:p>
    <w:p w14:paraId="2CD31EF6" w14:textId="1BA49281" w:rsidR="00553C35" w:rsidRDefault="007E290C" w:rsidP="00923A59">
      <w:pPr>
        <w:pStyle w:val="RARMPPara"/>
      </w:pPr>
      <w:r>
        <w:t>The dealings transport, storage and disposal of cut flowers of Moonaqua™, Moonberry™ and Moonvelvet™</w:t>
      </w:r>
      <w:r w:rsidRPr="007E290C">
        <w:t xml:space="preserve"> </w:t>
      </w:r>
      <w:r>
        <w:t>carnations pose</w:t>
      </w:r>
      <w:r w:rsidR="00553C35">
        <w:t xml:space="preserve"> </w:t>
      </w:r>
      <w:r w:rsidR="00B15667">
        <w:t>minimal</w:t>
      </w:r>
      <w:r w:rsidR="00553C35">
        <w:t xml:space="preserve"> risk to the health and safety of people or the environment as a result of gene technology</w:t>
      </w:r>
      <w:r>
        <w:t xml:space="preserve">. </w:t>
      </w:r>
      <w:r w:rsidR="00317D51">
        <w:t xml:space="preserve">As the risks associated with the dealings are minimal and no justification was found for continued licencing to manage the minimal risk, it is proposed that the dealings could be safely undertaken by anyone without the need for a licence. </w:t>
      </w:r>
      <w:r w:rsidR="005B78DA">
        <w:t xml:space="preserve">No conditions are proposed if the Regulator </w:t>
      </w:r>
      <w:r w:rsidR="00A67214">
        <w:t xml:space="preserve">makes a determination to include </w:t>
      </w:r>
      <w:r w:rsidR="005B78DA">
        <w:t>those</w:t>
      </w:r>
      <w:r>
        <w:t xml:space="preserve"> dealings on The Register</w:t>
      </w:r>
      <w:r w:rsidR="00553C35">
        <w:t>.</w:t>
      </w:r>
    </w:p>
    <w:p w14:paraId="275E5958" w14:textId="6FAB6E43" w:rsidR="00DF57A0" w:rsidRPr="00CB53B4" w:rsidRDefault="006C7124" w:rsidP="00191A79">
      <w:pPr>
        <w:pStyle w:val="Heading2"/>
        <w:spacing w:before="120" w:after="240"/>
      </w:pPr>
      <w:r>
        <w:br w:type="page"/>
      </w:r>
      <w:r w:rsidR="003C5DA4">
        <w:t>Literature Cited</w:t>
      </w:r>
    </w:p>
    <w:p w14:paraId="30BB00FA" w14:textId="77777777" w:rsidR="00276CBB" w:rsidRPr="00276CBB" w:rsidRDefault="00DF57A0" w:rsidP="00276CBB">
      <w:pPr>
        <w:pStyle w:val="EndNoteBibliography"/>
        <w:spacing w:after="240"/>
      </w:pPr>
      <w:r>
        <w:fldChar w:fldCharType="begin"/>
      </w:r>
      <w:r>
        <w:instrText xml:space="preserve"> ADDIN EN.REFLIST </w:instrText>
      </w:r>
      <w:r>
        <w:fldChar w:fldCharType="separate"/>
      </w:r>
      <w:r w:rsidR="00276CBB" w:rsidRPr="00276CBB">
        <w:t>COGEM (2018). Renewal of the authorisation for import, distribution and retail of genetically modified carnation FLO-40689-6. COGEM advice CGM/180613-02. Report No. CGM/180613-02. (Bilthoven, Netherlands: COGEM (Commissie Genetische Modificatie)).</w:t>
      </w:r>
    </w:p>
    <w:p w14:paraId="68867360" w14:textId="77777777" w:rsidR="00276CBB" w:rsidRPr="00276CBB" w:rsidRDefault="00276CBB" w:rsidP="00276CBB">
      <w:pPr>
        <w:pStyle w:val="EndNoteBibliography"/>
        <w:spacing w:after="240"/>
      </w:pPr>
      <w:r w:rsidRPr="00276CBB">
        <w:t>Crawley, M.J. (2017). Plants of East Sutherland. (Durham, UK: Botanical Society of Britain &amp; Ireland).</w:t>
      </w:r>
    </w:p>
    <w:p w14:paraId="7ABA3D93" w14:textId="77777777" w:rsidR="00276CBB" w:rsidRPr="00276CBB" w:rsidRDefault="00276CBB" w:rsidP="00276CBB">
      <w:pPr>
        <w:pStyle w:val="EndNoteBibliography"/>
        <w:spacing w:after="240"/>
      </w:pPr>
      <w:r w:rsidRPr="00276CBB">
        <w:t>EFSA Panel on Genetically Modified Organisms (2014a). Scientific Opinion on a notification (reference C/NL/09/01) for the placing on the market of the genetically modified carnation IFD-25958-3 with a modified colour, for import of cut flowers for ornamental use, under Part C of Directive 2001/18/EC from Florigene. EFSA Journal</w:t>
      </w:r>
      <w:r w:rsidRPr="00276CBB">
        <w:rPr>
          <w:i/>
        </w:rPr>
        <w:t xml:space="preserve"> 12</w:t>
      </w:r>
      <w:r w:rsidRPr="00276CBB">
        <w:t>, 3934.</w:t>
      </w:r>
    </w:p>
    <w:p w14:paraId="2EC9542B" w14:textId="77777777" w:rsidR="00276CBB" w:rsidRPr="00276CBB" w:rsidRDefault="00276CBB" w:rsidP="00276CBB">
      <w:pPr>
        <w:pStyle w:val="EndNoteBibliography"/>
        <w:spacing w:after="240"/>
      </w:pPr>
      <w:r w:rsidRPr="00276CBB">
        <w:t>EFSA Panel on Genetically Modified Organisms (2014b). Scientific Opinion on a notification (reference C/NL/09/02) for the placing on the market of the genetically modified carnation IFD-26407-2 with a modified colour, for import of cut flowers for ornamental use, under Part C of Directive 2001/18/EC from Florigene. EFSA Journal</w:t>
      </w:r>
      <w:r w:rsidRPr="00276CBB">
        <w:rPr>
          <w:i/>
        </w:rPr>
        <w:t xml:space="preserve"> 12</w:t>
      </w:r>
      <w:r w:rsidRPr="00276CBB">
        <w:t>, 3935.</w:t>
      </w:r>
    </w:p>
    <w:p w14:paraId="594B542F" w14:textId="77777777" w:rsidR="00276CBB" w:rsidRPr="00276CBB" w:rsidRDefault="00276CBB" w:rsidP="00276CBB">
      <w:pPr>
        <w:pStyle w:val="EndNoteBibliography"/>
        <w:spacing w:after="240"/>
      </w:pPr>
      <w:r w:rsidRPr="00276CBB">
        <w:t>European Commission (2015a). Section D Monitoring plan as required in Annex VII of Directive 2001/18/EC. (Netherlands: European Commission).</w:t>
      </w:r>
    </w:p>
    <w:p w14:paraId="47665D14" w14:textId="77777777" w:rsidR="00276CBB" w:rsidRPr="00276CBB" w:rsidRDefault="00276CBB" w:rsidP="00276CBB">
      <w:pPr>
        <w:pStyle w:val="EndNoteBibliography"/>
        <w:spacing w:after="240"/>
      </w:pPr>
      <w:r w:rsidRPr="00276CBB">
        <w:t>European Commission (2015b). Section D Monitoring plan as required in Annex VII of Directive 2001/18/EC. (Netherlands: European Commission).</w:t>
      </w:r>
    </w:p>
    <w:p w14:paraId="50FC415D" w14:textId="77777777" w:rsidR="00276CBB" w:rsidRPr="00276CBB" w:rsidRDefault="00276CBB" w:rsidP="00276CBB">
      <w:pPr>
        <w:pStyle w:val="EndNoteBibliography"/>
        <w:spacing w:after="240"/>
      </w:pPr>
      <w:r w:rsidRPr="00276CBB">
        <w:t>European Commission (2018). Section D Monitoring plan as required in Annex VII of Directive 2001/18/EC. (Netherlands: European Commision).</w:t>
      </w:r>
    </w:p>
    <w:p w14:paraId="3AFE5FEA" w14:textId="77777777" w:rsidR="00276CBB" w:rsidRPr="00276CBB" w:rsidRDefault="00276CBB" w:rsidP="00276CBB">
      <w:pPr>
        <w:pStyle w:val="EndNoteBibliography"/>
        <w:spacing w:after="240"/>
      </w:pPr>
      <w:r w:rsidRPr="00276CBB">
        <w:t>European Food Safety Authority, Gennaro, A., Olaru, I., Papadopoulou, N., and Ramon, M. (2018). Risk assessment of new sequencing information on genetically modified carnation FLO-40689-6. EFSA Journal</w:t>
      </w:r>
      <w:r w:rsidRPr="00276CBB">
        <w:rPr>
          <w:i/>
        </w:rPr>
        <w:t xml:space="preserve"> 16</w:t>
      </w:r>
      <w:r w:rsidRPr="00276CBB">
        <w:t>, e05424.</w:t>
      </w:r>
    </w:p>
    <w:p w14:paraId="17079130" w14:textId="77777777" w:rsidR="00276CBB" w:rsidRPr="00276CBB" w:rsidRDefault="00276CBB" w:rsidP="00276CBB">
      <w:pPr>
        <w:pStyle w:val="EndNoteBibliography"/>
        <w:spacing w:after="240"/>
      </w:pPr>
      <w:r w:rsidRPr="00276CBB">
        <w:t>Gawhari, A.M.H., Jury, S.L., and Culham, A. (2018). Towards an updated checklist of the Libyan flora. Phytotaxa</w:t>
      </w:r>
      <w:r w:rsidRPr="00276CBB">
        <w:rPr>
          <w:i/>
        </w:rPr>
        <w:t xml:space="preserve"> 338</w:t>
      </w:r>
      <w:r w:rsidRPr="00276CBB">
        <w:t>.</w:t>
      </w:r>
    </w:p>
    <w:p w14:paraId="60A75C0F" w14:textId="77777777" w:rsidR="00276CBB" w:rsidRPr="00276CBB" w:rsidRDefault="00276CBB" w:rsidP="00276CBB">
      <w:pPr>
        <w:pStyle w:val="EndNoteBibliography"/>
        <w:spacing w:after="240"/>
      </w:pPr>
      <w:r w:rsidRPr="00276CBB">
        <w:t>Mayer, K., Haeuser, E., Dawson, W., Essl, F., Kreft, H., Pergl, J., Pyšek, P.</w:t>
      </w:r>
      <w:r w:rsidRPr="00276CBB">
        <w:rPr>
          <w:i/>
        </w:rPr>
        <w:t>, et al.</w:t>
      </w:r>
      <w:r w:rsidRPr="00276CBB">
        <w:t xml:space="preserve"> (2017). Naturalization of ornamental plant species in public green spaces and private gardens. Biological Invasions</w:t>
      </w:r>
      <w:r w:rsidRPr="00276CBB">
        <w:rPr>
          <w:i/>
        </w:rPr>
        <w:t xml:space="preserve"> 19</w:t>
      </w:r>
      <w:r w:rsidRPr="00276CBB">
        <w:t>, 3613-3627.</w:t>
      </w:r>
    </w:p>
    <w:p w14:paraId="7D2D5F34" w14:textId="77777777" w:rsidR="00276CBB" w:rsidRPr="00276CBB" w:rsidRDefault="00276CBB" w:rsidP="00276CBB">
      <w:pPr>
        <w:pStyle w:val="EndNoteBibliography"/>
        <w:spacing w:after="240"/>
      </w:pPr>
      <w:r w:rsidRPr="00276CBB">
        <w:t>Milović, M., Kovačić, S., Jasprica, N., and Stamenković, V. (2016). Contribution to the study of Adriatic island flora: Vascular plant species diversity in the Croatian Island of Olib. Natura Croatica</w:t>
      </w:r>
      <w:r w:rsidRPr="00276CBB">
        <w:rPr>
          <w:i/>
        </w:rPr>
        <w:t xml:space="preserve"> 25</w:t>
      </w:r>
      <w:r w:rsidRPr="00276CBB">
        <w:t>, 25-54.</w:t>
      </w:r>
    </w:p>
    <w:p w14:paraId="21598E81" w14:textId="77777777" w:rsidR="00276CBB" w:rsidRPr="00276CBB" w:rsidRDefault="00276CBB" w:rsidP="00276CBB">
      <w:pPr>
        <w:pStyle w:val="EndNoteBibliography"/>
        <w:spacing w:after="240"/>
      </w:pPr>
      <w:r w:rsidRPr="00276CBB">
        <w:t>Pergl, J., Sádlo, J., Petřík, P., Danihelka, J., Chrtek Jr., J., Hejda, M., Moravcová, L.</w:t>
      </w:r>
      <w:r w:rsidRPr="00276CBB">
        <w:rPr>
          <w:i/>
        </w:rPr>
        <w:t>, et al.</w:t>
      </w:r>
      <w:r w:rsidRPr="00276CBB">
        <w:t xml:space="preserve"> (2016). Dark side of the fence: ornamental plants as a source of wild-growing flora in the Czech Republic. Preslia</w:t>
      </w:r>
      <w:r w:rsidRPr="00276CBB">
        <w:rPr>
          <w:i/>
        </w:rPr>
        <w:t xml:space="preserve"> 88</w:t>
      </w:r>
      <w:r w:rsidRPr="00276CBB">
        <w:t>, 163-184.</w:t>
      </w:r>
    </w:p>
    <w:p w14:paraId="45992A69" w14:textId="77777777" w:rsidR="00276CBB" w:rsidRPr="00276CBB" w:rsidRDefault="00276CBB" w:rsidP="00276CBB">
      <w:pPr>
        <w:pStyle w:val="EndNoteBibliography"/>
        <w:spacing w:after="240"/>
      </w:pPr>
      <w:r w:rsidRPr="00276CBB">
        <w:t>Pyšek, P., Danihelka, J., Sádlo, J., Chrtek Jr., J., Chytrý, M., Jarošík, V., Kaplan, Z.</w:t>
      </w:r>
      <w:r w:rsidRPr="00276CBB">
        <w:rPr>
          <w:i/>
        </w:rPr>
        <w:t>, et al.</w:t>
      </w:r>
      <w:r w:rsidRPr="00276CBB">
        <w:t xml:space="preserve"> (2012). Catalogue of alien plants of the Czech Republic (2nd edition): checklist update, taxonomic diversity and invasion patterns. Preslia</w:t>
      </w:r>
      <w:r w:rsidRPr="00276CBB">
        <w:rPr>
          <w:i/>
        </w:rPr>
        <w:t xml:space="preserve"> 84</w:t>
      </w:r>
      <w:r w:rsidRPr="00276CBB">
        <w:t>, 155-255.</w:t>
      </w:r>
    </w:p>
    <w:p w14:paraId="42FF2452" w14:textId="77777777" w:rsidR="00276CBB" w:rsidRPr="00276CBB" w:rsidRDefault="00276CBB" w:rsidP="00276CBB">
      <w:pPr>
        <w:pStyle w:val="EndNoteBibliography"/>
        <w:spacing w:after="240"/>
      </w:pPr>
      <w:r w:rsidRPr="00276CBB">
        <w:t>Randall, R.P. (2017). A Global Compendium of Weeds, 3rd edn (Perth, Western Australia).</w:t>
      </w:r>
    </w:p>
    <w:p w14:paraId="771504B2" w14:textId="77777777" w:rsidR="00276CBB" w:rsidRPr="00276CBB" w:rsidRDefault="00276CBB" w:rsidP="00276CBB">
      <w:pPr>
        <w:pStyle w:val="EndNoteBibliography"/>
        <w:spacing w:after="240"/>
      </w:pPr>
      <w:r w:rsidRPr="00276CBB">
        <w:t>VKM (2015a). Final health and environmental risk assessment of genetically modified carnation Moonaqua 123.8.12. Scientific opinion on genetically modified carnation Moonaqua 123.8.12 from Florigene with modified petal colour for import as cut flowers for ornamental use under Part C of Directive 2001/18/EC (Application C/NL/06/01). Report No. 2015:16. (Oslo, Norway: Panel on Genetically Modified Organisms of the Norwegian Scientific Committee for Food Safety).</w:t>
      </w:r>
    </w:p>
    <w:p w14:paraId="16BCAEAD" w14:textId="77777777" w:rsidR="00276CBB" w:rsidRPr="00276CBB" w:rsidRDefault="00276CBB" w:rsidP="00276CBB">
      <w:pPr>
        <w:pStyle w:val="EndNoteBibliography"/>
        <w:spacing w:after="240"/>
      </w:pPr>
      <w:r w:rsidRPr="00276CBB">
        <w:t>VKM (2015b). Final health and environmental risk assessment of genetically modified carnation Moonberry IFD-25958-3. Scientific opinion on genetically modified carnation Moonberry IFD-25958-3 from Florigene with modified petal colour for import as cut flowers for ornamental use under Part C of Directive 2001/18/EC (Application C/NL /09/01). Report No. 2015:17. (Oslo, Norway: Panel on Genetically Modified Organisms of the Norwegian Scientific Committee for Food Safety).</w:t>
      </w:r>
    </w:p>
    <w:p w14:paraId="19F47722" w14:textId="47752DC3" w:rsidR="00276CBB" w:rsidRDefault="00276CBB" w:rsidP="00276CBB">
      <w:pPr>
        <w:pStyle w:val="EndNoteBibliography"/>
      </w:pPr>
      <w:r w:rsidRPr="00276CBB">
        <w:t>VKM (2015c). Final health and environmental risk assessment of genetically modified carnation Moonvelvet IFD-26407-2. Scientific opinion on genetically modified carnation Moonvelvet IFD-26407-2 from Florigene with modified petal colour for import as cut flowers for ornamental use under Part C of Directive 2001/18/EC (Application C/NL/09/02). Report No. 2015:18. ( Oslo, Norway.: Panel on Genetically Modified Organisms of the Norwegian Scientific Committee for Food Safety).</w:t>
      </w:r>
    </w:p>
    <w:p w14:paraId="18F1B60B" w14:textId="77777777" w:rsidR="00191A79" w:rsidRDefault="00191A79" w:rsidP="00276CBB">
      <w:pPr>
        <w:pStyle w:val="EndNoteBibliography"/>
        <w:sectPr w:rsidR="00191A79" w:rsidSect="009F544D">
          <w:headerReference w:type="default" r:id="rId32"/>
          <w:pgSz w:w="11906" w:h="16838"/>
          <w:pgMar w:top="1134" w:right="1134" w:bottom="1134" w:left="1134" w:header="709" w:footer="709" w:gutter="0"/>
          <w:cols w:space="708"/>
          <w:docGrid w:linePitch="360"/>
        </w:sectPr>
      </w:pPr>
    </w:p>
    <w:p w14:paraId="6FEBF3FE" w14:textId="611F2200" w:rsidR="002B086B" w:rsidRPr="0096368D" w:rsidRDefault="00DF57A0" w:rsidP="003C5DA4">
      <w:pPr>
        <w:pStyle w:val="Heading2"/>
      </w:pPr>
      <w:r>
        <w:fldChar w:fldCharType="end"/>
      </w:r>
      <w:r w:rsidR="004720E6">
        <w:t xml:space="preserve">Literature reviewed in preparation of the </w:t>
      </w:r>
      <w:r w:rsidR="00553C35">
        <w:t xml:space="preserve">consultation </w:t>
      </w:r>
      <w:r w:rsidR="004720E6">
        <w:t>RARMP</w:t>
      </w:r>
    </w:p>
    <w:p w14:paraId="07020266" w14:textId="2906C0CE" w:rsidR="004720E6" w:rsidRDefault="004720E6" w:rsidP="0096368D">
      <w:r>
        <w:t xml:space="preserve">References found through the literature searches described in the body of this document, but </w:t>
      </w:r>
      <w:r w:rsidR="00AA0CD3">
        <w:t xml:space="preserve">not subsequently </w:t>
      </w:r>
      <w:r>
        <w:t>cited directly are provided in this list. References are grouped generally, but some may have relevance to more than one area.</w:t>
      </w:r>
    </w:p>
    <w:p w14:paraId="3B7ACEE9" w14:textId="24590ADA" w:rsidR="0096368D" w:rsidRPr="003C5DA4" w:rsidRDefault="0096368D" w:rsidP="0096368D">
      <w:pPr>
        <w:rPr>
          <w:b/>
        </w:rPr>
      </w:pPr>
      <w:r w:rsidRPr="003C5DA4">
        <w:rPr>
          <w:b/>
        </w:rPr>
        <w:t>1. Medicinal properties, traditional knowledge and uses</w:t>
      </w:r>
    </w:p>
    <w:p w14:paraId="7160A007" w14:textId="5FE07E67" w:rsidR="0096368D" w:rsidRPr="004720E6" w:rsidRDefault="0096368D" w:rsidP="0096368D">
      <w:pPr>
        <w:rPr>
          <w:i/>
          <w:u w:val="single"/>
        </w:rPr>
      </w:pPr>
      <w:r w:rsidRPr="004720E6">
        <w:rPr>
          <w:i/>
          <w:u w:val="single"/>
        </w:rPr>
        <w:t>Carnations</w:t>
      </w:r>
    </w:p>
    <w:p w14:paraId="7272408D" w14:textId="77777777" w:rsidR="00803304" w:rsidRPr="00906CC7" w:rsidRDefault="00803304" w:rsidP="00803304">
      <w:pPr>
        <w:pStyle w:val="EndNoteBibliography"/>
      </w:pPr>
      <w:r w:rsidRPr="00906CC7">
        <w:t xml:space="preserve">Al-Snafi, P.D.A.E. (2017). Chemical contents and medical importance of </w:t>
      </w:r>
      <w:r w:rsidRPr="00803304">
        <w:rPr>
          <w:i/>
        </w:rPr>
        <w:t>Dianthus caryophyllus</w:t>
      </w:r>
      <w:r w:rsidRPr="00906CC7">
        <w:t>- A review. IOSR Journal of Pharmacy (IOSRPHR)</w:t>
      </w:r>
      <w:r w:rsidRPr="00906CC7">
        <w:rPr>
          <w:i/>
        </w:rPr>
        <w:t xml:space="preserve"> 07</w:t>
      </w:r>
      <w:r w:rsidRPr="00906CC7">
        <w:t>, 61-71.</w:t>
      </w:r>
    </w:p>
    <w:p w14:paraId="7E3ADA6F" w14:textId="77777777" w:rsidR="00803304" w:rsidRDefault="00803304" w:rsidP="00803304">
      <w:r>
        <w:t>Chandra, S., and Rawat, D.S. (2015). Medicinal plants of the family Caryophyllaceae: a review of ethno-medicinal uses and pharmacological properties. Integrative Medicine Research 4, 123-131.</w:t>
      </w:r>
    </w:p>
    <w:p w14:paraId="53994F0F" w14:textId="00C8526D" w:rsidR="0096368D" w:rsidRDefault="00803304" w:rsidP="00803304">
      <w:r>
        <w:t xml:space="preserve">Chandra, S., Rawat, D.S., Chandra, D., and Rastogi, J. (2016). Nativity, phytochemistry, ethnobotany and pharmacology of </w:t>
      </w:r>
      <w:r w:rsidRPr="00803304">
        <w:rPr>
          <w:i/>
        </w:rPr>
        <w:t>Dianthus caryophyllus</w:t>
      </w:r>
      <w:r>
        <w:t>. Research Journal of Medicinal Plant 10, 1-9.</w:t>
      </w:r>
    </w:p>
    <w:p w14:paraId="0CEB15A8" w14:textId="77777777" w:rsidR="004720E6" w:rsidRDefault="004720E6" w:rsidP="004720E6">
      <w:r>
        <w:t xml:space="preserve">Chen, S., Xu, Z., Zhao, Y., Zhong, X., Li, C., and Yang, G. (2018). Structural characteristic and phylogenetic analysis of the complete chloroplast genome of </w:t>
      </w:r>
      <w:r w:rsidRPr="004720E6">
        <w:rPr>
          <w:i/>
        </w:rPr>
        <w:t>Dianthus caryophyllus</w:t>
      </w:r>
      <w:r>
        <w:t>. Mitochondrial DNA Part B 3, 1131-1132.</w:t>
      </w:r>
    </w:p>
    <w:p w14:paraId="200EBE65" w14:textId="78C0A128" w:rsidR="004720E6" w:rsidRDefault="004720E6" w:rsidP="004720E6">
      <w:r>
        <w:t>Golestani, M.R., Rad, M., Bassami, M., and Afkhami-Goli, A. (2015). Analysis and evaluation of antibacterial effects of new herbal formulas, AP-001 and AP-002, against</w:t>
      </w:r>
      <w:r w:rsidRPr="004720E6">
        <w:rPr>
          <w:i/>
        </w:rPr>
        <w:t xml:space="preserve"> Escherichia coli</w:t>
      </w:r>
      <w:r>
        <w:t xml:space="preserve"> O157:H7. Life Sciences 135, 22-26.</w:t>
      </w:r>
    </w:p>
    <w:p w14:paraId="6698EECA" w14:textId="77777777" w:rsidR="004720E6" w:rsidRDefault="004720E6" w:rsidP="004720E6">
      <w:r>
        <w:t>Gras, A., Serrasolses, G., Vallès, J., and Garnatje, T. (2019). Traditional knowledge in semi-rural close to industrial areas: ethnobotanical studies in western Gironès (Catalonia, Iberian Peninsula). Journal of Ethnobiology and Ethnomedicine 15, 19.</w:t>
      </w:r>
    </w:p>
    <w:p w14:paraId="10F38182" w14:textId="6DEFD600" w:rsidR="004720E6" w:rsidRDefault="004720E6" w:rsidP="004720E6">
      <w:r>
        <w:t>Jerves-Andrade, L., León-Tamariz, F., Peñaherrera, E., Cuzco, N., Tobar, V., Ansaloni, R., and Wilches, I. (2014). Medicinal plants used in South Ecuador for gastrointestinal problems: An evaluation of the antibacterial potential. Journal of Medicinal Plants research 8, 1310-1320.</w:t>
      </w:r>
    </w:p>
    <w:p w14:paraId="24F1AE9F" w14:textId="1F6176CA" w:rsidR="004720E6" w:rsidRDefault="004720E6" w:rsidP="004720E6">
      <w:r w:rsidRPr="004720E6">
        <w:t>Khalid, M., Saeed ur, R., Bilal, M., and Huang, D.-f. (2019). Role of flavonoids in plant interactions with the environment and against human pathogens — A review. Journal of Integrative Agriculture 18, 211-230.</w:t>
      </w:r>
    </w:p>
    <w:p w14:paraId="7DB52892" w14:textId="77777777" w:rsidR="004720E6" w:rsidRDefault="004720E6" w:rsidP="004720E6">
      <w:r>
        <w:t>Li, A.-N., Li, S., Li, H.-B., Xu, D.-P., Xu, X.-R., and Chen, F. (2014). Total phenolic contents and antioxidant capacities of 51 edible and wild flowers. Journal of Functional Foods 6, 319-330.</w:t>
      </w:r>
    </w:p>
    <w:p w14:paraId="7916E996" w14:textId="0C038E80" w:rsidR="004720E6" w:rsidRDefault="004720E6" w:rsidP="004720E6">
      <w:r>
        <w:t>Pieroni, A., Nedelcheva, A., and Dogan, Y. (2014). Local knowledge of medicinal plants and wild food plants among Tatars and Romanians in Dobruja (South-East Romania). Genetic Resources and Crop Evolution 62, 605-620.</w:t>
      </w:r>
    </w:p>
    <w:p w14:paraId="2B082560" w14:textId="77777777" w:rsidR="004720E6" w:rsidRDefault="004720E6" w:rsidP="004720E6">
      <w:r>
        <w:t>Rezende, F.A.G.G., Sande, D., Coelho, A.C., Oliveira, G.P., Boaventura, M.A.D., and Takahashi, J.A. (2019). Edible flowers as innovative ingredients for future food development: anti-Alzheimer, antimicrobial and antioxidant potential. Chemical Engineering Transactions 75, 337-342.</w:t>
      </w:r>
    </w:p>
    <w:p w14:paraId="7F7E877B" w14:textId="760A1F54" w:rsidR="004720E6" w:rsidRDefault="004720E6" w:rsidP="004720E6">
      <w:r>
        <w:t>Rios, M., Tinitana, F., Jarrín-V, P., Donoso, N., and Romero-Benavides, J.C. (2017). “Horchata” drink in Southern Ecuador: medicinal plants and people’s wellbeing. Journal of Ethnobiology and Ethnomedicine 13, 18.</w:t>
      </w:r>
    </w:p>
    <w:p w14:paraId="068D652E" w14:textId="76DC80BC" w:rsidR="004720E6" w:rsidRPr="004720E6" w:rsidRDefault="004720E6" w:rsidP="004720E6">
      <w:pPr>
        <w:rPr>
          <w:i/>
          <w:u w:val="single"/>
        </w:rPr>
      </w:pPr>
      <w:r w:rsidRPr="004720E6">
        <w:rPr>
          <w:i/>
          <w:u w:val="single"/>
        </w:rPr>
        <w:t>High phenolic food plants and their extracts (</w:t>
      </w:r>
      <w:r w:rsidR="000C5A55">
        <w:rPr>
          <w:i/>
          <w:u w:val="single"/>
        </w:rPr>
        <w:t>flavonoids and delphinidin in particular</w:t>
      </w:r>
      <w:r w:rsidRPr="004720E6">
        <w:rPr>
          <w:i/>
          <w:u w:val="single"/>
        </w:rPr>
        <w:t>)</w:t>
      </w:r>
    </w:p>
    <w:p w14:paraId="6FA99BBC" w14:textId="66760316" w:rsidR="004720E6" w:rsidRDefault="00E23B13" w:rsidP="004720E6">
      <w:r w:rsidRPr="00E23B13">
        <w:t>Benatrehina, P.A., Pan, L., Naman, C.B., Li, J., and Kinghorn, A.D. (2018). Usage, biological activity, and safety of selected botanical dietary supplements consumed in the United States. Journal of Traditional and Complementary Medicine 8, 267-277.</w:t>
      </w:r>
    </w:p>
    <w:p w14:paraId="58613F4D" w14:textId="5AF3F35F" w:rsidR="00E23B13" w:rsidRDefault="00E23B13" w:rsidP="004720E6">
      <w:r w:rsidRPr="00E23B13">
        <w:t>Fuentes, L., Figueroa, C.R., Valdenegro, M., and Vinet, R. (2019). Patagonian berries: Healthy potential and the path to becoming functional foods. Foods 8, 289.</w:t>
      </w:r>
    </w:p>
    <w:p w14:paraId="4692FB5A" w14:textId="77777777" w:rsidR="00E23B13" w:rsidRDefault="00E23B13" w:rsidP="00E23B13">
      <w:r>
        <w:t>Panche, A.N., Diwan, A.D., and Chandra, S.R. (2016). Flavonoids: an overview. Journal of Nutritional Science 5, e47.</w:t>
      </w:r>
    </w:p>
    <w:p w14:paraId="0FC19858" w14:textId="77777777" w:rsidR="00E23B13" w:rsidRDefault="00E23B13" w:rsidP="00E23B13">
      <w:r>
        <w:t>Patel, K., Jain, A., and Patel, D.K. (2013). Medicinal significance, pharmacological activities, and analytical aspects of anthocyanidins ‘delphinidin’: A concise report. Journal of Acute Disease 2, 169-178.</w:t>
      </w:r>
    </w:p>
    <w:p w14:paraId="5BCC5EB3" w14:textId="275F9C2B" w:rsidR="00E23B13" w:rsidRDefault="00E23B13" w:rsidP="00E23B13">
      <w:r>
        <w:t>Sandhya, D.D., Sowjanya, L.G., Laxmi, S.K., and Sulakshana, M. (2014). Edible flowers - A review article. International Journal of Advanced Research in Science and Technology 3, 51-57.</w:t>
      </w:r>
    </w:p>
    <w:p w14:paraId="616A0C26" w14:textId="77777777" w:rsidR="00E23B13" w:rsidRDefault="00E23B13" w:rsidP="00E23B13">
      <w:r>
        <w:t>Watson R.R., and F., S. (2015). Nutraceutical and antioxidant effects of a delphinidin-rich maqui berry extract Delphinol®: a review. Minerva Cardioangiologia 63, 1-12.</w:t>
      </w:r>
    </w:p>
    <w:p w14:paraId="19F6D5DC" w14:textId="1380CE49" w:rsidR="00E23B13" w:rsidRPr="004720E6" w:rsidRDefault="00E23B13" w:rsidP="00E23B13">
      <w:r>
        <w:t>Yamashita, S.I., Suzuki, N., Yamamoto, K., Iio, S.I., and Yamada, T. (2019). Effects of MaquiBright</w:t>
      </w:r>
      <w:r w:rsidR="000C5A55">
        <w:t>®</w:t>
      </w:r>
      <w:r>
        <w:t xml:space="preserve"> on improving eye dryness and fatigue in humans: A randomized, double-blind, placebo-controlled trial. Journal of Traditional and Complementary Medicine 9, 172-178.</w:t>
      </w:r>
    </w:p>
    <w:p w14:paraId="4C0F8223" w14:textId="77777777" w:rsidR="00E570AC" w:rsidRPr="009A6731" w:rsidRDefault="00E570AC" w:rsidP="00E570AC">
      <w:pPr>
        <w:rPr>
          <w:b/>
        </w:rPr>
      </w:pPr>
      <w:r w:rsidRPr="009A6731">
        <w:rPr>
          <w:b/>
        </w:rPr>
        <w:t>2. Allergens/toxins</w:t>
      </w:r>
    </w:p>
    <w:p w14:paraId="7D60D30C" w14:textId="7C4ED6BF" w:rsidR="004720E6" w:rsidRDefault="00E570AC" w:rsidP="004720E6">
      <w:r w:rsidRPr="00E570AC">
        <w:t>Choudhari, S.Y., and Sangavi, A.B. (2017). A clinical study of inhalant allergens in patients with allergic rhinitis. International Journal of Otorhinolaryngology and Head and Neck Surgery 3.</w:t>
      </w:r>
    </w:p>
    <w:p w14:paraId="77914B74" w14:textId="136F918F" w:rsidR="00E570AC" w:rsidRPr="009A6731" w:rsidRDefault="00E570AC" w:rsidP="004720E6">
      <w:pPr>
        <w:rPr>
          <w:b/>
        </w:rPr>
      </w:pPr>
      <w:r w:rsidRPr="009A6731">
        <w:rPr>
          <w:b/>
        </w:rPr>
        <w:t>3. Plant colour compounds: biosynthesis pathways and their control in floral and food plants</w:t>
      </w:r>
    </w:p>
    <w:p w14:paraId="787F9C68" w14:textId="77777777" w:rsidR="00E570AC" w:rsidRDefault="00E570AC" w:rsidP="00E570AC">
      <w:r>
        <w:t>Brockington, S.F., Yang, Y., Gandia-Herrero, F., Covshoff, S., Hibberd, J.M., Sage, R.F., Wong, G.K.S., et al. (2015). Lineage-specific gene radiations underlie the evolution of novel betalain pigmentation in Caryophyllales. New Phytologist 207, 1170-1180.</w:t>
      </w:r>
    </w:p>
    <w:p w14:paraId="3A2FE5E1" w14:textId="68389BEB" w:rsidR="00E570AC" w:rsidRDefault="00E570AC" w:rsidP="00E570AC">
      <w:r>
        <w:t>Chandler, S.F., and Tanaka, Y. (2017). Flower Color. In Encyclopedia of Applied Plant Sciences, pp. 387-392.</w:t>
      </w:r>
    </w:p>
    <w:p w14:paraId="6C3EBE39" w14:textId="55991970" w:rsidR="00E570AC" w:rsidRDefault="00E570AC" w:rsidP="00E570AC">
      <w:r>
        <w:t>Chaves-Silva, S. (2018). Understanding the genetic regulation of anthoc</w:t>
      </w:r>
      <w:r w:rsidR="00AA0CD3">
        <w:t>yanin biosynthesis in plants – t</w:t>
      </w:r>
      <w:r>
        <w:t>ools for breeding purple varieties of fruits and vegetables. Phytochemistry 153, 11-27.</w:t>
      </w:r>
    </w:p>
    <w:p w14:paraId="5EC261EF" w14:textId="314B02F8" w:rsidR="00E570AC" w:rsidRDefault="00E570AC" w:rsidP="00E570AC">
      <w:r>
        <w:t>Lai, Y.-S., Li, S., Tang, Q., Li, H.-X., Chen, S.-X., Li, P.-W., Xu, J.-Y., et al. (2016). The dark-purple tea cultivar ‘Ziyan’ accumulates a large amount of delphinidin-related anthocyanins. Journal of Agricultural and Food Chemistry 64, 2719-2726.</w:t>
      </w:r>
    </w:p>
    <w:p w14:paraId="68859B9B" w14:textId="77777777" w:rsidR="00E570AC" w:rsidRDefault="00E570AC" w:rsidP="00E570AC">
      <w:r>
        <w:t>Luo, P., Ning, G., Wang, Z., Shen, Y., Jin, H., Li, P., Huang, S., et al. (2016). Disequilibrium of flavonol synthase and dihydroflavonol-4-reductase expression associated tightly to white vs. red color flower formation in plants. Frontiers in Plant Science 6.</w:t>
      </w:r>
    </w:p>
    <w:p w14:paraId="25BDAAD4" w14:textId="7D3C985E" w:rsidR="00E570AC" w:rsidRDefault="00E570AC" w:rsidP="00E570AC">
      <w:r>
        <w:t xml:space="preserve">Miyahara, T., Sugishita, N., Ishida-Dei, M., Okamoto, E., Kouno, T., Cano, E.A., Sasaki, N., et al. (2018). Carnation </w:t>
      </w:r>
      <w:r w:rsidRPr="00AA0CD3">
        <w:rPr>
          <w:i/>
        </w:rPr>
        <w:t>I</w:t>
      </w:r>
      <w:r>
        <w:t xml:space="preserve"> locus contains two chalcone isomerase genes involved in orange flower coloration. Breeding Science 68(4), 481-487</w:t>
      </w:r>
      <w:r w:rsidR="004973AB">
        <w:t>.</w:t>
      </w:r>
    </w:p>
    <w:p w14:paraId="42A605C6" w14:textId="77777777" w:rsidR="004973AB" w:rsidRDefault="004973AB" w:rsidP="004973AB">
      <w:r>
        <w:t>Noda, N. (2018). Recent advances in the research and development of blue flowers. Breeding Science advpub.</w:t>
      </w:r>
    </w:p>
    <w:p w14:paraId="18AE5446" w14:textId="6B73C914" w:rsidR="004973AB" w:rsidRDefault="004973AB" w:rsidP="004973AB">
      <w:r>
        <w:t>Okitsu, N., Noda, N., Chandler, S., and Tanaka, Y. (2018). Flower Color and Its Engineering by Genetic Modification. In Ornamental Crops, pp. 29-62.</w:t>
      </w:r>
    </w:p>
    <w:p w14:paraId="06CC41D2" w14:textId="0F9E1B30" w:rsidR="004973AB" w:rsidRDefault="004973AB" w:rsidP="004973AB">
      <w:r>
        <w:t>Robinson, S.P., Pezhmanmehr, M., Speirs, J., McDavid, D.A.J., Hooper, L.C., Rinaldo, A.R., Bogs, J., et al. (2019). Grape and wine flavonoid composition in transgenic grapevines with altered expression of flavonoid hydroxylase genes. Australian Journal of Grape and Wine Research 25, 293-306.</w:t>
      </w:r>
    </w:p>
    <w:p w14:paraId="6505CF5B" w14:textId="77777777" w:rsidR="004973AB" w:rsidRDefault="004973AB" w:rsidP="004973AB">
      <w:r>
        <w:t>Seitz, C., Ameres, S., Schlangen, K., Forkmann, G., and Halbwirth, H. (2015). Multiple evolution of flavonoid 3',5'-hydroxylase. Planta 242, 561-573.</w:t>
      </w:r>
    </w:p>
    <w:p w14:paraId="2AF0CD7F" w14:textId="77777777" w:rsidR="004973AB" w:rsidRDefault="004973AB" w:rsidP="004973AB">
      <w:r>
        <w:t>Tanaka, Y., and Brugliera, F. (2013). Flower colour and cytochromes P450. Philosophical Transactions of the Royal Society B: Biological Sciences 368, 20120432.</w:t>
      </w:r>
    </w:p>
    <w:p w14:paraId="53F60045" w14:textId="7FC192B7" w:rsidR="004973AB" w:rsidRDefault="004973AB" w:rsidP="004973AB">
      <w:r>
        <w:t>Totsuka, A., Okamoto, E., Miyahara, T., Kouno, T., Cano, E.A., Sasaki, N., Watanabe, A., et al. (2018). Repressed expression of a gene for a basic helix-loop-helix protein causes a white flower phenotype in carnation. Breeding Science 68, 139-143.</w:t>
      </w:r>
    </w:p>
    <w:p w14:paraId="1C20064B" w14:textId="0F1CB21E" w:rsidR="004973AB" w:rsidRPr="009A6731" w:rsidRDefault="004973AB" w:rsidP="004973AB">
      <w:pPr>
        <w:rPr>
          <w:b/>
        </w:rPr>
      </w:pPr>
      <w:r w:rsidRPr="009A6731">
        <w:rPr>
          <w:b/>
        </w:rPr>
        <w:t xml:space="preserve">4. Carnation (and other </w:t>
      </w:r>
      <w:r w:rsidRPr="009A6731">
        <w:rPr>
          <w:b/>
          <w:i/>
        </w:rPr>
        <w:t>Dianthus spp.</w:t>
      </w:r>
      <w:r w:rsidRPr="009A6731">
        <w:rPr>
          <w:b/>
        </w:rPr>
        <w:t>) genome analysis</w:t>
      </w:r>
    </w:p>
    <w:p w14:paraId="064E9FA7" w14:textId="77777777" w:rsidR="004973AB" w:rsidRDefault="004973AB" w:rsidP="004973AB">
      <w:r>
        <w:t xml:space="preserve">Chen, S., Xu, Z., Zhao, Y., Zhong, X., Li, C., and Yang, G. (2018). Structural characteristic and phylogenetic analysis of the complete chloroplast genome of </w:t>
      </w:r>
      <w:r w:rsidRPr="00AA0CD3">
        <w:rPr>
          <w:i/>
        </w:rPr>
        <w:t>Dianthus caryophyllus</w:t>
      </w:r>
      <w:r>
        <w:t>. Mitochondrial DNA Part B 3, 1131-1132.</w:t>
      </w:r>
    </w:p>
    <w:p w14:paraId="114F7581" w14:textId="77777777" w:rsidR="004973AB" w:rsidRDefault="004973AB" w:rsidP="004973AB">
      <w:r>
        <w:t xml:space="preserve">Gurusamy, R., Lee, D.-H., and Park, S. (2016). The complete chloroplast genome sequence of </w:t>
      </w:r>
      <w:r w:rsidRPr="002C7026">
        <w:rPr>
          <w:i/>
        </w:rPr>
        <w:t>Dianthus superbus</w:t>
      </w:r>
      <w:r>
        <w:t xml:space="preserve"> var. </w:t>
      </w:r>
      <w:r w:rsidRPr="002C7026">
        <w:rPr>
          <w:i/>
        </w:rPr>
        <w:t>longicalycinus</w:t>
      </w:r>
      <w:r>
        <w:t>. Mitochondrial DNA Part A 27, 2015-2017.</w:t>
      </w:r>
    </w:p>
    <w:p w14:paraId="3563817D" w14:textId="442EEF14" w:rsidR="004973AB" w:rsidRDefault="004973AB" w:rsidP="004973AB">
      <w:r>
        <w:t>İnce, A.G., and Karaca, M. (2015). Td-DAMD-PCR assays for fingerprinting of commercial carnations. Turkish Journal of Biology 39, 290-298.</w:t>
      </w:r>
    </w:p>
    <w:p w14:paraId="1393622F" w14:textId="77777777" w:rsidR="004973AB" w:rsidRDefault="004973AB" w:rsidP="004973AB">
      <w:r>
        <w:t xml:space="preserve">Li, G., Tembrock, L.R., Wu, Z., and Liu, F. (2019). Complete chloroplast genome of carnation (Caryophyllaceae: </w:t>
      </w:r>
      <w:r w:rsidRPr="002C7026">
        <w:rPr>
          <w:i/>
        </w:rPr>
        <w:t xml:space="preserve">Dianthus caryophyllus </w:t>
      </w:r>
      <w:r>
        <w:t>L.). Mitochondrial DNA Part B 4, 1463-1464.</w:t>
      </w:r>
    </w:p>
    <w:p w14:paraId="5796A0A4" w14:textId="0C241259" w:rsidR="004973AB" w:rsidRDefault="004973AB" w:rsidP="004973AB">
      <w:r>
        <w:t xml:space="preserve">Raman, G., and Park, S. (2015). Analysis of the complete chloroplast genome of a medicinal plant, </w:t>
      </w:r>
      <w:r w:rsidRPr="002C7026">
        <w:rPr>
          <w:i/>
        </w:rPr>
        <w:t>Dianthus superbus</w:t>
      </w:r>
      <w:r>
        <w:t xml:space="preserve"> var. </w:t>
      </w:r>
      <w:r w:rsidRPr="002C7026">
        <w:rPr>
          <w:i/>
        </w:rPr>
        <w:t>longicalyncinus</w:t>
      </w:r>
      <w:r>
        <w:t>, from a comparative genomics perspective. PLOS ONE 10, e0141329.</w:t>
      </w:r>
    </w:p>
    <w:p w14:paraId="3245D5A7" w14:textId="77777777" w:rsidR="004973AB" w:rsidRDefault="004973AB" w:rsidP="004973AB">
      <w:r>
        <w:t>Yagi, M. (2015). Recent progress in genomic analysis of ornamental plants, with a focus on carnation. The Horticulture Journal 84, 3-13.</w:t>
      </w:r>
    </w:p>
    <w:p w14:paraId="3C223A17" w14:textId="77777777" w:rsidR="004973AB" w:rsidRDefault="004973AB" w:rsidP="004973AB">
      <w:r>
        <w:t>Yagi, M., Kosugi, S., Hirakawa, H., Ohmiya, A., Tanase, K., Harada, T., Kishimoto, K., et al. (2014). Sequence analysis of the genome of carnation (</w:t>
      </w:r>
      <w:r w:rsidRPr="002C7026">
        <w:rPr>
          <w:i/>
        </w:rPr>
        <w:t>Dianthus caryophyllus</w:t>
      </w:r>
      <w:r>
        <w:t xml:space="preserve"> L.). DNA Research 21, 231-241.</w:t>
      </w:r>
    </w:p>
    <w:p w14:paraId="081B56B5" w14:textId="77777777" w:rsidR="004973AB" w:rsidRDefault="004973AB" w:rsidP="004973AB">
      <w:r>
        <w:t>Yagi, M., Shirasawa, K., Waki, T., Kume, T., Isobe, S., Tanase, K., and Yamaguchi, H. (2017). Construction of an SSR and RAD marker-based genetic linkage map for carnation (</w:t>
      </w:r>
      <w:r w:rsidRPr="002C7026">
        <w:rPr>
          <w:i/>
        </w:rPr>
        <w:t>Dianthus caryophyllus</w:t>
      </w:r>
      <w:r>
        <w:t xml:space="preserve"> L.). Plant Molecular Biology Reporter 35, 110-117.</w:t>
      </w:r>
    </w:p>
    <w:p w14:paraId="15A90F11" w14:textId="67E8BEA6" w:rsidR="004973AB" w:rsidRDefault="004973AB" w:rsidP="004973AB">
      <w:r>
        <w:t>Yang, Y., Moore, M.J., Brockington, S.F., Mikenas, J., Olivieri, J., Walker, J.F., and Smith, S.A. (2018). Improved transcriptome sampling pinpoints 26 ancient and more recent polyploidy events in Caryophyllales, including two allopolyploidy events. New Phytologist 217, 855-870.</w:t>
      </w:r>
    </w:p>
    <w:p w14:paraId="11B3CE4E" w14:textId="77777777" w:rsidR="004973AB" w:rsidRDefault="004973AB" w:rsidP="004973AB">
      <w:r>
        <w:t>Zhang, X., Wang, Q., Yang, S., Lin, S., Bao, M., Bendahmane, M., Wu, Q., et al. (2018). Identification and characterization of the MADS-Box genes and their contribution to flower organ in carnation (</w:t>
      </w:r>
      <w:r w:rsidRPr="002C7026">
        <w:rPr>
          <w:i/>
        </w:rPr>
        <w:t>Dianthus caryophyllus</w:t>
      </w:r>
      <w:r>
        <w:t xml:space="preserve"> L.). Genes 9, 193.</w:t>
      </w:r>
    </w:p>
    <w:p w14:paraId="5EE08EB6" w14:textId="66261798" w:rsidR="004973AB" w:rsidRDefault="004973AB" w:rsidP="004973AB">
      <w:r>
        <w:t>Zhao, D., and Tao, J. (2015). Recent advances on the development and regulation of flower color in ornamental plants. Frontiers in Plant Science 6</w:t>
      </w:r>
      <w:r w:rsidR="002E2717">
        <w:t>: 261</w:t>
      </w:r>
      <w:r>
        <w:t>.</w:t>
      </w:r>
    </w:p>
    <w:p w14:paraId="74327C8B" w14:textId="77777777" w:rsidR="002C7026" w:rsidRPr="009A6731" w:rsidRDefault="002C7026" w:rsidP="002C7026">
      <w:pPr>
        <w:rPr>
          <w:b/>
        </w:rPr>
      </w:pPr>
      <w:r w:rsidRPr="009A6731">
        <w:rPr>
          <w:b/>
        </w:rPr>
        <w:t>5. Carnation biology, propagation and breeding</w:t>
      </w:r>
    </w:p>
    <w:p w14:paraId="6602C9E9" w14:textId="77777777" w:rsidR="002C7026" w:rsidRDefault="002C7026" w:rsidP="002C7026">
      <w:r>
        <w:t>Babu, K.R., Kumar, S.P., and Srinivasulu, A. (2018). Biotechnological approaches for crop improvement in carnation. . International Journal of Chemical Studies 6, 2298-2302.</w:t>
      </w:r>
    </w:p>
    <w:p w14:paraId="1408E55C" w14:textId="77777777" w:rsidR="002C7026" w:rsidRDefault="002C7026" w:rsidP="002C7026">
      <w:r>
        <w:t>Baranski, R., Klimek-Chodacka, M., and Lukasiewicz, A. (2019). Approved genetically modified (GM) horticultural plants: A 25-year perspective.  31, 3-49.</w:t>
      </w:r>
    </w:p>
    <w:p w14:paraId="1B701FF5" w14:textId="3453BB9C" w:rsidR="002E2717" w:rsidRDefault="002C7026" w:rsidP="002C7026">
      <w:r>
        <w:t xml:space="preserve">Boxriker, M., Möhring, J., and Piepho, H.-P. (2018). Genetic and phenotypic correlation for breeding relevant traits in </w:t>
      </w:r>
      <w:r w:rsidRPr="002C7026">
        <w:rPr>
          <w:i/>
        </w:rPr>
        <w:t xml:space="preserve">Dianthus caryophyllus </w:t>
      </w:r>
      <w:r>
        <w:t>L. Postharvest Biology and Technology 143, 129-136.</w:t>
      </w:r>
    </w:p>
    <w:p w14:paraId="402665E6" w14:textId="6A87B73A" w:rsidR="004973AB" w:rsidRDefault="002C7026" w:rsidP="004973AB">
      <w:r w:rsidRPr="002C7026">
        <w:t>Dyaberi, A., Dhananaya, M.V., Kumar, R., and Rao, T.M. (2015). Floral biology and seed setting in standard carnation (</w:t>
      </w:r>
      <w:r w:rsidRPr="002C7026">
        <w:rPr>
          <w:i/>
        </w:rPr>
        <w:t>Dianthus caryophyllus</w:t>
      </w:r>
      <w:r w:rsidRPr="002C7026">
        <w:t>). Indian Journal of Agricultural Sciences 85, 1175-1180.</w:t>
      </w:r>
    </w:p>
    <w:p w14:paraId="5AB1DA97" w14:textId="77777777" w:rsidR="002C7026" w:rsidRDefault="002C7026" w:rsidP="002C7026">
      <w:r>
        <w:t xml:space="preserve">Zhou, X., Mo, X., Gui, M., Wu, X., Jiang, Y., Ma, L., Shi, Z., et al. (2015). Cytological, molecular mechanisms and temperature stress regulating production of diploid male gametes in </w:t>
      </w:r>
      <w:r w:rsidRPr="002C7026">
        <w:rPr>
          <w:i/>
        </w:rPr>
        <w:t>Dianthus caryophyllus</w:t>
      </w:r>
      <w:r>
        <w:t xml:space="preserve"> L. Plant Physiology and Biochemistry 97, 255-263.</w:t>
      </w:r>
    </w:p>
    <w:p w14:paraId="738D0F7F" w14:textId="62835514" w:rsidR="002C7026" w:rsidRDefault="002C7026" w:rsidP="002C7026">
      <w:r>
        <w:t xml:space="preserve">Zhou, X., Su, Y., Yang, X., Zhang, Y., Li, S., Gui, M., and Wang, J. (2017). The biological characters and polyploidy of progenies in hybridization in 4×–2× crosses in </w:t>
      </w:r>
      <w:r w:rsidRPr="002C7026">
        <w:rPr>
          <w:i/>
        </w:rPr>
        <w:t>Dianthus caryophyllus</w:t>
      </w:r>
      <w:r>
        <w:t>. Euphytica 213.</w:t>
      </w:r>
    </w:p>
    <w:p w14:paraId="6363C1F8" w14:textId="4677EC22" w:rsidR="002C7026" w:rsidRPr="009A6731" w:rsidRDefault="002C7026" w:rsidP="002C7026">
      <w:pPr>
        <w:rPr>
          <w:b/>
        </w:rPr>
      </w:pPr>
      <w:r w:rsidRPr="009A6731">
        <w:rPr>
          <w:b/>
        </w:rPr>
        <w:t>6. Flora Surveys</w:t>
      </w:r>
    </w:p>
    <w:p w14:paraId="01AAADBF" w14:textId="6F26B15B" w:rsidR="002C7026" w:rsidRDefault="002C7026" w:rsidP="002C7026">
      <w:r w:rsidRPr="002C7026">
        <w:t>Pescini, V., Montanari, C.A., and Moreno, D.T. (2018). Multi-proxy record of environmental changes and past land use practices in a Mediterranean landscape: The Punta Mesco cape (Liguria - Italy) between the 15th and 20th century. Quaternary International 463, 376-390.</w:t>
      </w:r>
    </w:p>
    <w:p w14:paraId="3036C719" w14:textId="77777777" w:rsidR="00472144" w:rsidRDefault="00472144" w:rsidP="002C7026">
      <w:pPr>
        <w:sectPr w:rsidR="00472144" w:rsidSect="009F544D">
          <w:pgSz w:w="11906" w:h="16838"/>
          <w:pgMar w:top="1134" w:right="1134" w:bottom="1134" w:left="1134" w:header="709" w:footer="709" w:gutter="0"/>
          <w:cols w:space="708"/>
          <w:docGrid w:linePitch="360"/>
        </w:sectPr>
      </w:pPr>
    </w:p>
    <w:p w14:paraId="3A6ED7AF" w14:textId="4FD034AB" w:rsidR="00472144" w:rsidRDefault="00472144" w:rsidP="00472144">
      <w:pPr>
        <w:pStyle w:val="Heading2"/>
        <w:numPr>
          <w:ilvl w:val="0"/>
          <w:numId w:val="0"/>
        </w:numPr>
      </w:pPr>
      <w:r>
        <w:t xml:space="preserve">Appendix A: </w:t>
      </w:r>
      <w:r w:rsidR="003A0831" w:rsidRPr="003A0831">
        <w:t>Summary of submissions from experts, agencies and authorities</w:t>
      </w:r>
    </w:p>
    <w:p w14:paraId="2A3D04FA" w14:textId="43E6C9E8" w:rsidR="00F24418" w:rsidRPr="00C11AA7" w:rsidRDefault="00F24418" w:rsidP="00F24418">
      <w:r w:rsidRPr="009354F6">
        <w:t>Advice received by the Regulator from experts, agencies and authorities</w:t>
      </w:r>
      <w:r w:rsidRPr="009354F6">
        <w:rPr>
          <w:rStyle w:val="FootnoteReference"/>
        </w:rPr>
        <w:footnoteReference w:id="1"/>
      </w:r>
      <w:r w:rsidRPr="009354F6">
        <w:t xml:space="preserve"> on the consultation RARMP is summarised below. All issues raised in submissions that related to risks to the health and safety of people and the environment were considered in the context of the currently available scientific evidence and were used in finalising the RARMP that formed the basis of the Regulator’s decision</w:t>
      </w:r>
      <w:r>
        <w:t xml:space="preserve"> to </w:t>
      </w:r>
      <w:r w:rsidRPr="00C11AA7">
        <w:t>include dealings with GM carnations on the GMO Register.</w:t>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000" w:firstRow="0" w:lastRow="0" w:firstColumn="0" w:lastColumn="0" w:noHBand="0" w:noVBand="0"/>
      </w:tblPr>
      <w:tblGrid>
        <w:gridCol w:w="1304"/>
        <w:gridCol w:w="4083"/>
        <w:gridCol w:w="4644"/>
      </w:tblGrid>
      <w:tr w:rsidR="00F24418" w:rsidRPr="009354F6" w14:paraId="1AA15620" w14:textId="77777777" w:rsidTr="005A1F95">
        <w:trPr>
          <w:trHeight w:val="427"/>
          <w:tblHeader/>
        </w:trPr>
        <w:tc>
          <w:tcPr>
            <w:tcW w:w="1304" w:type="dxa"/>
            <w:tcBorders>
              <w:top w:val="single" w:sz="4" w:space="0" w:color="auto"/>
              <w:left w:val="nil"/>
              <w:bottom w:val="single" w:sz="6" w:space="0" w:color="auto"/>
              <w:right w:val="nil"/>
            </w:tcBorders>
            <w:shd w:val="clear" w:color="auto" w:fill="auto"/>
            <w:vAlign w:val="center"/>
          </w:tcPr>
          <w:p w14:paraId="2CEAC8DA" w14:textId="77777777" w:rsidR="00F24418" w:rsidRPr="009354F6" w:rsidRDefault="00F24418" w:rsidP="00937BAD">
            <w:pPr>
              <w:pStyle w:val="TableTextRARMP"/>
              <w:rPr>
                <w:b/>
                <w:szCs w:val="22"/>
                <w:vertAlign w:val="superscript"/>
              </w:rPr>
            </w:pPr>
            <w:r w:rsidRPr="009354F6">
              <w:rPr>
                <w:b/>
                <w:sz w:val="22"/>
                <w:szCs w:val="22"/>
              </w:rPr>
              <w:t>Submission</w:t>
            </w:r>
          </w:p>
        </w:tc>
        <w:tc>
          <w:tcPr>
            <w:tcW w:w="4083" w:type="dxa"/>
            <w:tcBorders>
              <w:top w:val="single" w:sz="4" w:space="0" w:color="auto"/>
              <w:left w:val="nil"/>
              <w:bottom w:val="single" w:sz="6" w:space="0" w:color="auto"/>
              <w:right w:val="nil"/>
            </w:tcBorders>
            <w:shd w:val="clear" w:color="auto" w:fill="auto"/>
            <w:vAlign w:val="center"/>
          </w:tcPr>
          <w:p w14:paraId="462821F2" w14:textId="77777777" w:rsidR="00F24418" w:rsidRPr="009354F6" w:rsidRDefault="00F24418" w:rsidP="00937BAD">
            <w:pPr>
              <w:pStyle w:val="TableTextRARMP"/>
              <w:rPr>
                <w:b/>
                <w:szCs w:val="22"/>
              </w:rPr>
            </w:pPr>
            <w:r w:rsidRPr="009354F6">
              <w:rPr>
                <w:b/>
                <w:sz w:val="22"/>
                <w:szCs w:val="22"/>
              </w:rPr>
              <w:t>Issues raised</w:t>
            </w:r>
          </w:p>
        </w:tc>
        <w:tc>
          <w:tcPr>
            <w:tcW w:w="4644" w:type="dxa"/>
            <w:tcBorders>
              <w:top w:val="single" w:sz="4" w:space="0" w:color="auto"/>
              <w:left w:val="nil"/>
              <w:bottom w:val="single" w:sz="6" w:space="0" w:color="auto"/>
              <w:right w:val="nil"/>
            </w:tcBorders>
            <w:shd w:val="clear" w:color="auto" w:fill="auto"/>
            <w:vAlign w:val="center"/>
          </w:tcPr>
          <w:p w14:paraId="0CAB1716" w14:textId="77777777" w:rsidR="00F24418" w:rsidRPr="009354F6" w:rsidRDefault="00F24418" w:rsidP="00937BAD">
            <w:pPr>
              <w:pStyle w:val="TableTextRARMP"/>
              <w:rPr>
                <w:b/>
                <w:szCs w:val="22"/>
              </w:rPr>
            </w:pPr>
            <w:r w:rsidRPr="009354F6">
              <w:rPr>
                <w:b/>
                <w:sz w:val="22"/>
                <w:szCs w:val="22"/>
              </w:rPr>
              <w:t>Comment</w:t>
            </w:r>
          </w:p>
        </w:tc>
      </w:tr>
      <w:tr w:rsidR="00F24418" w:rsidRPr="00987948" w14:paraId="1404A745" w14:textId="77777777" w:rsidTr="005A1F95">
        <w:tc>
          <w:tcPr>
            <w:tcW w:w="1304" w:type="dxa"/>
            <w:tcBorders>
              <w:left w:val="nil"/>
              <w:right w:val="nil"/>
            </w:tcBorders>
            <w:shd w:val="clear" w:color="auto" w:fill="auto"/>
          </w:tcPr>
          <w:p w14:paraId="3A71C6C4" w14:textId="77777777" w:rsidR="00F24418" w:rsidRPr="009354F6" w:rsidRDefault="00F24418" w:rsidP="00937BAD">
            <w:pPr>
              <w:pStyle w:val="TableTextRARMP"/>
              <w:spacing w:after="120"/>
              <w:jc w:val="center"/>
              <w:rPr>
                <w:szCs w:val="22"/>
              </w:rPr>
            </w:pPr>
            <w:r w:rsidRPr="009354F6">
              <w:rPr>
                <w:szCs w:val="22"/>
              </w:rPr>
              <w:t>1</w:t>
            </w:r>
          </w:p>
        </w:tc>
        <w:tc>
          <w:tcPr>
            <w:tcW w:w="4083" w:type="dxa"/>
            <w:tcBorders>
              <w:left w:val="nil"/>
              <w:right w:val="nil"/>
            </w:tcBorders>
            <w:shd w:val="clear" w:color="auto" w:fill="auto"/>
          </w:tcPr>
          <w:p w14:paraId="39E32F6F" w14:textId="5B7E621A" w:rsidR="00F24418" w:rsidRPr="00987948" w:rsidRDefault="005A1F95" w:rsidP="00941533">
            <w:pPr>
              <w:pStyle w:val="TableTextRARMP"/>
              <w:spacing w:after="120"/>
              <w:ind w:left="291" w:hanging="291"/>
              <w:rPr>
                <w:sz w:val="22"/>
                <w:szCs w:val="22"/>
              </w:rPr>
            </w:pPr>
            <w:r w:rsidRPr="005A1F95">
              <w:rPr>
                <w:sz w:val="22"/>
                <w:szCs w:val="22"/>
              </w:rPr>
              <w:t>Not a specialist expert, so will not provide comment.</w:t>
            </w:r>
          </w:p>
        </w:tc>
        <w:tc>
          <w:tcPr>
            <w:tcW w:w="4644" w:type="dxa"/>
            <w:tcBorders>
              <w:left w:val="nil"/>
              <w:right w:val="nil"/>
            </w:tcBorders>
            <w:shd w:val="clear" w:color="auto" w:fill="auto"/>
          </w:tcPr>
          <w:p w14:paraId="5B9F942F" w14:textId="4D7ED894" w:rsidR="00F24418" w:rsidRPr="00987948" w:rsidRDefault="005A1F95" w:rsidP="00941533">
            <w:pPr>
              <w:pStyle w:val="TableTextRARMP"/>
              <w:spacing w:after="120"/>
              <w:ind w:left="180" w:hanging="180"/>
              <w:rPr>
                <w:sz w:val="22"/>
                <w:szCs w:val="22"/>
              </w:rPr>
            </w:pPr>
            <w:r w:rsidRPr="005A1F95">
              <w:rPr>
                <w:sz w:val="22"/>
                <w:szCs w:val="22"/>
              </w:rPr>
              <w:t>Noted.</w:t>
            </w:r>
          </w:p>
        </w:tc>
      </w:tr>
      <w:tr w:rsidR="00C11AA7" w:rsidRPr="00987948" w14:paraId="6BD11684" w14:textId="77777777" w:rsidTr="007B2E3A">
        <w:tc>
          <w:tcPr>
            <w:tcW w:w="1304" w:type="dxa"/>
            <w:tcBorders>
              <w:left w:val="nil"/>
              <w:bottom w:val="single" w:sz="6" w:space="0" w:color="auto"/>
              <w:right w:val="nil"/>
            </w:tcBorders>
            <w:shd w:val="clear" w:color="auto" w:fill="auto"/>
          </w:tcPr>
          <w:p w14:paraId="7A3FCCCF" w14:textId="3C983FB9" w:rsidR="00C11AA7" w:rsidRPr="009354F6" w:rsidRDefault="00C11AA7" w:rsidP="00937BAD">
            <w:pPr>
              <w:pStyle w:val="TableTextRARMP"/>
              <w:spacing w:after="120"/>
              <w:jc w:val="center"/>
              <w:rPr>
                <w:szCs w:val="22"/>
              </w:rPr>
            </w:pPr>
            <w:r>
              <w:rPr>
                <w:szCs w:val="22"/>
              </w:rPr>
              <w:t>2</w:t>
            </w:r>
          </w:p>
        </w:tc>
        <w:tc>
          <w:tcPr>
            <w:tcW w:w="4083" w:type="dxa"/>
            <w:tcBorders>
              <w:left w:val="nil"/>
              <w:bottom w:val="single" w:sz="6" w:space="0" w:color="auto"/>
              <w:right w:val="nil"/>
            </w:tcBorders>
            <w:shd w:val="clear" w:color="auto" w:fill="auto"/>
          </w:tcPr>
          <w:p w14:paraId="7CA11496" w14:textId="79A54CE6" w:rsidR="00C11AA7" w:rsidRPr="00987948" w:rsidRDefault="005A1F95" w:rsidP="00941533">
            <w:pPr>
              <w:pStyle w:val="TableTextRARMP"/>
              <w:spacing w:after="120"/>
              <w:ind w:left="291" w:hanging="283"/>
              <w:rPr>
                <w:sz w:val="22"/>
                <w:szCs w:val="22"/>
              </w:rPr>
            </w:pPr>
            <w:r w:rsidRPr="005A1F95">
              <w:rPr>
                <w:sz w:val="22"/>
                <w:szCs w:val="22"/>
              </w:rPr>
              <w:t>Broadly supportive of application DIR 134 (sic). Notes that it is for flowers cut overseas which have been dipped in glyphosate prior to arrival so that they are not viable for propagation. This presents a negligible risk to Australia.</w:t>
            </w:r>
          </w:p>
        </w:tc>
        <w:tc>
          <w:tcPr>
            <w:tcW w:w="4644" w:type="dxa"/>
            <w:tcBorders>
              <w:left w:val="nil"/>
              <w:bottom w:val="single" w:sz="6" w:space="0" w:color="auto"/>
              <w:right w:val="nil"/>
            </w:tcBorders>
            <w:shd w:val="clear" w:color="auto" w:fill="auto"/>
          </w:tcPr>
          <w:p w14:paraId="4A9FB434" w14:textId="7C400329" w:rsidR="00C11AA7" w:rsidRPr="00987948" w:rsidRDefault="005A1F95" w:rsidP="00941533">
            <w:pPr>
              <w:pStyle w:val="TableTextRARMP"/>
              <w:spacing w:after="120"/>
              <w:ind w:left="180" w:hanging="180"/>
              <w:rPr>
                <w:sz w:val="22"/>
                <w:szCs w:val="22"/>
              </w:rPr>
            </w:pPr>
            <w:r w:rsidRPr="005A1F95">
              <w:rPr>
                <w:sz w:val="22"/>
                <w:szCs w:val="22"/>
              </w:rPr>
              <w:t>Noted.</w:t>
            </w:r>
          </w:p>
        </w:tc>
      </w:tr>
      <w:tr w:rsidR="00C11AA7" w:rsidRPr="00987948" w14:paraId="63958AF9" w14:textId="77777777" w:rsidTr="007B2E3A">
        <w:tc>
          <w:tcPr>
            <w:tcW w:w="1304" w:type="dxa"/>
            <w:tcBorders>
              <w:left w:val="nil"/>
              <w:bottom w:val="nil"/>
              <w:right w:val="nil"/>
            </w:tcBorders>
            <w:shd w:val="clear" w:color="auto" w:fill="auto"/>
          </w:tcPr>
          <w:p w14:paraId="08E96683" w14:textId="5251F782" w:rsidR="00C11AA7" w:rsidRPr="009354F6" w:rsidRDefault="00C11AA7" w:rsidP="00937BAD">
            <w:pPr>
              <w:pStyle w:val="TableTextRARMP"/>
              <w:spacing w:after="120"/>
              <w:jc w:val="center"/>
              <w:rPr>
                <w:szCs w:val="22"/>
              </w:rPr>
            </w:pPr>
            <w:r>
              <w:rPr>
                <w:szCs w:val="22"/>
              </w:rPr>
              <w:t>3</w:t>
            </w:r>
          </w:p>
        </w:tc>
        <w:tc>
          <w:tcPr>
            <w:tcW w:w="4083" w:type="dxa"/>
            <w:tcBorders>
              <w:left w:val="nil"/>
              <w:bottom w:val="nil"/>
              <w:right w:val="nil"/>
            </w:tcBorders>
            <w:shd w:val="clear" w:color="auto" w:fill="auto"/>
          </w:tcPr>
          <w:p w14:paraId="7D0E71AC" w14:textId="06C27BCD" w:rsidR="00C11AA7" w:rsidRPr="00987948" w:rsidRDefault="005A1F95" w:rsidP="00941533">
            <w:pPr>
              <w:pStyle w:val="TableTextRARMP"/>
              <w:spacing w:after="120"/>
              <w:ind w:left="291" w:hanging="291"/>
              <w:rPr>
                <w:sz w:val="22"/>
                <w:szCs w:val="22"/>
              </w:rPr>
            </w:pPr>
            <w:r w:rsidRPr="005A1F95">
              <w:rPr>
                <w:sz w:val="22"/>
                <w:szCs w:val="22"/>
              </w:rPr>
              <w:t>Agrees with the conclusions of the RARMP that the risks to the health and safety of people and the environment posed by the dealings with the GM carnations are negligible.</w:t>
            </w:r>
          </w:p>
        </w:tc>
        <w:tc>
          <w:tcPr>
            <w:tcW w:w="4644" w:type="dxa"/>
            <w:tcBorders>
              <w:left w:val="nil"/>
              <w:bottom w:val="nil"/>
              <w:right w:val="nil"/>
            </w:tcBorders>
            <w:shd w:val="clear" w:color="auto" w:fill="auto"/>
          </w:tcPr>
          <w:p w14:paraId="2E2BDBA1" w14:textId="338F4694" w:rsidR="00C11AA7" w:rsidRPr="00987948" w:rsidRDefault="005A1F95" w:rsidP="00941533">
            <w:pPr>
              <w:pStyle w:val="TableTextRARMP"/>
              <w:spacing w:after="120"/>
              <w:ind w:left="180" w:hanging="180"/>
              <w:rPr>
                <w:sz w:val="22"/>
                <w:szCs w:val="22"/>
              </w:rPr>
            </w:pPr>
            <w:r w:rsidRPr="005A1F95">
              <w:rPr>
                <w:sz w:val="22"/>
                <w:szCs w:val="22"/>
              </w:rPr>
              <w:t>Noted.</w:t>
            </w:r>
          </w:p>
        </w:tc>
      </w:tr>
      <w:tr w:rsidR="005A1F95" w:rsidRPr="00987948" w14:paraId="38C3C069" w14:textId="77777777" w:rsidTr="007B2E3A">
        <w:tc>
          <w:tcPr>
            <w:tcW w:w="1304" w:type="dxa"/>
            <w:tcBorders>
              <w:top w:val="nil"/>
              <w:left w:val="nil"/>
              <w:bottom w:val="nil"/>
              <w:right w:val="nil"/>
            </w:tcBorders>
            <w:shd w:val="clear" w:color="auto" w:fill="auto"/>
          </w:tcPr>
          <w:p w14:paraId="6609FC6B" w14:textId="77777777" w:rsidR="005A1F95" w:rsidRPr="005A1F95" w:rsidRDefault="005A1F95" w:rsidP="005A1F95">
            <w:pPr>
              <w:pStyle w:val="TableTextRARMP"/>
              <w:spacing w:after="120"/>
              <w:jc w:val="center"/>
              <w:rPr>
                <w:sz w:val="22"/>
                <w:szCs w:val="22"/>
              </w:rPr>
            </w:pPr>
          </w:p>
        </w:tc>
        <w:tc>
          <w:tcPr>
            <w:tcW w:w="4083" w:type="dxa"/>
            <w:tcBorders>
              <w:top w:val="nil"/>
              <w:left w:val="nil"/>
              <w:bottom w:val="nil"/>
              <w:right w:val="nil"/>
            </w:tcBorders>
            <w:shd w:val="clear" w:color="auto" w:fill="auto"/>
          </w:tcPr>
          <w:p w14:paraId="282589B0" w14:textId="525908F2" w:rsidR="005A1F95" w:rsidRPr="005A1F95" w:rsidRDefault="005A1F95" w:rsidP="00941533">
            <w:pPr>
              <w:pStyle w:val="TableTextRARMP"/>
              <w:spacing w:after="120"/>
              <w:ind w:left="291" w:hanging="291"/>
              <w:rPr>
                <w:sz w:val="22"/>
                <w:szCs w:val="22"/>
              </w:rPr>
            </w:pPr>
            <w:r w:rsidRPr="005A1F95">
              <w:rPr>
                <w:sz w:val="22"/>
              </w:rPr>
              <w:t>Include clearer text describing why the Regulator is consulting on the RARMP.</w:t>
            </w:r>
          </w:p>
        </w:tc>
        <w:tc>
          <w:tcPr>
            <w:tcW w:w="4644" w:type="dxa"/>
            <w:tcBorders>
              <w:top w:val="nil"/>
              <w:left w:val="nil"/>
              <w:bottom w:val="nil"/>
              <w:right w:val="nil"/>
            </w:tcBorders>
            <w:shd w:val="clear" w:color="auto" w:fill="auto"/>
          </w:tcPr>
          <w:p w14:paraId="431FDF3B" w14:textId="495D3B51" w:rsidR="005A1F95" w:rsidRPr="00987948" w:rsidRDefault="005A1F95" w:rsidP="00941533">
            <w:pPr>
              <w:pStyle w:val="TableTextRARMP"/>
              <w:spacing w:after="120"/>
              <w:ind w:left="180" w:hanging="180"/>
              <w:rPr>
                <w:sz w:val="22"/>
                <w:szCs w:val="22"/>
              </w:rPr>
            </w:pPr>
            <w:r w:rsidRPr="005A1F95">
              <w:rPr>
                <w:sz w:val="22"/>
                <w:szCs w:val="22"/>
              </w:rPr>
              <w:t>The RARMP now includes information regarding consultation in Section 1.</w:t>
            </w:r>
          </w:p>
        </w:tc>
      </w:tr>
      <w:tr w:rsidR="005A1F95" w:rsidRPr="00987948" w14:paraId="232AEFA0" w14:textId="77777777" w:rsidTr="007B2E3A">
        <w:tc>
          <w:tcPr>
            <w:tcW w:w="1304" w:type="dxa"/>
            <w:tcBorders>
              <w:top w:val="nil"/>
              <w:left w:val="nil"/>
              <w:bottom w:val="nil"/>
              <w:right w:val="nil"/>
            </w:tcBorders>
            <w:shd w:val="clear" w:color="auto" w:fill="auto"/>
          </w:tcPr>
          <w:p w14:paraId="48B95E27" w14:textId="77777777" w:rsidR="005A1F95" w:rsidRDefault="005A1F95" w:rsidP="00937BAD">
            <w:pPr>
              <w:pStyle w:val="TableTextRARMP"/>
              <w:spacing w:after="120"/>
              <w:jc w:val="center"/>
              <w:rPr>
                <w:szCs w:val="22"/>
              </w:rPr>
            </w:pPr>
          </w:p>
        </w:tc>
        <w:tc>
          <w:tcPr>
            <w:tcW w:w="4083" w:type="dxa"/>
            <w:tcBorders>
              <w:top w:val="nil"/>
              <w:left w:val="nil"/>
              <w:bottom w:val="nil"/>
              <w:right w:val="nil"/>
            </w:tcBorders>
            <w:shd w:val="clear" w:color="auto" w:fill="auto"/>
          </w:tcPr>
          <w:p w14:paraId="0A5DC820" w14:textId="58CD726B" w:rsidR="005A1F95" w:rsidRPr="00987948" w:rsidRDefault="005A1F95" w:rsidP="00941533">
            <w:pPr>
              <w:pStyle w:val="TableTextRARMP"/>
              <w:spacing w:after="120"/>
              <w:ind w:left="291" w:hanging="291"/>
              <w:rPr>
                <w:sz w:val="22"/>
                <w:szCs w:val="22"/>
              </w:rPr>
            </w:pPr>
            <w:r w:rsidRPr="005A1F95">
              <w:rPr>
                <w:sz w:val="22"/>
                <w:szCs w:val="22"/>
              </w:rPr>
              <w:t>Section 2.3.2 should include additional text to explain the factors contributing to the conclusions of negligible risk of toxicity to humans or other desirable organisms and negligible risk of spread to the environment.</w:t>
            </w:r>
          </w:p>
        </w:tc>
        <w:tc>
          <w:tcPr>
            <w:tcW w:w="4644" w:type="dxa"/>
            <w:tcBorders>
              <w:top w:val="nil"/>
              <w:left w:val="nil"/>
              <w:bottom w:val="nil"/>
              <w:right w:val="nil"/>
            </w:tcBorders>
            <w:shd w:val="clear" w:color="auto" w:fill="auto"/>
          </w:tcPr>
          <w:p w14:paraId="4AD331D1" w14:textId="5B407F6B" w:rsidR="005A1F95" w:rsidRPr="00987948" w:rsidRDefault="005A1F95" w:rsidP="00941533">
            <w:pPr>
              <w:pStyle w:val="TableTextRARMP"/>
              <w:spacing w:after="120"/>
              <w:ind w:left="180" w:hanging="180"/>
              <w:rPr>
                <w:sz w:val="22"/>
                <w:szCs w:val="22"/>
              </w:rPr>
            </w:pPr>
            <w:r w:rsidRPr="005A1F95">
              <w:rPr>
                <w:sz w:val="22"/>
                <w:szCs w:val="22"/>
              </w:rPr>
              <w:t>Section 2.3.2, paragraph 18, outlines the principal reasons for conclusions of negligible risk for risk scenarios assessed in the RARMP for DIR 134. As the GM carnations are only available as cut flowers, contact by desirable organisms including beneficial insects is considered to be unlikely. In addition, links to the RARMP for DIR 134 are included in the current RARMP for those seeking further information.</w:t>
            </w:r>
          </w:p>
        </w:tc>
      </w:tr>
      <w:tr w:rsidR="005A1F95" w:rsidRPr="00987948" w14:paraId="0603E270" w14:textId="77777777" w:rsidTr="007B2E3A">
        <w:tc>
          <w:tcPr>
            <w:tcW w:w="1304" w:type="dxa"/>
            <w:tcBorders>
              <w:top w:val="nil"/>
              <w:left w:val="nil"/>
              <w:bottom w:val="single" w:sz="6" w:space="0" w:color="auto"/>
              <w:right w:val="nil"/>
            </w:tcBorders>
            <w:shd w:val="clear" w:color="auto" w:fill="auto"/>
          </w:tcPr>
          <w:p w14:paraId="0213B62A" w14:textId="77777777" w:rsidR="005A1F95" w:rsidRDefault="005A1F95" w:rsidP="00937BAD">
            <w:pPr>
              <w:pStyle w:val="TableTextRARMP"/>
              <w:spacing w:after="120"/>
              <w:jc w:val="center"/>
              <w:rPr>
                <w:szCs w:val="22"/>
              </w:rPr>
            </w:pPr>
          </w:p>
        </w:tc>
        <w:tc>
          <w:tcPr>
            <w:tcW w:w="4083" w:type="dxa"/>
            <w:tcBorders>
              <w:top w:val="nil"/>
              <w:left w:val="nil"/>
              <w:bottom w:val="single" w:sz="6" w:space="0" w:color="auto"/>
              <w:right w:val="nil"/>
            </w:tcBorders>
            <w:shd w:val="clear" w:color="auto" w:fill="auto"/>
          </w:tcPr>
          <w:p w14:paraId="4940111F" w14:textId="0F4A1018" w:rsidR="005A1F95" w:rsidRPr="00987948" w:rsidRDefault="005A1F95" w:rsidP="00941533">
            <w:pPr>
              <w:pStyle w:val="TableTextRARMP"/>
              <w:spacing w:after="120"/>
              <w:ind w:left="291" w:hanging="291"/>
              <w:rPr>
                <w:sz w:val="22"/>
                <w:szCs w:val="22"/>
              </w:rPr>
            </w:pPr>
            <w:r w:rsidRPr="005A1F95">
              <w:rPr>
                <w:sz w:val="22"/>
                <w:szCs w:val="22"/>
              </w:rPr>
              <w:t>Should include supporting information from the RARMP from Reg 001/2004 regarding consultation and import of the carnations included on the GMO Register.</w:t>
            </w:r>
          </w:p>
        </w:tc>
        <w:tc>
          <w:tcPr>
            <w:tcW w:w="4644" w:type="dxa"/>
            <w:tcBorders>
              <w:top w:val="nil"/>
              <w:left w:val="nil"/>
              <w:bottom w:val="single" w:sz="6" w:space="0" w:color="auto"/>
              <w:right w:val="nil"/>
            </w:tcBorders>
            <w:shd w:val="clear" w:color="auto" w:fill="auto"/>
          </w:tcPr>
          <w:p w14:paraId="39DD9E04" w14:textId="11B1A298" w:rsidR="005A1F95" w:rsidRPr="00987948" w:rsidRDefault="005A1F95" w:rsidP="00941533">
            <w:pPr>
              <w:pStyle w:val="TableTextRARMP"/>
              <w:spacing w:after="120"/>
              <w:ind w:left="180" w:hanging="180"/>
              <w:rPr>
                <w:sz w:val="22"/>
                <w:szCs w:val="22"/>
              </w:rPr>
            </w:pPr>
            <w:r w:rsidRPr="005A1F95">
              <w:rPr>
                <w:sz w:val="22"/>
                <w:szCs w:val="22"/>
              </w:rPr>
              <w:t>Although similar, neither the GM carnation lines, nor a number of the dealings included on the GMO Register under Reg-001/2004, are the same as those in the current application. Therefore, whilst these are mentioned briefly in Section 1 and Section 2.2, they are not the focus of this RARMP so further discussion is not included. We have however provided a link to the documents for Register 001/2004 in Section 1 for those seeking further information.</w:t>
            </w:r>
          </w:p>
        </w:tc>
      </w:tr>
      <w:tr w:rsidR="00C11AA7" w:rsidRPr="00987948" w14:paraId="5E9B5A70" w14:textId="77777777" w:rsidTr="00FB759C">
        <w:tc>
          <w:tcPr>
            <w:tcW w:w="1304" w:type="dxa"/>
            <w:tcBorders>
              <w:left w:val="nil"/>
              <w:bottom w:val="nil"/>
              <w:right w:val="nil"/>
            </w:tcBorders>
            <w:shd w:val="clear" w:color="auto" w:fill="auto"/>
          </w:tcPr>
          <w:p w14:paraId="5A63421C" w14:textId="640DDE9E" w:rsidR="00C11AA7" w:rsidRPr="009354F6" w:rsidRDefault="00C11AA7" w:rsidP="00937BAD">
            <w:pPr>
              <w:pStyle w:val="TableTextRARMP"/>
              <w:spacing w:after="120"/>
              <w:jc w:val="center"/>
              <w:rPr>
                <w:szCs w:val="22"/>
              </w:rPr>
            </w:pPr>
            <w:r>
              <w:rPr>
                <w:szCs w:val="22"/>
              </w:rPr>
              <w:t>4</w:t>
            </w:r>
          </w:p>
        </w:tc>
        <w:tc>
          <w:tcPr>
            <w:tcW w:w="4083" w:type="dxa"/>
            <w:tcBorders>
              <w:left w:val="nil"/>
              <w:bottom w:val="nil"/>
              <w:right w:val="nil"/>
            </w:tcBorders>
            <w:shd w:val="clear" w:color="auto" w:fill="auto"/>
          </w:tcPr>
          <w:p w14:paraId="2CEC1393" w14:textId="0926FD87" w:rsidR="00C11AA7" w:rsidRPr="00987948" w:rsidRDefault="005A1F95" w:rsidP="00941533">
            <w:pPr>
              <w:pStyle w:val="TableTextRARMP"/>
              <w:spacing w:after="120"/>
              <w:ind w:left="291" w:hanging="291"/>
              <w:rPr>
                <w:sz w:val="22"/>
                <w:szCs w:val="22"/>
              </w:rPr>
            </w:pPr>
            <w:r w:rsidRPr="005A1F95">
              <w:rPr>
                <w:sz w:val="22"/>
                <w:szCs w:val="22"/>
              </w:rPr>
              <w:t>Not clear whether these GM carnations are subject to biosecurity conditions and required to follow the Commonwealth Department of Agriculture, Water and Environment instructions on the devitalisation process to render them non-viable prior import into Australia. This is a biosecurity requirement and is the responsibility of the importer.</w:t>
            </w:r>
          </w:p>
        </w:tc>
        <w:tc>
          <w:tcPr>
            <w:tcW w:w="4644" w:type="dxa"/>
            <w:tcBorders>
              <w:left w:val="nil"/>
              <w:bottom w:val="nil"/>
              <w:right w:val="nil"/>
            </w:tcBorders>
            <w:shd w:val="clear" w:color="auto" w:fill="auto"/>
          </w:tcPr>
          <w:p w14:paraId="77B7BB5A" w14:textId="7156950C" w:rsidR="00C11AA7" w:rsidRPr="00987948" w:rsidRDefault="005A1F95" w:rsidP="00941533">
            <w:pPr>
              <w:pStyle w:val="TableTextRARMP"/>
              <w:spacing w:after="120"/>
              <w:ind w:left="180" w:hanging="180"/>
              <w:rPr>
                <w:sz w:val="22"/>
                <w:szCs w:val="22"/>
              </w:rPr>
            </w:pPr>
            <w:r w:rsidRPr="005A1F95">
              <w:rPr>
                <w:sz w:val="22"/>
                <w:szCs w:val="22"/>
              </w:rPr>
              <w:t>Section 2 (paragraph 9) discusses the biosecurity requirements for cut flowers imported into Australia, including the GM carnations that are the subject of this RARMP. These requirements would not be affected by inclusion of the dealings on the GMO Register.</w:t>
            </w:r>
          </w:p>
        </w:tc>
      </w:tr>
      <w:tr w:rsidR="005A1F95" w:rsidRPr="00987948" w14:paraId="4ECFD58D" w14:textId="77777777" w:rsidTr="00FB759C">
        <w:tc>
          <w:tcPr>
            <w:tcW w:w="1304" w:type="dxa"/>
            <w:tcBorders>
              <w:top w:val="nil"/>
              <w:left w:val="nil"/>
              <w:right w:val="nil"/>
            </w:tcBorders>
            <w:shd w:val="clear" w:color="auto" w:fill="auto"/>
          </w:tcPr>
          <w:p w14:paraId="59268436" w14:textId="77777777" w:rsidR="005A1F95" w:rsidRDefault="005A1F95" w:rsidP="00937BAD">
            <w:pPr>
              <w:pStyle w:val="TableTextRARMP"/>
              <w:spacing w:after="120"/>
              <w:jc w:val="center"/>
              <w:rPr>
                <w:szCs w:val="22"/>
              </w:rPr>
            </w:pPr>
          </w:p>
        </w:tc>
        <w:tc>
          <w:tcPr>
            <w:tcW w:w="4083" w:type="dxa"/>
            <w:tcBorders>
              <w:top w:val="nil"/>
              <w:left w:val="nil"/>
              <w:right w:val="nil"/>
            </w:tcBorders>
            <w:shd w:val="clear" w:color="auto" w:fill="auto"/>
          </w:tcPr>
          <w:p w14:paraId="35AAEBC0" w14:textId="442E62B6" w:rsidR="005A1F95" w:rsidRPr="005A1F95" w:rsidRDefault="005A1F95" w:rsidP="00941533">
            <w:pPr>
              <w:pStyle w:val="TableTextRARMP"/>
              <w:spacing w:after="120"/>
              <w:ind w:left="291" w:hanging="291"/>
              <w:rPr>
                <w:sz w:val="22"/>
                <w:szCs w:val="22"/>
              </w:rPr>
            </w:pPr>
            <w:r w:rsidRPr="005A1F95">
              <w:rPr>
                <w:sz w:val="22"/>
                <w:szCs w:val="22"/>
              </w:rPr>
              <w:t>Supported the conclusion that inclusion of dealings with GM carnations on the GMO Register pose negligible risk of harm to human health and safety and the environment.</w:t>
            </w:r>
          </w:p>
        </w:tc>
        <w:tc>
          <w:tcPr>
            <w:tcW w:w="4644" w:type="dxa"/>
            <w:tcBorders>
              <w:top w:val="nil"/>
              <w:left w:val="nil"/>
              <w:right w:val="nil"/>
            </w:tcBorders>
            <w:shd w:val="clear" w:color="auto" w:fill="auto"/>
          </w:tcPr>
          <w:p w14:paraId="7923004F" w14:textId="18B678F4" w:rsidR="005A1F95" w:rsidRPr="005A1F95" w:rsidRDefault="005A1F95" w:rsidP="00941533">
            <w:pPr>
              <w:pStyle w:val="TableTextRARMP"/>
              <w:spacing w:after="120"/>
              <w:ind w:left="180" w:hanging="180"/>
              <w:rPr>
                <w:sz w:val="22"/>
                <w:szCs w:val="22"/>
              </w:rPr>
            </w:pPr>
            <w:r w:rsidRPr="005A1F95">
              <w:rPr>
                <w:sz w:val="22"/>
                <w:szCs w:val="22"/>
              </w:rPr>
              <w:t>Noted.</w:t>
            </w:r>
          </w:p>
        </w:tc>
      </w:tr>
      <w:tr w:rsidR="00150B93" w:rsidRPr="00987948" w14:paraId="1D29789B" w14:textId="77777777" w:rsidTr="005A1F95">
        <w:tc>
          <w:tcPr>
            <w:tcW w:w="1304" w:type="dxa"/>
            <w:tcBorders>
              <w:left w:val="nil"/>
              <w:bottom w:val="single" w:sz="6" w:space="0" w:color="auto"/>
              <w:right w:val="nil"/>
            </w:tcBorders>
            <w:shd w:val="clear" w:color="auto" w:fill="auto"/>
          </w:tcPr>
          <w:p w14:paraId="0A8F1761" w14:textId="46D67E9E" w:rsidR="00150B93" w:rsidRDefault="00150B93" w:rsidP="00937BAD">
            <w:pPr>
              <w:pStyle w:val="TableTextRARMP"/>
              <w:spacing w:after="120"/>
              <w:jc w:val="center"/>
              <w:rPr>
                <w:szCs w:val="22"/>
              </w:rPr>
            </w:pPr>
            <w:r>
              <w:rPr>
                <w:szCs w:val="22"/>
              </w:rPr>
              <w:t>5</w:t>
            </w:r>
          </w:p>
        </w:tc>
        <w:tc>
          <w:tcPr>
            <w:tcW w:w="4083" w:type="dxa"/>
            <w:tcBorders>
              <w:left w:val="nil"/>
              <w:bottom w:val="single" w:sz="6" w:space="0" w:color="auto"/>
              <w:right w:val="nil"/>
            </w:tcBorders>
            <w:shd w:val="clear" w:color="auto" w:fill="auto"/>
          </w:tcPr>
          <w:p w14:paraId="2DC7020F" w14:textId="77777777" w:rsidR="005A1F95" w:rsidRPr="005A1F95" w:rsidRDefault="005A1F95" w:rsidP="00941533">
            <w:pPr>
              <w:pStyle w:val="TableTextRARMP"/>
              <w:ind w:left="291" w:hanging="291"/>
              <w:rPr>
                <w:sz w:val="22"/>
                <w:szCs w:val="22"/>
              </w:rPr>
            </w:pPr>
            <w:r w:rsidRPr="005A1F95">
              <w:rPr>
                <w:sz w:val="22"/>
                <w:szCs w:val="22"/>
              </w:rPr>
              <w:t>Agrees that the conclusions of RARMP for DIR 134 remain valid.</w:t>
            </w:r>
          </w:p>
          <w:p w14:paraId="46A6BD7C" w14:textId="77777777" w:rsidR="005A1F95" w:rsidRPr="005A1F95" w:rsidRDefault="005A1F95" w:rsidP="00941533">
            <w:pPr>
              <w:pStyle w:val="TableTextRARMP"/>
              <w:ind w:left="291" w:hanging="291"/>
              <w:rPr>
                <w:sz w:val="22"/>
                <w:szCs w:val="22"/>
              </w:rPr>
            </w:pPr>
            <w:r w:rsidRPr="005A1F95">
              <w:rPr>
                <w:sz w:val="22"/>
                <w:szCs w:val="22"/>
              </w:rPr>
              <w:t>Agrees that the information gathered for this application is sufficient and no new information was identified.</w:t>
            </w:r>
          </w:p>
          <w:p w14:paraId="2E8094F1" w14:textId="05C01531" w:rsidR="00150B93" w:rsidRPr="00987948" w:rsidRDefault="005A1F95" w:rsidP="00941533">
            <w:pPr>
              <w:pStyle w:val="TableTextRARMP"/>
              <w:spacing w:after="120"/>
              <w:ind w:left="291" w:hanging="291"/>
              <w:rPr>
                <w:sz w:val="22"/>
                <w:szCs w:val="22"/>
              </w:rPr>
            </w:pPr>
            <w:r w:rsidRPr="005A1F95">
              <w:rPr>
                <w:sz w:val="22"/>
                <w:szCs w:val="22"/>
              </w:rPr>
              <w:t>Agrees with the overall conclusions of this RARMP.</w:t>
            </w:r>
          </w:p>
        </w:tc>
        <w:tc>
          <w:tcPr>
            <w:tcW w:w="4644" w:type="dxa"/>
            <w:tcBorders>
              <w:left w:val="nil"/>
              <w:bottom w:val="single" w:sz="6" w:space="0" w:color="auto"/>
              <w:right w:val="nil"/>
            </w:tcBorders>
            <w:shd w:val="clear" w:color="auto" w:fill="auto"/>
          </w:tcPr>
          <w:p w14:paraId="15DEBDF1" w14:textId="34C1A5EC" w:rsidR="00150B93" w:rsidRPr="005A1F95" w:rsidRDefault="005A1F95" w:rsidP="00941533">
            <w:pPr>
              <w:pStyle w:val="TableTextRARMP"/>
              <w:spacing w:after="120"/>
              <w:ind w:left="180" w:hanging="180"/>
              <w:rPr>
                <w:sz w:val="22"/>
                <w:szCs w:val="22"/>
              </w:rPr>
            </w:pPr>
            <w:r w:rsidRPr="005A1F95">
              <w:rPr>
                <w:sz w:val="22"/>
                <w:szCs w:val="20"/>
              </w:rPr>
              <w:t>Noted.</w:t>
            </w:r>
          </w:p>
        </w:tc>
      </w:tr>
    </w:tbl>
    <w:p w14:paraId="5DA964DF" w14:textId="7C7BCC12" w:rsidR="00F24418" w:rsidRDefault="00F24418" w:rsidP="00F24418"/>
    <w:p w14:paraId="343DD82A" w14:textId="77777777" w:rsidR="007C5715" w:rsidRDefault="007C5715" w:rsidP="00F24418">
      <w:pPr>
        <w:sectPr w:rsidR="007C5715" w:rsidSect="009F544D">
          <w:pgSz w:w="11906" w:h="16838"/>
          <w:pgMar w:top="1134" w:right="1134" w:bottom="1134" w:left="1134" w:header="709" w:footer="709" w:gutter="0"/>
          <w:cols w:space="708"/>
          <w:docGrid w:linePitch="360"/>
        </w:sectPr>
      </w:pPr>
    </w:p>
    <w:p w14:paraId="3450CDEB" w14:textId="66032949" w:rsidR="007C5715" w:rsidRDefault="007C5715" w:rsidP="007C5715">
      <w:pPr>
        <w:pStyle w:val="Heading2"/>
        <w:numPr>
          <w:ilvl w:val="0"/>
          <w:numId w:val="0"/>
        </w:numPr>
      </w:pPr>
      <w:r>
        <w:t xml:space="preserve">Appendix B: </w:t>
      </w:r>
      <w:r w:rsidRPr="007C5715">
        <w:t>Summary of submissions from the public on the consultation RARMP</w:t>
      </w:r>
    </w:p>
    <w:p w14:paraId="2253CFE1" w14:textId="3F372F31" w:rsidR="007C5715" w:rsidRPr="004C167E" w:rsidRDefault="007C5715" w:rsidP="007C5715">
      <w:pPr>
        <w:rPr>
          <w:rFonts w:ascii="Calibri" w:hAnsi="Calibri" w:cs="Calibri"/>
          <w:color w:val="00B0F0"/>
        </w:rPr>
      </w:pPr>
      <w:r w:rsidRPr="004C167E">
        <w:rPr>
          <w:rFonts w:ascii="Calibri" w:hAnsi="Calibri" w:cs="Calibri"/>
        </w:rPr>
        <w:t xml:space="preserve">The Regulator received </w:t>
      </w:r>
      <w:r w:rsidR="00FC0C19" w:rsidRPr="004C167E">
        <w:rPr>
          <w:rFonts w:ascii="Calibri" w:hAnsi="Calibri" w:cs="Calibri"/>
        </w:rPr>
        <w:t>one</w:t>
      </w:r>
      <w:r w:rsidRPr="004C167E">
        <w:rPr>
          <w:rFonts w:ascii="Calibri" w:hAnsi="Calibri" w:cs="Calibri"/>
        </w:rPr>
        <w:t xml:space="preserve"> submission from the public on the consultation RARMP. The issues raised in the submission are summarised in the table below. All issues that related to risks to the health and safety of people and the environment were considered in the context of currently available scientific evidence in finalising the RARMP that formed the basis of the Regulator’s decision to include dealings with GM carnations on the GMO Register.</w:t>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000" w:firstRow="0" w:lastRow="0" w:firstColumn="0" w:lastColumn="0" w:noHBand="0" w:noVBand="0"/>
      </w:tblPr>
      <w:tblGrid>
        <w:gridCol w:w="1304"/>
        <w:gridCol w:w="4083"/>
        <w:gridCol w:w="4644"/>
      </w:tblGrid>
      <w:tr w:rsidR="007C5715" w:rsidRPr="009354F6" w14:paraId="195DFB9F" w14:textId="77777777" w:rsidTr="004D7DAA">
        <w:trPr>
          <w:trHeight w:val="427"/>
          <w:tblHeader/>
        </w:trPr>
        <w:tc>
          <w:tcPr>
            <w:tcW w:w="1304" w:type="dxa"/>
            <w:tcBorders>
              <w:top w:val="single" w:sz="4" w:space="0" w:color="auto"/>
              <w:left w:val="nil"/>
              <w:bottom w:val="single" w:sz="6" w:space="0" w:color="auto"/>
              <w:right w:val="nil"/>
            </w:tcBorders>
            <w:shd w:val="clear" w:color="auto" w:fill="auto"/>
            <w:vAlign w:val="center"/>
          </w:tcPr>
          <w:p w14:paraId="0C72EBB7" w14:textId="77777777" w:rsidR="007C5715" w:rsidRPr="009354F6" w:rsidRDefault="007C5715" w:rsidP="00937BAD">
            <w:pPr>
              <w:pStyle w:val="TableTextRARMP"/>
              <w:rPr>
                <w:b/>
                <w:sz w:val="22"/>
                <w:szCs w:val="22"/>
                <w:vertAlign w:val="superscript"/>
              </w:rPr>
            </w:pPr>
            <w:r w:rsidRPr="009354F6">
              <w:rPr>
                <w:b/>
                <w:sz w:val="22"/>
                <w:szCs w:val="22"/>
              </w:rPr>
              <w:t>Submission</w:t>
            </w:r>
          </w:p>
        </w:tc>
        <w:tc>
          <w:tcPr>
            <w:tcW w:w="4083" w:type="dxa"/>
            <w:tcBorders>
              <w:top w:val="single" w:sz="4" w:space="0" w:color="auto"/>
              <w:left w:val="nil"/>
              <w:bottom w:val="single" w:sz="6" w:space="0" w:color="auto"/>
              <w:right w:val="nil"/>
            </w:tcBorders>
            <w:shd w:val="clear" w:color="auto" w:fill="auto"/>
            <w:vAlign w:val="center"/>
          </w:tcPr>
          <w:p w14:paraId="2FC98A59" w14:textId="77777777" w:rsidR="007C5715" w:rsidRPr="009354F6" w:rsidRDefault="007C5715" w:rsidP="00937BAD">
            <w:pPr>
              <w:pStyle w:val="TableTextRARMP"/>
              <w:rPr>
                <w:b/>
                <w:sz w:val="22"/>
                <w:szCs w:val="22"/>
              </w:rPr>
            </w:pPr>
            <w:r w:rsidRPr="009354F6">
              <w:rPr>
                <w:b/>
                <w:sz w:val="22"/>
                <w:szCs w:val="22"/>
              </w:rPr>
              <w:t>Issues raised</w:t>
            </w:r>
          </w:p>
        </w:tc>
        <w:tc>
          <w:tcPr>
            <w:tcW w:w="4644" w:type="dxa"/>
            <w:tcBorders>
              <w:top w:val="single" w:sz="4" w:space="0" w:color="auto"/>
              <w:left w:val="nil"/>
              <w:bottom w:val="single" w:sz="6" w:space="0" w:color="auto"/>
              <w:right w:val="nil"/>
            </w:tcBorders>
            <w:shd w:val="clear" w:color="auto" w:fill="auto"/>
            <w:vAlign w:val="center"/>
          </w:tcPr>
          <w:p w14:paraId="61CD3B04" w14:textId="77777777" w:rsidR="007C5715" w:rsidRPr="009354F6" w:rsidRDefault="007C5715" w:rsidP="00937BAD">
            <w:pPr>
              <w:pStyle w:val="TableTextRARMP"/>
              <w:rPr>
                <w:b/>
                <w:sz w:val="22"/>
                <w:szCs w:val="22"/>
              </w:rPr>
            </w:pPr>
            <w:r w:rsidRPr="009354F6">
              <w:rPr>
                <w:b/>
                <w:sz w:val="22"/>
                <w:szCs w:val="22"/>
              </w:rPr>
              <w:t>Comment</w:t>
            </w:r>
          </w:p>
        </w:tc>
      </w:tr>
      <w:tr w:rsidR="007C5715" w:rsidRPr="00285785" w14:paraId="534295CC" w14:textId="77777777" w:rsidTr="004D7DAA">
        <w:tc>
          <w:tcPr>
            <w:tcW w:w="1304" w:type="dxa"/>
            <w:tcBorders>
              <w:left w:val="nil"/>
              <w:bottom w:val="single" w:sz="4" w:space="0" w:color="auto"/>
              <w:right w:val="nil"/>
            </w:tcBorders>
            <w:shd w:val="clear" w:color="auto" w:fill="auto"/>
          </w:tcPr>
          <w:p w14:paraId="458ABD35" w14:textId="77777777" w:rsidR="007C5715" w:rsidRPr="009354F6" w:rsidRDefault="007C5715" w:rsidP="00937BAD">
            <w:pPr>
              <w:pStyle w:val="TableTextRARMP"/>
              <w:spacing w:after="120"/>
              <w:jc w:val="center"/>
              <w:rPr>
                <w:sz w:val="22"/>
                <w:szCs w:val="22"/>
              </w:rPr>
            </w:pPr>
            <w:r w:rsidRPr="009354F6">
              <w:rPr>
                <w:sz w:val="22"/>
                <w:szCs w:val="22"/>
              </w:rPr>
              <w:t>1</w:t>
            </w:r>
          </w:p>
        </w:tc>
        <w:tc>
          <w:tcPr>
            <w:tcW w:w="4083" w:type="dxa"/>
            <w:tcBorders>
              <w:left w:val="nil"/>
              <w:bottom w:val="single" w:sz="4" w:space="0" w:color="auto"/>
              <w:right w:val="nil"/>
            </w:tcBorders>
            <w:shd w:val="clear" w:color="auto" w:fill="auto"/>
          </w:tcPr>
          <w:p w14:paraId="1C48DF1A" w14:textId="77777777" w:rsidR="004D7DAA" w:rsidRPr="004D7DAA" w:rsidRDefault="004D7DAA" w:rsidP="004D7DAA">
            <w:pPr>
              <w:pStyle w:val="TableTextRARMP"/>
              <w:ind w:left="291" w:hanging="291"/>
              <w:rPr>
                <w:sz w:val="22"/>
                <w:szCs w:val="22"/>
              </w:rPr>
            </w:pPr>
            <w:r w:rsidRPr="004D7DAA">
              <w:rPr>
                <w:sz w:val="22"/>
                <w:szCs w:val="22"/>
              </w:rPr>
              <w:t>Should remain necessary for people undertaking dealings with the GM blue carnations to hold or be covered by a GMO licence.</w:t>
            </w:r>
          </w:p>
          <w:p w14:paraId="768967CD" w14:textId="32A39A93" w:rsidR="007C5715" w:rsidRPr="009354F6" w:rsidRDefault="004D7DAA" w:rsidP="004D7DAA">
            <w:pPr>
              <w:pStyle w:val="TableTextRARMP"/>
              <w:spacing w:after="120"/>
              <w:ind w:left="291" w:hanging="291"/>
              <w:rPr>
                <w:sz w:val="22"/>
                <w:szCs w:val="22"/>
              </w:rPr>
            </w:pPr>
            <w:r w:rsidRPr="004D7DAA">
              <w:rPr>
                <w:sz w:val="22"/>
                <w:szCs w:val="22"/>
              </w:rPr>
              <w:t>Would not support this application.</w:t>
            </w:r>
          </w:p>
        </w:tc>
        <w:tc>
          <w:tcPr>
            <w:tcW w:w="4644" w:type="dxa"/>
            <w:tcBorders>
              <w:left w:val="nil"/>
              <w:bottom w:val="single" w:sz="4" w:space="0" w:color="auto"/>
              <w:right w:val="nil"/>
            </w:tcBorders>
            <w:shd w:val="clear" w:color="auto" w:fill="auto"/>
          </w:tcPr>
          <w:p w14:paraId="61EE2BD9" w14:textId="77777777" w:rsidR="004D7DAA" w:rsidRPr="004D7DAA" w:rsidRDefault="004D7DAA" w:rsidP="004D7DAA">
            <w:pPr>
              <w:pStyle w:val="TableTextRARMP"/>
              <w:ind w:left="180" w:hanging="180"/>
              <w:rPr>
                <w:sz w:val="22"/>
                <w:szCs w:val="22"/>
              </w:rPr>
            </w:pPr>
            <w:r w:rsidRPr="004D7DAA">
              <w:rPr>
                <w:sz w:val="22"/>
                <w:szCs w:val="22"/>
              </w:rPr>
              <w:t>Under the Gene Technology Act 2000 (the Act), which is legislation passed by the Parliament of Australia, a GM licence holder may apply to have dealings with a licensed GMO included on the GMO Register. The Gene Technology Regulator (the Regulator) must not include dealings on the GMO Register unless satisfied that any risks posed by the dealings are minimal and that it is not necessary for persons undertaking the dealings to have, or be covered by a GMO licence.</w:t>
            </w:r>
          </w:p>
          <w:p w14:paraId="1060239A" w14:textId="09151906" w:rsidR="007C5715" w:rsidRPr="00285785" w:rsidRDefault="004D7DAA" w:rsidP="004D7DAA">
            <w:pPr>
              <w:pStyle w:val="TableTextRARMP"/>
              <w:spacing w:after="120"/>
              <w:ind w:left="180" w:hanging="180"/>
              <w:rPr>
                <w:sz w:val="22"/>
                <w:szCs w:val="22"/>
              </w:rPr>
            </w:pPr>
            <w:r w:rsidRPr="004D7DAA">
              <w:rPr>
                <w:sz w:val="22"/>
                <w:szCs w:val="22"/>
              </w:rPr>
              <w:t>This application has been assessed as posing negligible risk to human health and safety and to the environment and the Regulator is satisfied that a licence is not required for dealings with the GM carnations.</w:t>
            </w:r>
          </w:p>
        </w:tc>
      </w:tr>
    </w:tbl>
    <w:p w14:paraId="66032030" w14:textId="77777777" w:rsidR="007C5715" w:rsidRPr="007C5715" w:rsidRDefault="007C5715" w:rsidP="007C5715"/>
    <w:sectPr w:rsidR="007C5715" w:rsidRPr="007C5715" w:rsidSect="009F544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67219" w14:textId="77777777" w:rsidR="00396D13" w:rsidRDefault="00396D13" w:rsidP="00B1284D">
      <w:r>
        <w:separator/>
      </w:r>
    </w:p>
  </w:endnote>
  <w:endnote w:type="continuationSeparator" w:id="0">
    <w:p w14:paraId="702BA7F1" w14:textId="77777777" w:rsidR="00396D13" w:rsidRDefault="00396D13" w:rsidP="00B1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2970854"/>
      <w:docPartObj>
        <w:docPartGallery w:val="Page Numbers (Bottom of Page)"/>
        <w:docPartUnique/>
      </w:docPartObj>
    </w:sdtPr>
    <w:sdtEndPr>
      <w:rPr>
        <w:noProof/>
      </w:rPr>
    </w:sdtEndPr>
    <w:sdtContent>
      <w:p w14:paraId="71D82F0A" w14:textId="40995085" w:rsidR="00396D13" w:rsidRDefault="00396D13">
        <w:pPr>
          <w:pStyle w:val="Footer"/>
          <w:jc w:val="right"/>
        </w:pPr>
        <w:r>
          <w:fldChar w:fldCharType="begin"/>
        </w:r>
        <w:r>
          <w:instrText xml:space="preserve"> PAGE   \* MERGEFORMAT </w:instrText>
        </w:r>
        <w:r>
          <w:fldChar w:fldCharType="separate"/>
        </w:r>
        <w:r w:rsidR="00FD2B44">
          <w:rPr>
            <w:noProof/>
          </w:rPr>
          <w:t>2</w:t>
        </w:r>
        <w:r>
          <w:rPr>
            <w:noProof/>
          </w:rPr>
          <w:fldChar w:fldCharType="end"/>
        </w:r>
      </w:p>
    </w:sdtContent>
  </w:sdt>
  <w:p w14:paraId="2836F2FA" w14:textId="77777777" w:rsidR="00396D13" w:rsidRDefault="00396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982F1" w14:textId="77777777" w:rsidR="00396D13" w:rsidRDefault="00396D13" w:rsidP="00B1284D">
      <w:r>
        <w:separator/>
      </w:r>
    </w:p>
  </w:footnote>
  <w:footnote w:type="continuationSeparator" w:id="0">
    <w:p w14:paraId="161199E9" w14:textId="77777777" w:rsidR="00396D13" w:rsidRDefault="00396D13" w:rsidP="00B1284D">
      <w:r>
        <w:continuationSeparator/>
      </w:r>
    </w:p>
  </w:footnote>
  <w:footnote w:id="1">
    <w:p w14:paraId="63CA3C25" w14:textId="57712AAA" w:rsidR="00F24418" w:rsidRDefault="00F24418" w:rsidP="00F24418">
      <w:pPr>
        <w:pStyle w:val="FootnoteText1"/>
      </w:pPr>
      <w:r>
        <w:rPr>
          <w:rStyle w:val="FootnoteReference"/>
        </w:rPr>
        <w:footnoteRef/>
      </w:r>
      <w:r>
        <w:t xml:space="preserve"> </w:t>
      </w:r>
      <w:r w:rsidRPr="0055601F">
        <w:t xml:space="preserve">  </w:t>
      </w:r>
      <w:r w:rsidR="00B92A27">
        <w:t>A</w:t>
      </w:r>
      <w:r w:rsidRPr="0055601F">
        <w:t>gencies include GTTAC, State and Territory Governments, relevant local governments, Australian Government agencies and the Minister for the Environment.</w:t>
      </w:r>
      <w:r w:rsidR="00B92A2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4A624" w14:textId="48F771D7" w:rsidR="00396D13" w:rsidRPr="002B086B" w:rsidRDefault="00396D13" w:rsidP="00980DC9">
    <w:pPr>
      <w:pStyle w:val="Header"/>
    </w:pPr>
    <w:r>
      <w:t>REG-002</w:t>
    </w:r>
    <w:r w:rsidRPr="002B086B">
      <w:t xml:space="preserve"> – Risk Assessment and Risk Management Plan </w:t>
    </w:r>
    <w:r>
      <w:t>(</w:t>
    </w:r>
    <w:r w:rsidR="00CD176E">
      <w:t>J</w:t>
    </w:r>
    <w:r w:rsidR="00BF5FD3">
      <w:t>uly</w:t>
    </w:r>
    <w:r w:rsidR="00CD176E" w:rsidRPr="002B086B">
      <w:t xml:space="preserve"> </w:t>
    </w:r>
    <w:r w:rsidRPr="002B086B">
      <w:t>20</w:t>
    </w:r>
    <w:r>
      <w:t>20</w:t>
    </w:r>
    <w:r w:rsidRPr="002B086B">
      <w:t>)</w:t>
    </w:r>
    <w:r w:rsidR="00885E39">
      <w:tab/>
    </w:r>
    <w:r w:rsidRPr="002B086B">
      <w:tab/>
      <w:t>Office of the Gene Technology Regulator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BC0A9" w14:textId="4A479A56" w:rsidR="00396D13" w:rsidRPr="00980DC9" w:rsidRDefault="00396D13" w:rsidP="00980DC9">
    <w:pPr>
      <w:pStyle w:val="Header"/>
    </w:pPr>
    <w:r w:rsidRPr="00980DC9">
      <w:t>Register-002 – Risk Assess</w:t>
    </w:r>
    <w:r w:rsidR="00547081">
      <w:t>ment and Risk Management Plan (</w:t>
    </w:r>
    <w:r w:rsidR="00A53012">
      <w:t>July</w:t>
    </w:r>
    <w:r w:rsidRPr="00980DC9">
      <w:t xml:space="preserve"> 2020)</w:t>
    </w:r>
    <w:r w:rsidRPr="00980DC9">
      <w:tab/>
      <w:t>Office of the Gene Technology Regulator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CBC"/>
    <w:multiLevelType w:val="hybridMultilevel"/>
    <w:tmpl w:val="7D50C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D5B9E"/>
    <w:multiLevelType w:val="hybridMultilevel"/>
    <w:tmpl w:val="17DE1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E20760"/>
    <w:multiLevelType w:val="hybridMultilevel"/>
    <w:tmpl w:val="33F21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F6E92"/>
    <w:multiLevelType w:val="hybridMultilevel"/>
    <w:tmpl w:val="69FAF5BC"/>
    <w:lvl w:ilvl="0" w:tplc="D63EC542">
      <w:start w:val="1"/>
      <w:numFmt w:val="bullet"/>
      <w:lvlText w:val="o"/>
      <w:lvlJc w:val="left"/>
      <w:pPr>
        <w:ind w:left="720" w:hanging="360"/>
      </w:pPr>
      <w:rPr>
        <w:rFonts w:ascii="Courier New" w:hAnsi="Courier New"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D2016D"/>
    <w:multiLevelType w:val="hybridMultilevel"/>
    <w:tmpl w:val="607E5AFC"/>
    <w:lvl w:ilvl="0" w:tplc="E820DB8A">
      <w:start w:val="1"/>
      <w:numFmt w:val="decimal"/>
      <w:pStyle w:val="RARMPPara"/>
      <w:lvlText w:val="%1."/>
      <w:lvlJc w:val="left"/>
      <w:pPr>
        <w:ind w:left="720" w:hanging="360"/>
      </w:pPr>
      <w:rPr>
        <w:rFonts w:ascii="Calibri" w:hAnsi="Calibri"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68063D"/>
    <w:multiLevelType w:val="multilevel"/>
    <w:tmpl w:val="F312AF36"/>
    <w:lvl w:ilvl="0">
      <w:start w:val="1"/>
      <w:numFmt w:val="decimal"/>
      <w:pStyle w:val="Heading2"/>
      <w:lvlText w:val="Section %1"/>
      <w:lvlJc w:val="left"/>
      <w:pPr>
        <w:ind w:left="0" w:firstLine="0"/>
      </w:pPr>
      <w:rPr>
        <w:rFonts w:ascii="Calibri" w:hAnsi="Calibri" w:hint="default"/>
        <w:b/>
        <w:i/>
        <w:sz w:val="28"/>
      </w:rPr>
    </w:lvl>
    <w:lvl w:ilvl="1">
      <w:start w:val="1"/>
      <w:numFmt w:val="decimal"/>
      <w:pStyle w:val="Heading3"/>
      <w:lvlText w:val="%1.%2"/>
      <w:lvlJc w:val="left"/>
      <w:pPr>
        <w:ind w:left="0" w:firstLine="0"/>
      </w:pPr>
      <w:rPr>
        <w:rFonts w:hint="default"/>
      </w:rPr>
    </w:lvl>
    <w:lvl w:ilvl="2">
      <w:start w:val="1"/>
      <w:numFmt w:val="decimal"/>
      <w:pStyle w:val="Heading4"/>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C5379B9"/>
    <w:multiLevelType w:val="multilevel"/>
    <w:tmpl w:val="63D41482"/>
    <w:lvl w:ilvl="0">
      <w:start w:val="1"/>
      <w:numFmt w:val="decimal"/>
      <w:lvlText w:val="Section %1"/>
      <w:lvlJc w:val="left"/>
      <w:pPr>
        <w:ind w:left="0" w:firstLine="0"/>
      </w:pPr>
      <w:rPr>
        <w:rFonts w:ascii="Calibri" w:hAnsi="Calibri" w:hint="default"/>
        <w:b/>
        <w:i/>
        <w:sz w:val="28"/>
      </w:rPr>
    </w:lvl>
    <w:lvl w:ilvl="1">
      <w:start w:val="1"/>
      <w:numFmt w:val="decimal"/>
      <w:lvlText w:val="%2.%1"/>
      <w:lvlJc w:val="left"/>
      <w:pPr>
        <w:ind w:left="0" w:firstLine="0"/>
      </w:pPr>
      <w:rPr>
        <w:rFonts w:hint="default"/>
      </w:rPr>
    </w:lvl>
    <w:lvl w:ilvl="2">
      <w:start w:val="1"/>
      <w:numFmt w:val="decimal"/>
      <w:lvlRestart w:val="0"/>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E075CE"/>
    <w:multiLevelType w:val="hybridMultilevel"/>
    <w:tmpl w:val="810C199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zf9222dwpzrzdje0xwpvwttz999vxasfz0rv&quot;&gt;Carnations database&lt;record-ids&gt;&lt;item&gt;18&lt;/item&gt;&lt;item&gt;31&lt;/item&gt;&lt;item&gt;32&lt;/item&gt;&lt;item&gt;33&lt;/item&gt;&lt;item&gt;34&lt;/item&gt;&lt;item&gt;56&lt;/item&gt;&lt;item&gt;57&lt;/item&gt;&lt;item&gt;58&lt;/item&gt;&lt;item&gt;59&lt;/item&gt;&lt;item&gt;60&lt;/item&gt;&lt;item&gt;65&lt;/item&gt;&lt;item&gt;71&lt;/item&gt;&lt;item&gt;83&lt;/item&gt;&lt;item&gt;90&lt;/item&gt;&lt;item&gt;91&lt;/item&gt;&lt;item&gt;92&lt;/item&gt;&lt;item&gt;95&lt;/item&gt;&lt;/record-ids&gt;&lt;/item&gt;&lt;/Libraries&gt;"/>
  </w:docVars>
  <w:rsids>
    <w:rsidRoot w:val="009F544D"/>
    <w:rsid w:val="00006B62"/>
    <w:rsid w:val="00021271"/>
    <w:rsid w:val="00033C38"/>
    <w:rsid w:val="000349D0"/>
    <w:rsid w:val="000427F3"/>
    <w:rsid w:val="000464AB"/>
    <w:rsid w:val="000516E3"/>
    <w:rsid w:val="000518B4"/>
    <w:rsid w:val="00066BDC"/>
    <w:rsid w:val="000905FA"/>
    <w:rsid w:val="0009752A"/>
    <w:rsid w:val="000A02B1"/>
    <w:rsid w:val="000A06EA"/>
    <w:rsid w:val="000A2D50"/>
    <w:rsid w:val="000B0D88"/>
    <w:rsid w:val="000C5A55"/>
    <w:rsid w:val="000C5FB6"/>
    <w:rsid w:val="000D3808"/>
    <w:rsid w:val="001016B9"/>
    <w:rsid w:val="00126E71"/>
    <w:rsid w:val="001336AB"/>
    <w:rsid w:val="00150B93"/>
    <w:rsid w:val="00150D77"/>
    <w:rsid w:val="001548F0"/>
    <w:rsid w:val="00161CC5"/>
    <w:rsid w:val="00175ABD"/>
    <w:rsid w:val="00191A79"/>
    <w:rsid w:val="001A252A"/>
    <w:rsid w:val="001B483D"/>
    <w:rsid w:val="001C062C"/>
    <w:rsid w:val="001D1DE3"/>
    <w:rsid w:val="001D26F1"/>
    <w:rsid w:val="001F6FB0"/>
    <w:rsid w:val="00231501"/>
    <w:rsid w:val="0023274B"/>
    <w:rsid w:val="00232E82"/>
    <w:rsid w:val="0024016E"/>
    <w:rsid w:val="00263223"/>
    <w:rsid w:val="00270860"/>
    <w:rsid w:val="002764F7"/>
    <w:rsid w:val="00276CBB"/>
    <w:rsid w:val="00280050"/>
    <w:rsid w:val="002900AE"/>
    <w:rsid w:val="002905FA"/>
    <w:rsid w:val="002B02E9"/>
    <w:rsid w:val="002B086B"/>
    <w:rsid w:val="002C1B1A"/>
    <w:rsid w:val="002C1EC8"/>
    <w:rsid w:val="002C7026"/>
    <w:rsid w:val="002D2374"/>
    <w:rsid w:val="002D5584"/>
    <w:rsid w:val="002E1D2F"/>
    <w:rsid w:val="002E2717"/>
    <w:rsid w:val="002E381D"/>
    <w:rsid w:val="002E5F34"/>
    <w:rsid w:val="002F475E"/>
    <w:rsid w:val="00305270"/>
    <w:rsid w:val="00317D51"/>
    <w:rsid w:val="00322A03"/>
    <w:rsid w:val="00325226"/>
    <w:rsid w:val="00331C09"/>
    <w:rsid w:val="0033528B"/>
    <w:rsid w:val="00363C1E"/>
    <w:rsid w:val="00371410"/>
    <w:rsid w:val="00381198"/>
    <w:rsid w:val="00396D13"/>
    <w:rsid w:val="003A0831"/>
    <w:rsid w:val="003A50DB"/>
    <w:rsid w:val="003B6C27"/>
    <w:rsid w:val="003C0674"/>
    <w:rsid w:val="003C382F"/>
    <w:rsid w:val="003C5DA4"/>
    <w:rsid w:val="003E3A9D"/>
    <w:rsid w:val="003E4B73"/>
    <w:rsid w:val="003F2F66"/>
    <w:rsid w:val="00404C5B"/>
    <w:rsid w:val="004053EA"/>
    <w:rsid w:val="00414103"/>
    <w:rsid w:val="00416747"/>
    <w:rsid w:val="0043053B"/>
    <w:rsid w:val="004720E6"/>
    <w:rsid w:val="00472144"/>
    <w:rsid w:val="00476FF0"/>
    <w:rsid w:val="00481135"/>
    <w:rsid w:val="004973AB"/>
    <w:rsid w:val="004977D1"/>
    <w:rsid w:val="004C167E"/>
    <w:rsid w:val="004D3016"/>
    <w:rsid w:val="004D7DAA"/>
    <w:rsid w:val="004E1442"/>
    <w:rsid w:val="004E2F97"/>
    <w:rsid w:val="004E5B07"/>
    <w:rsid w:val="004E6200"/>
    <w:rsid w:val="00507693"/>
    <w:rsid w:val="0051163F"/>
    <w:rsid w:val="005148F4"/>
    <w:rsid w:val="00540FAC"/>
    <w:rsid w:val="00547081"/>
    <w:rsid w:val="00547A42"/>
    <w:rsid w:val="00553C35"/>
    <w:rsid w:val="00580136"/>
    <w:rsid w:val="005867D0"/>
    <w:rsid w:val="00587D61"/>
    <w:rsid w:val="005A1F95"/>
    <w:rsid w:val="005B78DA"/>
    <w:rsid w:val="005C2170"/>
    <w:rsid w:val="005C688C"/>
    <w:rsid w:val="005E71F1"/>
    <w:rsid w:val="0060567B"/>
    <w:rsid w:val="006144DF"/>
    <w:rsid w:val="006204C6"/>
    <w:rsid w:val="00621F54"/>
    <w:rsid w:val="00661B0F"/>
    <w:rsid w:val="00663246"/>
    <w:rsid w:val="00671F53"/>
    <w:rsid w:val="006866CB"/>
    <w:rsid w:val="006C7124"/>
    <w:rsid w:val="006E2196"/>
    <w:rsid w:val="006F23A0"/>
    <w:rsid w:val="00704BB1"/>
    <w:rsid w:val="00706C75"/>
    <w:rsid w:val="007108D9"/>
    <w:rsid w:val="0071180A"/>
    <w:rsid w:val="007149B7"/>
    <w:rsid w:val="00716428"/>
    <w:rsid w:val="00727A31"/>
    <w:rsid w:val="007313FC"/>
    <w:rsid w:val="0074254E"/>
    <w:rsid w:val="007520D5"/>
    <w:rsid w:val="007549C8"/>
    <w:rsid w:val="00761B7C"/>
    <w:rsid w:val="00784E62"/>
    <w:rsid w:val="007A5BBC"/>
    <w:rsid w:val="007B2E3A"/>
    <w:rsid w:val="007C209A"/>
    <w:rsid w:val="007C5715"/>
    <w:rsid w:val="007E0DFE"/>
    <w:rsid w:val="007E290C"/>
    <w:rsid w:val="00803304"/>
    <w:rsid w:val="00822E95"/>
    <w:rsid w:val="00836EF4"/>
    <w:rsid w:val="00856B48"/>
    <w:rsid w:val="0085797A"/>
    <w:rsid w:val="0087292E"/>
    <w:rsid w:val="00885E39"/>
    <w:rsid w:val="00895B5D"/>
    <w:rsid w:val="008968D5"/>
    <w:rsid w:val="008B46E3"/>
    <w:rsid w:val="008C356F"/>
    <w:rsid w:val="008E7AA5"/>
    <w:rsid w:val="00910064"/>
    <w:rsid w:val="00921CAA"/>
    <w:rsid w:val="00923A59"/>
    <w:rsid w:val="00923B33"/>
    <w:rsid w:val="00941533"/>
    <w:rsid w:val="00941C4A"/>
    <w:rsid w:val="00941F5F"/>
    <w:rsid w:val="0096368D"/>
    <w:rsid w:val="00980DC9"/>
    <w:rsid w:val="009814DB"/>
    <w:rsid w:val="00985230"/>
    <w:rsid w:val="009872FA"/>
    <w:rsid w:val="009A6731"/>
    <w:rsid w:val="009A6DE7"/>
    <w:rsid w:val="009A7122"/>
    <w:rsid w:val="009B6AE2"/>
    <w:rsid w:val="009E0052"/>
    <w:rsid w:val="009F1B63"/>
    <w:rsid w:val="009F544D"/>
    <w:rsid w:val="00A13D8F"/>
    <w:rsid w:val="00A166F3"/>
    <w:rsid w:val="00A24F90"/>
    <w:rsid w:val="00A40632"/>
    <w:rsid w:val="00A41690"/>
    <w:rsid w:val="00A442F8"/>
    <w:rsid w:val="00A453B4"/>
    <w:rsid w:val="00A51FD1"/>
    <w:rsid w:val="00A52756"/>
    <w:rsid w:val="00A52EE5"/>
    <w:rsid w:val="00A53012"/>
    <w:rsid w:val="00A67214"/>
    <w:rsid w:val="00A67B2B"/>
    <w:rsid w:val="00A776C9"/>
    <w:rsid w:val="00A93450"/>
    <w:rsid w:val="00AA0CD3"/>
    <w:rsid w:val="00AC220F"/>
    <w:rsid w:val="00AE0765"/>
    <w:rsid w:val="00B1284D"/>
    <w:rsid w:val="00B15667"/>
    <w:rsid w:val="00B17689"/>
    <w:rsid w:val="00B22345"/>
    <w:rsid w:val="00B4501B"/>
    <w:rsid w:val="00B57797"/>
    <w:rsid w:val="00B67E97"/>
    <w:rsid w:val="00B76820"/>
    <w:rsid w:val="00B85DEE"/>
    <w:rsid w:val="00B92A27"/>
    <w:rsid w:val="00BC39EF"/>
    <w:rsid w:val="00BC52E6"/>
    <w:rsid w:val="00BC561C"/>
    <w:rsid w:val="00BC600F"/>
    <w:rsid w:val="00BE0254"/>
    <w:rsid w:val="00BE70E4"/>
    <w:rsid w:val="00BF5FD3"/>
    <w:rsid w:val="00BF7912"/>
    <w:rsid w:val="00C10539"/>
    <w:rsid w:val="00C11AA7"/>
    <w:rsid w:val="00C13F36"/>
    <w:rsid w:val="00C17944"/>
    <w:rsid w:val="00C22D76"/>
    <w:rsid w:val="00C318E4"/>
    <w:rsid w:val="00C32F05"/>
    <w:rsid w:val="00C633F7"/>
    <w:rsid w:val="00C6470C"/>
    <w:rsid w:val="00C87722"/>
    <w:rsid w:val="00CA35C6"/>
    <w:rsid w:val="00CB226C"/>
    <w:rsid w:val="00CB53B4"/>
    <w:rsid w:val="00CB5FCA"/>
    <w:rsid w:val="00CC5808"/>
    <w:rsid w:val="00CC631C"/>
    <w:rsid w:val="00CD1714"/>
    <w:rsid w:val="00CD176E"/>
    <w:rsid w:val="00CF15F9"/>
    <w:rsid w:val="00D00487"/>
    <w:rsid w:val="00D04767"/>
    <w:rsid w:val="00D401D7"/>
    <w:rsid w:val="00D7388B"/>
    <w:rsid w:val="00D8036A"/>
    <w:rsid w:val="00D81552"/>
    <w:rsid w:val="00D96763"/>
    <w:rsid w:val="00DA3E75"/>
    <w:rsid w:val="00DB48CB"/>
    <w:rsid w:val="00DB72AA"/>
    <w:rsid w:val="00DC26B6"/>
    <w:rsid w:val="00DE58B7"/>
    <w:rsid w:val="00DF57A0"/>
    <w:rsid w:val="00E23B13"/>
    <w:rsid w:val="00E34634"/>
    <w:rsid w:val="00E41144"/>
    <w:rsid w:val="00E5398B"/>
    <w:rsid w:val="00E570AC"/>
    <w:rsid w:val="00E80D92"/>
    <w:rsid w:val="00E82473"/>
    <w:rsid w:val="00E8707F"/>
    <w:rsid w:val="00EA0852"/>
    <w:rsid w:val="00EA5298"/>
    <w:rsid w:val="00EA7894"/>
    <w:rsid w:val="00EC1089"/>
    <w:rsid w:val="00ED0B48"/>
    <w:rsid w:val="00ED55FC"/>
    <w:rsid w:val="00EE30AA"/>
    <w:rsid w:val="00EF14C9"/>
    <w:rsid w:val="00EF3C81"/>
    <w:rsid w:val="00F12C38"/>
    <w:rsid w:val="00F14D6C"/>
    <w:rsid w:val="00F21C85"/>
    <w:rsid w:val="00F24418"/>
    <w:rsid w:val="00F57ED1"/>
    <w:rsid w:val="00F61BE9"/>
    <w:rsid w:val="00F83BF1"/>
    <w:rsid w:val="00FA262F"/>
    <w:rsid w:val="00FA7676"/>
    <w:rsid w:val="00FB759C"/>
    <w:rsid w:val="00FC0C19"/>
    <w:rsid w:val="00FC41F2"/>
    <w:rsid w:val="00FD1FE8"/>
    <w:rsid w:val="00FD2B44"/>
    <w:rsid w:val="00FE2D51"/>
    <w:rsid w:val="00FF18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69EC82B1"/>
  <w15:chartTrackingRefBased/>
  <w15:docId w15:val="{1B55D261-D2FC-4589-85FF-ED2570DE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84D"/>
    <w:pPr>
      <w:spacing w:after="120"/>
    </w:pPr>
    <w:rPr>
      <w:rFonts w:asciiTheme="minorHAnsi" w:hAnsiTheme="minorHAnsi" w:cstheme="minorHAnsi"/>
      <w:sz w:val="22"/>
      <w:szCs w:val="22"/>
    </w:rPr>
  </w:style>
  <w:style w:type="paragraph" w:styleId="Heading2">
    <w:name w:val="heading 2"/>
    <w:basedOn w:val="Normal"/>
    <w:next w:val="Normal"/>
    <w:link w:val="Heading2Char"/>
    <w:qFormat/>
    <w:rsid w:val="00856B48"/>
    <w:pPr>
      <w:keepNext/>
      <w:numPr>
        <w:numId w:val="7"/>
      </w:numPr>
      <w:spacing w:before="240" w:after="60" w:line="240" w:lineRule="auto"/>
      <w:outlineLvl w:val="1"/>
    </w:pPr>
    <w:rPr>
      <w:rFonts w:ascii="Arial" w:eastAsia="Times New Roman" w:hAnsi="Arial" w:cs="Arial"/>
      <w:b/>
      <w:bCs/>
      <w:i/>
      <w:iCs/>
      <w:szCs w:val="28"/>
    </w:rPr>
  </w:style>
  <w:style w:type="paragraph" w:styleId="Heading3">
    <w:name w:val="heading 3"/>
    <w:basedOn w:val="Normal"/>
    <w:next w:val="Normal"/>
    <w:link w:val="Heading3Char"/>
    <w:uiPriority w:val="9"/>
    <w:unhideWhenUsed/>
    <w:qFormat/>
    <w:rsid w:val="000B0D88"/>
    <w:pPr>
      <w:keepNext/>
      <w:keepLines/>
      <w:numPr>
        <w:ilvl w:val="1"/>
        <w:numId w:val="7"/>
      </w:numPr>
      <w:spacing w:before="40" w:after="0"/>
      <w:outlineLvl w:val="2"/>
    </w:pPr>
    <w:rPr>
      <w:rFonts w:ascii="Calibri" w:eastAsiaTheme="majorEastAsia" w:hAnsi="Calibri" w:cs="Calibri"/>
      <w:b/>
      <w:sz w:val="24"/>
      <w:szCs w:val="24"/>
    </w:rPr>
  </w:style>
  <w:style w:type="paragraph" w:styleId="Heading4">
    <w:name w:val="heading 4"/>
    <w:basedOn w:val="Normal"/>
    <w:next w:val="Normal"/>
    <w:link w:val="Heading4Char"/>
    <w:uiPriority w:val="9"/>
    <w:unhideWhenUsed/>
    <w:qFormat/>
    <w:rsid w:val="000B0D88"/>
    <w:pPr>
      <w:keepNext/>
      <w:keepLines/>
      <w:numPr>
        <w:ilvl w:val="2"/>
        <w:numId w:val="7"/>
      </w:numPr>
      <w:spacing w:before="40" w:after="0"/>
      <w:outlineLvl w:val="3"/>
    </w:pPr>
    <w:rPr>
      <w:rFonts w:ascii="Calibri" w:eastAsiaTheme="majorEastAsia" w:hAnsi="Calibri" w:cs="Calibr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2">
    <w:name w:val="Title Page 2"/>
    <w:basedOn w:val="Normal"/>
    <w:qFormat/>
    <w:rsid w:val="002C1B1A"/>
    <w:pPr>
      <w:spacing w:before="1440" w:after="960"/>
      <w:jc w:val="center"/>
    </w:pPr>
    <w:rPr>
      <w:rFonts w:ascii="Calibri" w:hAnsi="Calibri" w:cs="Calibri"/>
      <w:sz w:val="48"/>
    </w:rPr>
  </w:style>
  <w:style w:type="paragraph" w:customStyle="1" w:styleId="TitlePage">
    <w:name w:val="Title Page"/>
    <w:basedOn w:val="Normal"/>
    <w:qFormat/>
    <w:rsid w:val="002C1B1A"/>
    <w:pPr>
      <w:spacing w:before="480"/>
      <w:jc w:val="center"/>
    </w:pPr>
    <w:rPr>
      <w:rFonts w:ascii="Calibri" w:hAnsi="Calibri" w:cs="Calibri"/>
      <w:sz w:val="56"/>
    </w:rPr>
  </w:style>
  <w:style w:type="paragraph" w:styleId="Header">
    <w:name w:val="header"/>
    <w:basedOn w:val="Normal"/>
    <w:link w:val="HeaderChar"/>
    <w:uiPriority w:val="99"/>
    <w:unhideWhenUsed/>
    <w:rsid w:val="00980DC9"/>
    <w:pPr>
      <w:tabs>
        <w:tab w:val="center" w:pos="4513"/>
        <w:tab w:val="right" w:pos="9026"/>
      </w:tabs>
      <w:spacing w:after="0" w:line="240" w:lineRule="auto"/>
    </w:pPr>
    <w:rPr>
      <w:sz w:val="16"/>
      <w:szCs w:val="16"/>
    </w:rPr>
  </w:style>
  <w:style w:type="character" w:customStyle="1" w:styleId="HeaderChar">
    <w:name w:val="Header Char"/>
    <w:basedOn w:val="DefaultParagraphFont"/>
    <w:link w:val="Header"/>
    <w:uiPriority w:val="99"/>
    <w:rsid w:val="00980DC9"/>
    <w:rPr>
      <w:rFonts w:asciiTheme="minorHAnsi" w:hAnsiTheme="minorHAnsi" w:cstheme="minorHAnsi"/>
      <w:sz w:val="16"/>
      <w:szCs w:val="16"/>
    </w:rPr>
  </w:style>
  <w:style w:type="paragraph" w:styleId="Footer">
    <w:name w:val="footer"/>
    <w:basedOn w:val="Normal"/>
    <w:link w:val="FooterChar"/>
    <w:uiPriority w:val="99"/>
    <w:unhideWhenUsed/>
    <w:rsid w:val="002B0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86B"/>
  </w:style>
  <w:style w:type="character" w:customStyle="1" w:styleId="Heading2Char">
    <w:name w:val="Heading 2 Char"/>
    <w:basedOn w:val="DefaultParagraphFont"/>
    <w:link w:val="Heading2"/>
    <w:rsid w:val="00856B48"/>
    <w:rPr>
      <w:rFonts w:ascii="Arial" w:eastAsia="Times New Roman" w:hAnsi="Arial" w:cs="Arial"/>
      <w:b/>
      <w:bCs/>
      <w:i/>
      <w:iCs/>
      <w:szCs w:val="28"/>
    </w:rPr>
  </w:style>
  <w:style w:type="character" w:styleId="Hyperlink">
    <w:name w:val="Hyperlink"/>
    <w:basedOn w:val="DefaultParagraphFont"/>
    <w:rsid w:val="00856B48"/>
    <w:rPr>
      <w:color w:val="0563C1" w:themeColor="hyperlink"/>
      <w:u w:val="single"/>
    </w:rPr>
  </w:style>
  <w:style w:type="character" w:styleId="CommentReference">
    <w:name w:val="annotation reference"/>
    <w:basedOn w:val="DefaultParagraphFont"/>
    <w:uiPriority w:val="99"/>
    <w:semiHidden/>
    <w:unhideWhenUsed/>
    <w:rsid w:val="00BC52E6"/>
    <w:rPr>
      <w:sz w:val="16"/>
      <w:szCs w:val="16"/>
    </w:rPr>
  </w:style>
  <w:style w:type="paragraph" w:styleId="CommentText">
    <w:name w:val="annotation text"/>
    <w:basedOn w:val="Normal"/>
    <w:link w:val="CommentTextChar"/>
    <w:uiPriority w:val="99"/>
    <w:unhideWhenUsed/>
    <w:rsid w:val="00BC52E6"/>
    <w:pPr>
      <w:spacing w:line="240" w:lineRule="auto"/>
    </w:pPr>
    <w:rPr>
      <w:sz w:val="20"/>
      <w:szCs w:val="20"/>
    </w:rPr>
  </w:style>
  <w:style w:type="character" w:customStyle="1" w:styleId="CommentTextChar">
    <w:name w:val="Comment Text Char"/>
    <w:basedOn w:val="DefaultParagraphFont"/>
    <w:link w:val="CommentText"/>
    <w:uiPriority w:val="99"/>
    <w:rsid w:val="00BC52E6"/>
    <w:rPr>
      <w:sz w:val="20"/>
      <w:szCs w:val="20"/>
    </w:rPr>
  </w:style>
  <w:style w:type="paragraph" w:styleId="CommentSubject">
    <w:name w:val="annotation subject"/>
    <w:basedOn w:val="CommentText"/>
    <w:next w:val="CommentText"/>
    <w:link w:val="CommentSubjectChar"/>
    <w:uiPriority w:val="99"/>
    <w:semiHidden/>
    <w:unhideWhenUsed/>
    <w:rsid w:val="00BC52E6"/>
    <w:rPr>
      <w:b/>
      <w:bCs/>
    </w:rPr>
  </w:style>
  <w:style w:type="character" w:customStyle="1" w:styleId="CommentSubjectChar">
    <w:name w:val="Comment Subject Char"/>
    <w:basedOn w:val="CommentTextChar"/>
    <w:link w:val="CommentSubject"/>
    <w:uiPriority w:val="99"/>
    <w:semiHidden/>
    <w:rsid w:val="00BC52E6"/>
    <w:rPr>
      <w:b/>
      <w:bCs/>
      <w:sz w:val="20"/>
      <w:szCs w:val="20"/>
    </w:rPr>
  </w:style>
  <w:style w:type="paragraph" w:styleId="BalloonText">
    <w:name w:val="Balloon Text"/>
    <w:basedOn w:val="Normal"/>
    <w:link w:val="BalloonTextChar"/>
    <w:uiPriority w:val="99"/>
    <w:semiHidden/>
    <w:unhideWhenUsed/>
    <w:rsid w:val="00BC5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2E6"/>
    <w:rPr>
      <w:rFonts w:ascii="Segoe UI" w:hAnsi="Segoe UI" w:cs="Segoe UI"/>
      <w:sz w:val="18"/>
      <w:szCs w:val="18"/>
    </w:rPr>
  </w:style>
  <w:style w:type="table" w:styleId="TableGrid">
    <w:name w:val="Table Grid"/>
    <w:basedOn w:val="TableNormal"/>
    <w:uiPriority w:val="39"/>
    <w:rsid w:val="00980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1089"/>
  </w:style>
  <w:style w:type="character" w:styleId="FollowedHyperlink">
    <w:name w:val="FollowedHyperlink"/>
    <w:basedOn w:val="DefaultParagraphFont"/>
    <w:uiPriority w:val="99"/>
    <w:semiHidden/>
    <w:unhideWhenUsed/>
    <w:rsid w:val="00325226"/>
    <w:rPr>
      <w:color w:val="954F72" w:themeColor="followedHyperlink"/>
      <w:u w:val="single"/>
    </w:rPr>
  </w:style>
  <w:style w:type="paragraph" w:customStyle="1" w:styleId="EndNoteBibliographyTitle">
    <w:name w:val="EndNote Bibliography Title"/>
    <w:basedOn w:val="Normal"/>
    <w:link w:val="EndNoteBibliographyTitleChar"/>
    <w:rsid w:val="00DF57A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F57A0"/>
    <w:rPr>
      <w:rFonts w:ascii="Calibri" w:hAnsi="Calibri" w:cs="Calibri"/>
      <w:noProof/>
      <w:sz w:val="22"/>
      <w:szCs w:val="22"/>
      <w:lang w:val="en-US"/>
    </w:rPr>
  </w:style>
  <w:style w:type="paragraph" w:customStyle="1" w:styleId="EndNoteBibliography">
    <w:name w:val="EndNote Bibliography"/>
    <w:basedOn w:val="Normal"/>
    <w:link w:val="EndNoteBibliographyChar"/>
    <w:rsid w:val="00DF57A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F57A0"/>
    <w:rPr>
      <w:rFonts w:ascii="Calibri" w:hAnsi="Calibri" w:cs="Calibri"/>
      <w:noProof/>
      <w:sz w:val="22"/>
      <w:szCs w:val="22"/>
      <w:lang w:val="en-US"/>
    </w:rPr>
  </w:style>
  <w:style w:type="paragraph" w:styleId="ListParagraph">
    <w:name w:val="List Paragraph"/>
    <w:basedOn w:val="Normal"/>
    <w:uiPriority w:val="34"/>
    <w:qFormat/>
    <w:rsid w:val="002F475E"/>
    <w:pPr>
      <w:ind w:left="720"/>
      <w:contextualSpacing/>
    </w:pPr>
  </w:style>
  <w:style w:type="character" w:customStyle="1" w:styleId="Heading3Char">
    <w:name w:val="Heading 3 Char"/>
    <w:basedOn w:val="DefaultParagraphFont"/>
    <w:link w:val="Heading3"/>
    <w:uiPriority w:val="9"/>
    <w:rsid w:val="000B0D88"/>
    <w:rPr>
      <w:rFonts w:ascii="Calibri" w:eastAsiaTheme="majorEastAsia" w:hAnsi="Calibri" w:cs="Calibri"/>
      <w:b/>
    </w:rPr>
  </w:style>
  <w:style w:type="character" w:customStyle="1" w:styleId="Heading4Char">
    <w:name w:val="Heading 4 Char"/>
    <w:basedOn w:val="DefaultParagraphFont"/>
    <w:link w:val="Heading4"/>
    <w:uiPriority w:val="9"/>
    <w:rsid w:val="000B0D88"/>
    <w:rPr>
      <w:rFonts w:ascii="Calibri" w:eastAsiaTheme="majorEastAsia" w:hAnsi="Calibri" w:cs="Calibri"/>
      <w:b/>
      <w:i/>
      <w:iCs/>
      <w:sz w:val="22"/>
      <w:szCs w:val="22"/>
    </w:rPr>
  </w:style>
  <w:style w:type="paragraph" w:customStyle="1" w:styleId="RARMPPara">
    <w:name w:val="RARMP Para"/>
    <w:basedOn w:val="Normal"/>
    <w:qFormat/>
    <w:rsid w:val="00923A59"/>
    <w:pPr>
      <w:numPr>
        <w:numId w:val="5"/>
      </w:numPr>
      <w:ind w:left="0" w:firstLine="0"/>
    </w:pPr>
  </w:style>
  <w:style w:type="character" w:styleId="FootnoteReference">
    <w:name w:val="footnote reference"/>
    <w:basedOn w:val="DefaultParagraphFont"/>
    <w:rsid w:val="00F24418"/>
    <w:rPr>
      <w:vertAlign w:val="superscript"/>
    </w:rPr>
  </w:style>
  <w:style w:type="paragraph" w:customStyle="1" w:styleId="FootnoteText1">
    <w:name w:val="Footnote Text1"/>
    <w:basedOn w:val="Normal"/>
    <w:qFormat/>
    <w:rsid w:val="00F24418"/>
    <w:pPr>
      <w:spacing w:before="120" w:line="240" w:lineRule="auto"/>
    </w:pPr>
    <w:rPr>
      <w:rFonts w:ascii="Calibri" w:eastAsia="Times New Roman" w:hAnsi="Calibri" w:cs="Times New Roman"/>
      <w:sz w:val="20"/>
      <w:szCs w:val="20"/>
    </w:rPr>
  </w:style>
  <w:style w:type="paragraph" w:customStyle="1" w:styleId="TableTextRARMP">
    <w:name w:val="Table Text RARMP"/>
    <w:basedOn w:val="Normal"/>
    <w:qFormat/>
    <w:locked/>
    <w:rsid w:val="00F24418"/>
    <w:pPr>
      <w:spacing w:after="0" w:line="240" w:lineRule="auto"/>
    </w:pPr>
    <w:rPr>
      <w:rFonts w:ascii="Calibri" w:eastAsia="Times New Roman" w:hAnsi="Calibri" w:cs="Times New Roman"/>
      <w:sz w:val="20"/>
      <w:szCs w:val="24"/>
    </w:rPr>
  </w:style>
  <w:style w:type="paragraph" w:styleId="Revision">
    <w:name w:val="Revision"/>
    <w:hidden/>
    <w:uiPriority w:val="99"/>
    <w:semiHidden/>
    <w:rsid w:val="00BC561C"/>
    <w:pPr>
      <w:spacing w:after="0" w:line="240" w:lineRule="auto"/>
    </w:pPr>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griculture.gov.au/import/goods/plant-products/cut-flowers-foliage/treatment-guide" TargetMode="External"/><Relationship Id="rId18" Type="http://schemas.openxmlformats.org/officeDocument/2006/relationships/hyperlink" Target="http://www.isaaa.org/gmapprovaldatabase/default.asp" TargetMode="External"/><Relationship Id="rId26" Type="http://schemas.openxmlformats.org/officeDocument/2006/relationships/hyperlink" Target="https://www.ala.org.au/" TargetMode="External"/><Relationship Id="rId3" Type="http://schemas.openxmlformats.org/officeDocument/2006/relationships/styles" Target="styles.xml"/><Relationship Id="rId21" Type="http://schemas.openxmlformats.org/officeDocument/2006/relationships/hyperlink" Target="https://biotrackproductdatabase.oecd.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gtr.gov.au/internet/ogtr/publishing.nsf/Content/DIR134" TargetMode="External"/><Relationship Id="rId17" Type="http://schemas.openxmlformats.org/officeDocument/2006/relationships/hyperlink" Target="http://www.ogtr.gov.au/internet/ogtr/publishing.nsf/Content/dir134" TargetMode="External"/><Relationship Id="rId25" Type="http://schemas.openxmlformats.org/officeDocument/2006/relationships/hyperlink" Target="https://www.gbif.org/occurrence/search?continent=OCEANIA&amp;taxon_key=3085420&amp;year=2015,201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ch.cbd.int/database/organisms/" TargetMode="External"/><Relationship Id="rId20" Type="http://schemas.openxmlformats.org/officeDocument/2006/relationships/hyperlink" Target="https://ec.europa.eu/food/plant/gmo/eu_register_en" TargetMode="External"/><Relationship Id="rId29" Type="http://schemas.openxmlformats.org/officeDocument/2006/relationships/hyperlink" Target="https://biodiversity.org.au/nsl/services/ap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tr.gov.au/internet/ogtr/publishing.nsf/Content/reg001-1" TargetMode="External"/><Relationship Id="rId24" Type="http://schemas.openxmlformats.org/officeDocument/2006/relationships/hyperlink" Target="https://doi.org/10.15468/39omei"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https://gmoinfo.jrc.ec.europa.eu/gmc_browse.aspx" TargetMode="External"/><Relationship Id="rId28" Type="http://schemas.openxmlformats.org/officeDocument/2006/relationships/hyperlink" Target="https://biodiversity.org.au/nsl/services/apni" TargetMode="External"/><Relationship Id="rId10" Type="http://schemas.openxmlformats.org/officeDocument/2006/relationships/footer" Target="footer1.xml"/><Relationship Id="rId19" Type="http://schemas.openxmlformats.org/officeDocument/2006/relationships/hyperlink" Target="https://bch.cbd.int/database/organisms/" TargetMode="External"/><Relationship Id="rId31" Type="http://schemas.openxmlformats.org/officeDocument/2006/relationships/hyperlink" Target="https://gmoinfo.jrc.ec.europa.eu/gmc_browse.asp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hyperlink" Target="https://gmoinfo.jrc.ec.europa.eu/docs/C-NL-06-01-001-Renewal-Consent.pdf" TargetMode="External"/><Relationship Id="rId27" Type="http://schemas.openxmlformats.org/officeDocument/2006/relationships/hyperlink" Target="https://avh.chah.org.au/" TargetMode="External"/><Relationship Id="rId30" Type="http://schemas.openxmlformats.org/officeDocument/2006/relationships/hyperlink" Target="https://www.environment.gov.au/cgi-bin/biodiversity/invasive/weeds/weedspeciesindex.pl?id=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B399F-66CD-4903-8B1F-AFA74BC71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7260</Words>
  <Characters>41386</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48549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Helen</dc:creator>
  <cp:keywords/>
  <dc:description/>
  <cp:lastModifiedBy>SMITH, Justine</cp:lastModifiedBy>
  <cp:revision>2</cp:revision>
  <cp:lastPrinted>2020-01-24T00:09:00Z</cp:lastPrinted>
  <dcterms:created xsi:type="dcterms:W3CDTF">2021-12-20T22:08:00Z</dcterms:created>
  <dcterms:modified xsi:type="dcterms:W3CDTF">2021-12-20T22:08:00Z</dcterms:modified>
</cp:coreProperties>
</file>