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6D627" w14:textId="77777777" w:rsidR="00256BDC" w:rsidRPr="00452F77" w:rsidRDefault="00256BDC" w:rsidP="00256BDC">
      <w:pPr>
        <w:pStyle w:val="Titletext"/>
        <w:jc w:val="center"/>
        <w:rPr>
          <w:sz w:val="56"/>
          <w:szCs w:val="56"/>
        </w:rPr>
      </w:pPr>
    </w:p>
    <w:p w14:paraId="65924B5D" w14:textId="77777777" w:rsidR="00256BDC" w:rsidRPr="00452F77" w:rsidRDefault="00256BDC" w:rsidP="00256BDC">
      <w:pPr>
        <w:pStyle w:val="Titletext"/>
        <w:jc w:val="center"/>
        <w:rPr>
          <w:sz w:val="56"/>
          <w:szCs w:val="56"/>
        </w:rPr>
      </w:pPr>
    </w:p>
    <w:p w14:paraId="38622DA4" w14:textId="77777777" w:rsidR="00256BDC" w:rsidRPr="00452F77" w:rsidRDefault="00256BDC" w:rsidP="00256BDC">
      <w:pPr>
        <w:pStyle w:val="Titletext"/>
        <w:jc w:val="center"/>
        <w:rPr>
          <w:sz w:val="56"/>
          <w:szCs w:val="56"/>
        </w:rPr>
      </w:pPr>
    </w:p>
    <w:p w14:paraId="297DB3E9" w14:textId="77777777" w:rsidR="00256BDC" w:rsidRPr="00452F77" w:rsidRDefault="00256BDC" w:rsidP="00256BDC">
      <w:pPr>
        <w:pStyle w:val="Titletext"/>
        <w:jc w:val="center"/>
        <w:rPr>
          <w:sz w:val="56"/>
          <w:szCs w:val="56"/>
        </w:rPr>
      </w:pPr>
      <w:r>
        <w:rPr>
          <w:sz w:val="56"/>
          <w:szCs w:val="56"/>
        </w:rPr>
        <w:t xml:space="preserve">Risk Assessment </w:t>
      </w:r>
      <w:r w:rsidRPr="00452F77">
        <w:rPr>
          <w:sz w:val="56"/>
          <w:szCs w:val="56"/>
        </w:rPr>
        <w:t>for</w:t>
      </w:r>
    </w:p>
    <w:p w14:paraId="566BC87C" w14:textId="77777777" w:rsidR="00256BDC" w:rsidRPr="001D5306" w:rsidRDefault="00256BDC" w:rsidP="00256BDC">
      <w:pPr>
        <w:pStyle w:val="Titletext"/>
        <w:jc w:val="center"/>
        <w:rPr>
          <w:b/>
          <w:bCs/>
          <w:sz w:val="56"/>
          <w:szCs w:val="56"/>
        </w:rPr>
      </w:pPr>
      <w:r w:rsidRPr="001D5306">
        <w:rPr>
          <w:b/>
          <w:bCs/>
          <w:sz w:val="56"/>
          <w:szCs w:val="56"/>
        </w:rPr>
        <w:t>Register 001/2004</w:t>
      </w:r>
    </w:p>
    <w:p w14:paraId="7FF72AE3" w14:textId="77777777" w:rsidR="00256BDC" w:rsidRPr="00452F77" w:rsidRDefault="00256BDC" w:rsidP="00256BDC">
      <w:pPr>
        <w:pStyle w:val="Titletext"/>
        <w:jc w:val="center"/>
      </w:pPr>
    </w:p>
    <w:p w14:paraId="4835519B" w14:textId="77777777" w:rsidR="00256BDC" w:rsidRPr="00452F77" w:rsidRDefault="00256BDC" w:rsidP="00256BDC">
      <w:pPr>
        <w:pStyle w:val="Titletext"/>
        <w:jc w:val="center"/>
      </w:pPr>
    </w:p>
    <w:p w14:paraId="40888CFD" w14:textId="77777777" w:rsidR="00256BDC" w:rsidRDefault="00256BDC" w:rsidP="00256BDC">
      <w:pPr>
        <w:pStyle w:val="Titletext"/>
        <w:jc w:val="center"/>
        <w:rPr>
          <w:sz w:val="40"/>
          <w:szCs w:val="40"/>
        </w:rPr>
      </w:pPr>
    </w:p>
    <w:p w14:paraId="51958C0B" w14:textId="77777777" w:rsidR="00256BDC" w:rsidRPr="00452F77" w:rsidRDefault="00256BDC" w:rsidP="00256BDC">
      <w:pPr>
        <w:pStyle w:val="Titletext"/>
        <w:jc w:val="center"/>
      </w:pPr>
    </w:p>
    <w:p w14:paraId="712A5C6F" w14:textId="77777777" w:rsidR="00256BDC" w:rsidRPr="00452F77" w:rsidRDefault="00256BDC" w:rsidP="00256BDC">
      <w:pPr>
        <w:pStyle w:val="Titletext"/>
        <w:jc w:val="center"/>
      </w:pPr>
    </w:p>
    <w:p w14:paraId="0128F162" w14:textId="77777777" w:rsidR="00256BDC" w:rsidRPr="00452F77" w:rsidRDefault="00256BDC" w:rsidP="00256BDC">
      <w:pPr>
        <w:pStyle w:val="Titletext"/>
        <w:jc w:val="center"/>
      </w:pPr>
    </w:p>
    <w:p w14:paraId="1AC0F52D" w14:textId="77777777" w:rsidR="00256BDC" w:rsidRPr="00452F77" w:rsidRDefault="00256BDC" w:rsidP="00256BDC">
      <w:pPr>
        <w:pStyle w:val="Titletext"/>
        <w:jc w:val="center"/>
      </w:pPr>
    </w:p>
    <w:p w14:paraId="778A7824" w14:textId="77777777" w:rsidR="00256BDC" w:rsidRPr="00452F77" w:rsidRDefault="00256BDC" w:rsidP="00256BDC">
      <w:pPr>
        <w:pStyle w:val="Titletext"/>
        <w:jc w:val="center"/>
        <w:rPr>
          <w:b/>
          <w:bCs/>
        </w:rPr>
      </w:pPr>
    </w:p>
    <w:p w14:paraId="162FFCA5" w14:textId="77777777" w:rsidR="00256BDC" w:rsidRPr="00452F77" w:rsidRDefault="00256BDC" w:rsidP="00256BDC">
      <w:pPr>
        <w:pStyle w:val="Titletext"/>
        <w:jc w:val="center"/>
        <w:rPr>
          <w:b/>
          <w:bCs/>
          <w:sz w:val="40"/>
          <w:szCs w:val="40"/>
        </w:rPr>
      </w:pPr>
      <w:r w:rsidRPr="003B1055">
        <w:rPr>
          <w:b/>
          <w:bCs/>
          <w:sz w:val="40"/>
          <w:szCs w:val="40"/>
        </w:rPr>
        <w:t xml:space="preserve">Inclusion of </w:t>
      </w:r>
      <w:r>
        <w:rPr>
          <w:b/>
          <w:bCs/>
          <w:sz w:val="40"/>
          <w:szCs w:val="40"/>
        </w:rPr>
        <w:t>dealings with</w:t>
      </w:r>
      <w:r w:rsidRPr="003B1055">
        <w:rPr>
          <w:b/>
          <w:bCs/>
          <w:sz w:val="40"/>
          <w:szCs w:val="40"/>
        </w:rPr>
        <w:t xml:space="preserve"> GM carnation</w:t>
      </w:r>
      <w:r>
        <w:rPr>
          <w:b/>
          <w:bCs/>
          <w:sz w:val="40"/>
          <w:szCs w:val="40"/>
        </w:rPr>
        <w:t xml:space="preserve"> lines</w:t>
      </w:r>
      <w:r w:rsidRPr="003B1055">
        <w:rPr>
          <w:b/>
          <w:bCs/>
          <w:sz w:val="40"/>
          <w:szCs w:val="40"/>
        </w:rPr>
        <w:t>, modified for flower colour, on the GMO Register</w:t>
      </w:r>
    </w:p>
    <w:p w14:paraId="49FC160A" w14:textId="77777777" w:rsidR="00256BDC" w:rsidRPr="00452F77" w:rsidRDefault="00256BDC" w:rsidP="00256BDC">
      <w:pPr>
        <w:pStyle w:val="Titletext"/>
        <w:jc w:val="center"/>
      </w:pPr>
    </w:p>
    <w:p w14:paraId="66E65E23" w14:textId="77777777" w:rsidR="00256BDC" w:rsidRPr="00452F77" w:rsidRDefault="00256BDC" w:rsidP="00256BDC">
      <w:pPr>
        <w:pStyle w:val="Titletext"/>
        <w:jc w:val="center"/>
      </w:pPr>
    </w:p>
    <w:p w14:paraId="2EB6631F" w14:textId="77777777" w:rsidR="00256BDC" w:rsidRPr="00452F77" w:rsidRDefault="00256BDC" w:rsidP="00256BDC">
      <w:pPr>
        <w:pStyle w:val="Titletext"/>
        <w:jc w:val="center"/>
      </w:pPr>
    </w:p>
    <w:p w14:paraId="26056026" w14:textId="77777777" w:rsidR="00256BDC" w:rsidRPr="00452F77" w:rsidRDefault="00256BDC" w:rsidP="00256BDC">
      <w:pPr>
        <w:pStyle w:val="Titletext"/>
        <w:jc w:val="center"/>
      </w:pPr>
    </w:p>
    <w:p w14:paraId="37465B03" w14:textId="77777777" w:rsidR="00256BDC" w:rsidRPr="00452F77" w:rsidRDefault="00256BDC" w:rsidP="00256BDC">
      <w:pPr>
        <w:pStyle w:val="Titletext"/>
        <w:jc w:val="center"/>
      </w:pPr>
    </w:p>
    <w:p w14:paraId="211E4753" w14:textId="77777777" w:rsidR="00256BDC" w:rsidRPr="00452F77" w:rsidRDefault="00256BDC" w:rsidP="00256BDC">
      <w:pPr>
        <w:pStyle w:val="Titletext"/>
        <w:jc w:val="center"/>
        <w:rPr>
          <w:sz w:val="40"/>
          <w:szCs w:val="40"/>
        </w:rPr>
      </w:pPr>
      <w:r w:rsidRPr="00452F77">
        <w:rPr>
          <w:sz w:val="40"/>
          <w:szCs w:val="40"/>
        </w:rPr>
        <w:t xml:space="preserve">Applicant: Florigene </w:t>
      </w:r>
      <w:r>
        <w:rPr>
          <w:sz w:val="40"/>
          <w:szCs w:val="40"/>
        </w:rPr>
        <w:t xml:space="preserve">Pty </w:t>
      </w:r>
      <w:r w:rsidRPr="00452F77">
        <w:rPr>
          <w:sz w:val="40"/>
          <w:szCs w:val="40"/>
        </w:rPr>
        <w:t>Ltd</w:t>
      </w:r>
    </w:p>
    <w:p w14:paraId="21A30EB3" w14:textId="77777777" w:rsidR="00256BDC" w:rsidRPr="00452F77" w:rsidRDefault="00256BDC" w:rsidP="00256BDC">
      <w:pPr>
        <w:pStyle w:val="Titletext"/>
        <w:jc w:val="center"/>
      </w:pPr>
    </w:p>
    <w:p w14:paraId="0777B0D0" w14:textId="77777777" w:rsidR="00256BDC" w:rsidRDefault="00256BDC" w:rsidP="00256BDC">
      <w:pPr>
        <w:pStyle w:val="Titletext"/>
        <w:jc w:val="center"/>
      </w:pPr>
    </w:p>
    <w:p w14:paraId="15C6CF7E" w14:textId="77777777" w:rsidR="00256BDC" w:rsidRDefault="00256BDC" w:rsidP="00256BDC">
      <w:pPr>
        <w:pStyle w:val="Titletext"/>
        <w:jc w:val="center"/>
      </w:pPr>
    </w:p>
    <w:p w14:paraId="0712C388" w14:textId="77777777" w:rsidR="00256BDC" w:rsidRDefault="00256BDC" w:rsidP="00256BDC">
      <w:pPr>
        <w:pStyle w:val="Titletext"/>
        <w:jc w:val="center"/>
      </w:pPr>
    </w:p>
    <w:p w14:paraId="75E3F911" w14:textId="77777777" w:rsidR="00256BDC" w:rsidRDefault="00256BDC" w:rsidP="00256BDC">
      <w:pPr>
        <w:pStyle w:val="Titletext"/>
        <w:jc w:val="center"/>
      </w:pPr>
    </w:p>
    <w:p w14:paraId="45D6F803" w14:textId="77777777" w:rsidR="00256BDC" w:rsidRDefault="00256BDC" w:rsidP="00256BDC">
      <w:pPr>
        <w:pStyle w:val="Titletext"/>
        <w:jc w:val="center"/>
      </w:pPr>
    </w:p>
    <w:p w14:paraId="62F56839" w14:textId="77777777" w:rsidR="00256BDC" w:rsidRDefault="00256BDC" w:rsidP="00256BDC">
      <w:pPr>
        <w:pStyle w:val="Titletext"/>
        <w:jc w:val="center"/>
      </w:pPr>
    </w:p>
    <w:p w14:paraId="7BAC4A70" w14:textId="77777777" w:rsidR="00256BDC" w:rsidRDefault="00256BDC" w:rsidP="00256BDC">
      <w:pPr>
        <w:pStyle w:val="Titletext"/>
        <w:jc w:val="center"/>
      </w:pPr>
    </w:p>
    <w:p w14:paraId="1BB0B4EF" w14:textId="77777777" w:rsidR="00256BDC" w:rsidRDefault="00256BDC" w:rsidP="00256BDC">
      <w:pPr>
        <w:pStyle w:val="Titletext"/>
        <w:jc w:val="center"/>
      </w:pPr>
    </w:p>
    <w:p w14:paraId="6519ED3E" w14:textId="77777777" w:rsidR="00256BDC" w:rsidRDefault="00256BDC" w:rsidP="00256BDC">
      <w:pPr>
        <w:pStyle w:val="Titletext"/>
        <w:jc w:val="center"/>
      </w:pPr>
    </w:p>
    <w:p w14:paraId="2EAF5B1C" w14:textId="77777777" w:rsidR="00256BDC" w:rsidRDefault="00256BDC" w:rsidP="00256BDC">
      <w:pPr>
        <w:pStyle w:val="Titletext"/>
        <w:jc w:val="center"/>
      </w:pPr>
    </w:p>
    <w:p w14:paraId="1847171E" w14:textId="77777777" w:rsidR="00256BDC" w:rsidRDefault="00256BDC" w:rsidP="00256BDC">
      <w:pPr>
        <w:pStyle w:val="Titletext"/>
        <w:jc w:val="center"/>
      </w:pPr>
    </w:p>
    <w:p w14:paraId="7A4E9A7C" w14:textId="77777777" w:rsidR="00256BDC" w:rsidRPr="00452F77" w:rsidRDefault="00256BDC" w:rsidP="00256BDC">
      <w:pPr>
        <w:pStyle w:val="Titletext"/>
        <w:jc w:val="center"/>
      </w:pPr>
    </w:p>
    <w:p w14:paraId="348976EA" w14:textId="77777777" w:rsidR="00256BDC" w:rsidRPr="00452F77" w:rsidRDefault="00256BDC" w:rsidP="00256BDC">
      <w:pPr>
        <w:pStyle w:val="Titletext"/>
        <w:jc w:val="center"/>
        <w:rPr>
          <w:sz w:val="40"/>
          <w:szCs w:val="40"/>
        </w:rPr>
      </w:pPr>
      <w:r>
        <w:rPr>
          <w:sz w:val="40"/>
          <w:szCs w:val="40"/>
        </w:rPr>
        <w:t xml:space="preserve">November </w:t>
      </w:r>
      <w:r w:rsidRPr="003B1055">
        <w:rPr>
          <w:sz w:val="40"/>
          <w:szCs w:val="40"/>
        </w:rPr>
        <w:t>2006</w:t>
      </w:r>
    </w:p>
    <w:p w14:paraId="18A3D031" w14:textId="77777777" w:rsidR="00256BDC" w:rsidRDefault="00256BDC" w:rsidP="00256BDC">
      <w:pPr>
        <w:pStyle w:val="Header"/>
        <w:tabs>
          <w:tab w:val="clear" w:pos="4153"/>
          <w:tab w:val="clear" w:pos="8306"/>
        </w:tabs>
      </w:pPr>
    </w:p>
    <w:p w14:paraId="5F76B1D4" w14:textId="77777777" w:rsidR="00256BDC" w:rsidRDefault="00256BDC" w:rsidP="00256BDC"/>
    <w:p w14:paraId="6790FD89" w14:textId="77777777" w:rsidR="00256BDC" w:rsidRDefault="00256BDC" w:rsidP="00256BDC"/>
    <w:p w14:paraId="405B63B6" w14:textId="77777777" w:rsidR="00256BDC" w:rsidRDefault="00256BDC" w:rsidP="00256BDC">
      <w:pPr>
        <w:rPr>
          <w:color w:val="0000FF"/>
        </w:rPr>
        <w:sectPr w:rsidR="00256BDC" w:rsidSect="006C5D94">
          <w:headerReference w:type="default" r:id="rId7"/>
          <w:footerReference w:type="even" r:id="rId8"/>
          <w:footerReference w:type="default" r:id="rId9"/>
          <w:pgSz w:w="11906" w:h="16838" w:code="9"/>
          <w:pgMar w:top="1440" w:right="1418" w:bottom="1440" w:left="1418" w:header="720" w:footer="720" w:gutter="0"/>
          <w:paperSrc w:first="7" w:other="7"/>
          <w:cols w:space="720"/>
          <w:titlePg/>
        </w:sectPr>
      </w:pPr>
    </w:p>
    <w:p w14:paraId="0D0D0906" w14:textId="77777777" w:rsidR="00256BDC" w:rsidRDefault="00256BDC" w:rsidP="00256BDC">
      <w:pPr>
        <w:rPr>
          <w:rFonts w:ascii="Arial" w:hAnsi="Arial" w:cs="Arial"/>
          <w:b/>
          <w:bCs/>
          <w:sz w:val="36"/>
          <w:szCs w:val="36"/>
        </w:rPr>
      </w:pPr>
      <w:r w:rsidRPr="001754AB">
        <w:rPr>
          <w:rFonts w:ascii="Arial" w:hAnsi="Arial" w:cs="Arial"/>
          <w:b/>
          <w:bCs/>
          <w:sz w:val="36"/>
          <w:szCs w:val="36"/>
        </w:rPr>
        <w:lastRenderedPageBreak/>
        <w:t>Executive Summary</w:t>
      </w:r>
    </w:p>
    <w:p w14:paraId="481FDEBB" w14:textId="77777777" w:rsidR="00256BDC" w:rsidRPr="0019095B" w:rsidRDefault="00256BDC" w:rsidP="00256BDC">
      <w:pPr>
        <w:pStyle w:val="Paragraph"/>
        <w:spacing w:before="0"/>
        <w:rPr>
          <w:rFonts w:ascii="Arial" w:hAnsi="Arial" w:cs="Arial"/>
          <w:b/>
          <w:bCs/>
          <w:i/>
          <w:iCs/>
          <w:sz w:val="28"/>
          <w:szCs w:val="28"/>
        </w:rPr>
      </w:pPr>
      <w:r w:rsidRPr="0019095B">
        <w:rPr>
          <w:rFonts w:ascii="Arial" w:hAnsi="Arial" w:cs="Arial"/>
          <w:b/>
          <w:bCs/>
          <w:i/>
          <w:iCs/>
          <w:sz w:val="28"/>
          <w:szCs w:val="28"/>
        </w:rPr>
        <w:t>Introduction</w:t>
      </w:r>
    </w:p>
    <w:p w14:paraId="09B08494" w14:textId="77777777" w:rsidR="00256BDC" w:rsidRDefault="00256BDC" w:rsidP="00256BDC">
      <w:pPr>
        <w:pStyle w:val="PARA"/>
        <w:numPr>
          <w:ilvl w:val="0"/>
          <w:numId w:val="0"/>
        </w:numPr>
      </w:pPr>
      <w:r w:rsidRPr="00C90E5E">
        <w:t xml:space="preserve">The Gene Technology Regulator (the Regulator) </w:t>
      </w:r>
      <w:r>
        <w:t xml:space="preserve">has made a determination </w:t>
      </w:r>
      <w:r w:rsidRPr="00C90E5E">
        <w:t xml:space="preserve">to </w:t>
      </w:r>
      <w:r>
        <w:t>include dealings with four genetically modified (GM) carnation lines on the Genetically Modified Organism (GMO) Register, (Register 001/2004)</w:t>
      </w:r>
      <w:r w:rsidRPr="00C90E5E">
        <w:t>.</w:t>
      </w:r>
      <w:r>
        <w:t xml:space="preserve"> These dealings were previously authorised </w:t>
      </w:r>
      <w:r w:rsidRPr="00F5760C">
        <w:t>under licence DIR</w:t>
      </w:r>
      <w:r>
        <w:t xml:space="preserve"> 030/2002.</w:t>
      </w:r>
    </w:p>
    <w:p w14:paraId="53DAD0AB" w14:textId="77777777" w:rsidR="00256BDC" w:rsidRPr="00A93024" w:rsidRDefault="00256BDC" w:rsidP="00256BDC">
      <w:pPr>
        <w:pStyle w:val="PARA"/>
        <w:numPr>
          <w:ilvl w:val="0"/>
          <w:numId w:val="0"/>
        </w:numPr>
      </w:pPr>
      <w:r>
        <w:t xml:space="preserve">According to section 79 of </w:t>
      </w:r>
      <w:r w:rsidRPr="00EC7069">
        <w:rPr>
          <w:i/>
        </w:rPr>
        <w:t>the Gene Technology Act 2000</w:t>
      </w:r>
      <w:r>
        <w:t xml:space="preserve"> (the Act) the Regulator must not make a determination unless satisfied that any risks posed by the dealings are minimal and that it is not necessary for persons undertaking the dealings to hold, or be covered by a GMO licence, in order to protect the health and safety of people or to protect the </w:t>
      </w:r>
      <w:r w:rsidRPr="00AA7D7E">
        <w:t>environment. The Regulator will be satisfied that the risks are minimal if the risk estimates of identified risks are low or negligible, or if there are no identified risks.</w:t>
      </w:r>
    </w:p>
    <w:p w14:paraId="0C842516" w14:textId="77777777" w:rsidR="00256BDC" w:rsidRPr="00AE3431" w:rsidRDefault="00256BDC" w:rsidP="00256BDC">
      <w:pPr>
        <w:pStyle w:val="PARA"/>
        <w:numPr>
          <w:ilvl w:val="0"/>
          <w:numId w:val="0"/>
        </w:numPr>
        <w:rPr>
          <w:u w:val="single"/>
        </w:rPr>
      </w:pPr>
      <w:r w:rsidRPr="00C90E5E">
        <w:t xml:space="preserve">More information </w:t>
      </w:r>
      <w:r>
        <w:t xml:space="preserve">about the </w:t>
      </w:r>
      <w:hyperlink r:id="rId10" w:history="1">
        <w:r w:rsidRPr="00256BDC">
          <w:rPr>
            <w:rStyle w:val="Hyperlink"/>
          </w:rPr>
          <w:t>GMO Register</w:t>
        </w:r>
      </w:hyperlink>
      <w:r>
        <w:t xml:space="preserve"> and on the </w:t>
      </w:r>
      <w:hyperlink r:id="rId11" w:history="1">
        <w:r w:rsidRPr="00256BDC">
          <w:rPr>
            <w:rStyle w:val="Hyperlink"/>
          </w:rPr>
          <w:t>risk analysis process</w:t>
        </w:r>
      </w:hyperlink>
      <w:r>
        <w:t xml:space="preserve"> followed by the Regulator </w:t>
      </w:r>
      <w:r w:rsidRPr="00C90E5E">
        <w:t xml:space="preserve">is available </w:t>
      </w:r>
      <w:r w:rsidRPr="00EC7069">
        <w:rPr>
          <w:color w:val="000000"/>
        </w:rPr>
        <w:t xml:space="preserve">from the Office of the Gene Technology Regulator (OGTR) (Free call  </w:t>
      </w:r>
      <w:r>
        <w:rPr>
          <w:color w:val="000000"/>
        </w:rPr>
        <w:t>1800 181 030).</w:t>
      </w:r>
    </w:p>
    <w:p w14:paraId="448F8539" w14:textId="77777777" w:rsidR="00256BDC" w:rsidRPr="0019095B" w:rsidRDefault="00256BDC" w:rsidP="00256BDC">
      <w:pPr>
        <w:pStyle w:val="Paragraph"/>
        <w:rPr>
          <w:rFonts w:ascii="Arial" w:hAnsi="Arial" w:cs="Arial"/>
          <w:b/>
          <w:bCs/>
          <w:i/>
          <w:iCs/>
          <w:sz w:val="28"/>
          <w:szCs w:val="28"/>
        </w:rPr>
      </w:pPr>
      <w:r w:rsidRPr="0019095B">
        <w:rPr>
          <w:rFonts w:ascii="Arial" w:hAnsi="Arial" w:cs="Arial"/>
          <w:b/>
          <w:bCs/>
          <w:i/>
          <w:iCs/>
          <w:sz w:val="28"/>
          <w:szCs w:val="28"/>
        </w:rPr>
        <w:t>The application</w:t>
      </w:r>
    </w:p>
    <w:p w14:paraId="50F6B971" w14:textId="77777777" w:rsidR="00256BDC" w:rsidRDefault="00256BDC" w:rsidP="00256BDC">
      <w:pPr>
        <w:pStyle w:val="PARA"/>
        <w:numPr>
          <w:ilvl w:val="0"/>
          <w:numId w:val="0"/>
        </w:numPr>
      </w:pPr>
      <w:r w:rsidRPr="00C90E5E">
        <w:t>Florigene Pty Ltd (Florigene)</w:t>
      </w:r>
      <w:r>
        <w:t xml:space="preserve"> applied to include dealings with four lines of GM carnation on the GMO Register. The carnation lines were modified</w:t>
      </w:r>
      <w:r w:rsidRPr="00C90E5E">
        <w:t xml:space="preserve"> by the insertion of genes that affect the production of blue coloured </w:t>
      </w:r>
      <w:r>
        <w:t>(</w:t>
      </w:r>
      <w:r w:rsidRPr="00C90E5E">
        <w:t>anthocyanin</w:t>
      </w:r>
      <w:r>
        <w:t>)</w:t>
      </w:r>
      <w:r w:rsidRPr="00C90E5E">
        <w:t xml:space="preserve"> pigments, leading to violet</w:t>
      </w:r>
      <w:r>
        <w:t>, mauve or purple</w:t>
      </w:r>
      <w:r w:rsidRPr="00C90E5E">
        <w:t xml:space="preserve"> coloured flowers</w:t>
      </w:r>
      <w:r>
        <w:t>. The introduced</w:t>
      </w:r>
      <w:r w:rsidRPr="00C90E5E">
        <w:t xml:space="preserve"> genes were derived f</w:t>
      </w:r>
      <w:r>
        <w:t>rom pansy and petunia. The GM carnation lines also contain a herbicide tolerance</w:t>
      </w:r>
      <w:r w:rsidRPr="00C90E5E">
        <w:t xml:space="preserve"> marker gene from</w:t>
      </w:r>
      <w:r>
        <w:t xml:space="preserve"> tobacco</w:t>
      </w:r>
      <w:r w:rsidRPr="00C90E5E">
        <w:t xml:space="preserve">, which helped identify and select </w:t>
      </w:r>
      <w:r>
        <w:t xml:space="preserve">GM </w:t>
      </w:r>
      <w:r w:rsidRPr="00C90E5E">
        <w:t>plants during their development in the laboratory.</w:t>
      </w:r>
      <w:r>
        <w:t xml:space="preserve"> </w:t>
      </w:r>
    </w:p>
    <w:p w14:paraId="243506CF" w14:textId="77777777" w:rsidR="00256BDC" w:rsidRDefault="00256BDC" w:rsidP="00256BDC">
      <w:pPr>
        <w:pStyle w:val="PARA"/>
        <w:numPr>
          <w:ilvl w:val="0"/>
          <w:numId w:val="0"/>
        </w:numPr>
      </w:pPr>
      <w:r>
        <w:t>The proposed dealings were first authorised under the former voluntary system in 1995 and licenced in 2003 (DIR 030/2002). They include the propagation, growth, and distribution of both GM plants and cut flowers Australia-wide without containment measures to limit the spread and persistence of the GMOs or the introduced genes.</w:t>
      </w:r>
    </w:p>
    <w:p w14:paraId="2152F61D" w14:textId="77777777" w:rsidR="00256BDC" w:rsidRPr="0019095B" w:rsidRDefault="00256BDC" w:rsidP="00256BDC">
      <w:pPr>
        <w:pStyle w:val="PARA"/>
        <w:numPr>
          <w:ilvl w:val="0"/>
          <w:numId w:val="0"/>
        </w:numPr>
        <w:rPr>
          <w:rFonts w:ascii="Arial" w:hAnsi="Arial" w:cs="Arial"/>
          <w:b/>
          <w:bCs/>
          <w:i/>
          <w:iCs/>
          <w:sz w:val="28"/>
          <w:szCs w:val="28"/>
        </w:rPr>
      </w:pPr>
      <w:r w:rsidRPr="0019095B">
        <w:rPr>
          <w:rFonts w:ascii="Arial" w:hAnsi="Arial" w:cs="Arial"/>
          <w:b/>
          <w:bCs/>
          <w:i/>
          <w:iCs/>
          <w:sz w:val="28"/>
          <w:szCs w:val="28"/>
        </w:rPr>
        <w:t>Risk assessment</w:t>
      </w:r>
    </w:p>
    <w:p w14:paraId="06B871E2" w14:textId="77777777" w:rsidR="00256BDC" w:rsidRDefault="00256BDC" w:rsidP="00256BDC">
      <w:pPr>
        <w:pStyle w:val="Paragraph"/>
      </w:pPr>
      <w:r>
        <w:t xml:space="preserve">The Risk Assessment and Risk Management Plan (RARMP) that formed the basis of the Regulator’s decision to issue licence DIR 030/2002 concluded that the commercial release of the four carnation lines modified for flower colour posed </w:t>
      </w:r>
      <w:r w:rsidRPr="00AA7D7E">
        <w:t>no risks to</w:t>
      </w:r>
      <w:r>
        <w:t xml:space="preserve"> the health and safety of people or the Australian environment. Accordingly, n</w:t>
      </w:r>
      <w:r w:rsidRPr="003A715F">
        <w:t xml:space="preserve">o </w:t>
      </w:r>
      <w:r>
        <w:t>risk treatment</w:t>
      </w:r>
      <w:r w:rsidRPr="003A715F">
        <w:t xml:space="preserve"> conditions were imposed in the licence</w:t>
      </w:r>
      <w:r>
        <w:t xml:space="preserve">. </w:t>
      </w:r>
    </w:p>
    <w:p w14:paraId="6CF5992E" w14:textId="77777777" w:rsidR="00256BDC" w:rsidRDefault="00256BDC" w:rsidP="00256BDC">
      <w:pPr>
        <w:pStyle w:val="Paragraph"/>
      </w:pPr>
      <w:r>
        <w:t>A Risk Assessment was prepared for application Register 001/2004 based on additional data obtained from Florigene, together with information from the scientific literature published since the licence was issued, and advice in submissions received through consultation with a wide range of experts, agencies and authorities, and the public</w:t>
      </w:r>
      <w:r w:rsidRPr="006C2EFC">
        <w:t xml:space="preserve">. </w:t>
      </w:r>
      <w:r w:rsidRPr="00AA7D7E">
        <w:t xml:space="preserve">No risks were identified that required further analysis. </w:t>
      </w:r>
      <w:r>
        <w:t>In addition, t</w:t>
      </w:r>
      <w:r w:rsidRPr="006C2EFC">
        <w:t xml:space="preserve">here have been no adverse effects reported over the 10 </w:t>
      </w:r>
      <w:r>
        <w:t>years in which the GM carnation lines</w:t>
      </w:r>
      <w:r w:rsidRPr="006C2EFC">
        <w:t xml:space="preserve"> have been grown and sold commercially in Australia</w:t>
      </w:r>
      <w:r>
        <w:t xml:space="preserve"> or from extensive cultivation and distribution overseas.</w:t>
      </w:r>
    </w:p>
    <w:p w14:paraId="25026EC0" w14:textId="77777777" w:rsidR="00256BDC" w:rsidRDefault="00256BDC" w:rsidP="00256BDC">
      <w:pPr>
        <w:pStyle w:val="Paragraph"/>
      </w:pPr>
      <w:r>
        <w:t>The R</w:t>
      </w:r>
      <w:r w:rsidRPr="006C2EFC">
        <w:t>is</w:t>
      </w:r>
      <w:r>
        <w:t>k A</w:t>
      </w:r>
      <w:r w:rsidRPr="006C2EFC">
        <w:t xml:space="preserve">ssessment </w:t>
      </w:r>
      <w:r>
        <w:t xml:space="preserve">considered </w:t>
      </w:r>
      <w:r w:rsidRPr="00AA7D7E">
        <w:t>one new hazard (an event that may cause harm)</w:t>
      </w:r>
      <w:r w:rsidRPr="006C2EFC">
        <w:t xml:space="preserve"> but no risk</w:t>
      </w:r>
      <w:r>
        <w:t xml:space="preserve"> from this event</w:t>
      </w:r>
      <w:r w:rsidRPr="006C2EFC">
        <w:t xml:space="preserve"> </w:t>
      </w:r>
      <w:r>
        <w:t xml:space="preserve">was </w:t>
      </w:r>
      <w:r w:rsidRPr="006C2EFC">
        <w:t>identified</w:t>
      </w:r>
      <w:r>
        <w:t xml:space="preserve">. </w:t>
      </w:r>
      <w:r w:rsidRPr="00AA7D7E">
        <w:t xml:space="preserve">Therefore, the risks posed by the dealings specified in </w:t>
      </w:r>
      <w:r>
        <w:t xml:space="preserve">application </w:t>
      </w:r>
      <w:r w:rsidRPr="00AA7D7E">
        <w:t xml:space="preserve">Register 001/2004 were considered, by definition of the Act, to be </w:t>
      </w:r>
      <w:r w:rsidRPr="00AA7D7E">
        <w:rPr>
          <w:bCs/>
        </w:rPr>
        <w:t>minimal</w:t>
      </w:r>
      <w:r>
        <w:rPr>
          <w:bCs/>
        </w:rPr>
        <w:t>. Hence</w:t>
      </w:r>
      <w:r>
        <w:t xml:space="preserve"> it was</w:t>
      </w:r>
      <w:r w:rsidRPr="006C2EFC">
        <w:t xml:space="preserve"> not considered necessary for</w:t>
      </w:r>
      <w:r>
        <w:t xml:space="preserve"> persons undertaking the dealings to hold, or be covered by a GMO licence, in order to protect the health and safety of people or to protect the environment. </w:t>
      </w:r>
    </w:p>
    <w:p w14:paraId="695F8B19" w14:textId="77777777" w:rsidR="00256BDC" w:rsidRDefault="00256BDC" w:rsidP="00256BDC">
      <w:pPr>
        <w:pStyle w:val="Paragraph"/>
        <w:spacing w:before="0"/>
        <w:rPr>
          <w:rFonts w:ascii="Arial" w:hAnsi="Arial" w:cs="Arial"/>
          <w:b/>
          <w:bCs/>
          <w:sz w:val="36"/>
          <w:szCs w:val="36"/>
        </w:rPr>
      </w:pPr>
      <w:r>
        <w:lastRenderedPageBreak/>
        <w:t>In conclusion, the dealings specified in application Register 001/2004 involving the ongoing commercial release of four GM carnation lines modified for flower colour, are considered to meet the criteria for inclusion on the GMO Register, and not require the dealings to be subject to conditions.</w:t>
      </w:r>
      <w:r>
        <w:rPr>
          <w:b/>
          <w:bCs/>
        </w:rPr>
        <w:br w:type="page"/>
      </w:r>
      <w:r w:rsidRPr="000C11F2">
        <w:rPr>
          <w:rFonts w:ascii="Arial" w:hAnsi="Arial" w:cs="Arial"/>
          <w:b/>
          <w:bCs/>
          <w:sz w:val="36"/>
          <w:szCs w:val="36"/>
        </w:rPr>
        <w:lastRenderedPageBreak/>
        <w:t xml:space="preserve">Risk </w:t>
      </w:r>
      <w:r>
        <w:rPr>
          <w:rFonts w:ascii="Arial" w:hAnsi="Arial" w:cs="Arial"/>
          <w:b/>
          <w:bCs/>
          <w:sz w:val="36"/>
          <w:szCs w:val="36"/>
        </w:rPr>
        <w:t>assessment</w:t>
      </w:r>
    </w:p>
    <w:p w14:paraId="116825A3" w14:textId="77777777" w:rsidR="00256BDC" w:rsidRPr="00105E18" w:rsidRDefault="00256BDC" w:rsidP="00256BDC">
      <w:pPr>
        <w:pStyle w:val="Paragraph"/>
        <w:spacing w:before="0"/>
        <w:rPr>
          <w:rFonts w:ascii="Arial" w:hAnsi="Arial" w:cs="Arial"/>
          <w:b/>
          <w:bCs/>
          <w:sz w:val="32"/>
          <w:szCs w:val="32"/>
        </w:rPr>
      </w:pPr>
      <w:r>
        <w:rPr>
          <w:rFonts w:ascii="Arial" w:hAnsi="Arial" w:cs="Arial"/>
          <w:b/>
          <w:bCs/>
          <w:sz w:val="32"/>
          <w:szCs w:val="32"/>
        </w:rPr>
        <w:t xml:space="preserve">1. </w:t>
      </w:r>
      <w:r w:rsidRPr="00105E18">
        <w:rPr>
          <w:rFonts w:ascii="Arial" w:hAnsi="Arial" w:cs="Arial"/>
          <w:b/>
          <w:bCs/>
          <w:sz w:val="32"/>
          <w:szCs w:val="32"/>
        </w:rPr>
        <w:t>Background</w:t>
      </w:r>
    </w:p>
    <w:p w14:paraId="637892BD" w14:textId="77777777" w:rsidR="00256BDC" w:rsidRDefault="00256BDC" w:rsidP="00256BDC">
      <w:pPr>
        <w:pStyle w:val="Paragraph"/>
        <w:spacing w:before="0"/>
        <w:ind w:left="426"/>
        <w:rPr>
          <w:rFonts w:ascii="Arial" w:hAnsi="Arial" w:cs="Arial"/>
          <w:b/>
          <w:bCs/>
        </w:rPr>
      </w:pPr>
      <w:r>
        <w:rPr>
          <w:rFonts w:ascii="Arial" w:hAnsi="Arial" w:cs="Arial"/>
          <w:b/>
          <w:bCs/>
        </w:rPr>
        <w:t>1.1</w:t>
      </w:r>
      <w:r w:rsidRPr="00BC61F1">
        <w:rPr>
          <w:rFonts w:ascii="Arial" w:hAnsi="Arial" w:cs="Arial"/>
          <w:b/>
          <w:bCs/>
        </w:rPr>
        <w:tab/>
      </w:r>
      <w:r>
        <w:rPr>
          <w:rFonts w:ascii="Arial" w:hAnsi="Arial" w:cs="Arial"/>
          <w:b/>
          <w:bCs/>
        </w:rPr>
        <w:t>The GMO R</w:t>
      </w:r>
      <w:r w:rsidRPr="00D60D99">
        <w:rPr>
          <w:rFonts w:ascii="Arial" w:hAnsi="Arial" w:cs="Arial"/>
          <w:b/>
          <w:bCs/>
        </w:rPr>
        <w:t>egister</w:t>
      </w:r>
    </w:p>
    <w:p w14:paraId="23A2432A" w14:textId="77777777" w:rsidR="00256BDC" w:rsidRDefault="00256BDC" w:rsidP="00256BDC">
      <w:pPr>
        <w:pStyle w:val="Paragraph"/>
        <w:spacing w:before="0"/>
      </w:pPr>
      <w:r>
        <w:t xml:space="preserve">The Gene Technology Regulator (the Regulator) may make a determination to include dealings with genetically modified organisms (GMOs) on the GMO Register according to section 78 of the </w:t>
      </w:r>
      <w:r w:rsidRPr="00182B68">
        <w:rPr>
          <w:i/>
          <w:iCs/>
        </w:rPr>
        <w:t>Gene Technology Act 2000</w:t>
      </w:r>
      <w:r>
        <w:t xml:space="preserve"> (the Act). Such dealings are required to be, or have been, authorised by a GMO licence. </w:t>
      </w:r>
    </w:p>
    <w:p w14:paraId="22F76851" w14:textId="77777777" w:rsidR="00256BDC" w:rsidRPr="00EC7069" w:rsidRDefault="00256BDC" w:rsidP="00256BDC">
      <w:pPr>
        <w:pStyle w:val="PARA"/>
        <w:numPr>
          <w:ilvl w:val="0"/>
          <w:numId w:val="0"/>
        </w:numPr>
        <w:rPr>
          <w:u w:val="single"/>
        </w:rPr>
      </w:pPr>
      <w:r>
        <w:t>According to section 79 of the Act the Regulator must not make a determination unless satisfied that any risks posed by the dealings are minimal and that it is not necessary for persons undertaking the dealings to hold, or be covered by a GMO licence, in order to protect the health and safety of people or to protect the environment</w:t>
      </w:r>
      <w:r w:rsidRPr="00CA3E95">
        <w:t xml:space="preserve">. The Regulator will be satisfied that the risks are minimal if the risk estimates of identified risks are low or negligible, or if there are no identified risks (see </w:t>
      </w:r>
      <w:hyperlink r:id="rId12" w:history="1">
        <w:r w:rsidRPr="00256BDC">
          <w:rPr>
            <w:rStyle w:val="Hyperlink"/>
            <w:i/>
          </w:rPr>
          <w:t>Risk Analysis Framework</w:t>
        </w:r>
        <w:r w:rsidRPr="00256BDC">
          <w:rPr>
            <w:rStyle w:val="Hyperlink"/>
          </w:rPr>
          <w:t>).</w:t>
        </w:r>
      </w:hyperlink>
    </w:p>
    <w:p w14:paraId="0869BEE6" w14:textId="77777777" w:rsidR="00256BDC" w:rsidRDefault="00256BDC" w:rsidP="00256BDC">
      <w:pPr>
        <w:pStyle w:val="Paragraph"/>
        <w:spacing w:before="0"/>
      </w:pPr>
      <w:r>
        <w:t xml:space="preserve">Matters that the Regulator must have regard to include a safe history of use, information as to risks associated with the dealing and whether there is a need for the dealings to be subject to conditions. </w:t>
      </w:r>
    </w:p>
    <w:p w14:paraId="5BCD3E5E" w14:textId="77777777" w:rsidR="00256BDC" w:rsidRPr="00BC61F1" w:rsidRDefault="00256BDC" w:rsidP="00256BDC">
      <w:pPr>
        <w:pStyle w:val="Paragraph"/>
        <w:ind w:left="1134" w:hanging="708"/>
        <w:rPr>
          <w:rFonts w:ascii="Arial" w:hAnsi="Arial" w:cs="Arial"/>
          <w:b/>
          <w:bCs/>
        </w:rPr>
      </w:pPr>
      <w:r w:rsidDel="00D31A09">
        <w:t xml:space="preserve"> </w:t>
      </w:r>
      <w:r>
        <w:rPr>
          <w:rFonts w:ascii="Arial" w:hAnsi="Arial" w:cs="Arial"/>
          <w:b/>
          <w:bCs/>
        </w:rPr>
        <w:t>1.2</w:t>
      </w:r>
      <w:r w:rsidRPr="00BC61F1">
        <w:rPr>
          <w:rFonts w:ascii="Arial" w:hAnsi="Arial" w:cs="Arial"/>
          <w:b/>
          <w:bCs/>
        </w:rPr>
        <w:tab/>
        <w:t>Risk a</w:t>
      </w:r>
      <w:r>
        <w:rPr>
          <w:rFonts w:ascii="Arial" w:hAnsi="Arial" w:cs="Arial"/>
          <w:b/>
          <w:bCs/>
        </w:rPr>
        <w:t>ssessment process</w:t>
      </w:r>
      <w:r w:rsidRPr="00BC61F1">
        <w:rPr>
          <w:rFonts w:ascii="Arial" w:hAnsi="Arial" w:cs="Arial"/>
          <w:b/>
          <w:bCs/>
        </w:rPr>
        <w:t xml:space="preserve"> for inclusion on the GMO Register</w:t>
      </w:r>
    </w:p>
    <w:p w14:paraId="6BDE7A8E" w14:textId="77777777" w:rsidR="00256BDC" w:rsidRDefault="00256BDC" w:rsidP="00256BDC">
      <w:pPr>
        <w:pStyle w:val="Paragraph"/>
      </w:pPr>
      <w:r w:rsidRPr="00C90E5E">
        <w:t>Florigene Pty Ltd (Florigene)</w:t>
      </w:r>
      <w:r>
        <w:t xml:space="preserve"> has applied to include dealings covered by licence DIR 030/2002 on the GMO Register (Register 001/2004). Further data to those assessed in the Risk Assessment and Risk Management Plan (RARMP) for DIR 030/2002 were obtained from the company to support the application, including additional comparative molecular, morphological</w:t>
      </w:r>
      <w:r w:rsidRPr="003A715F">
        <w:t xml:space="preserve"> and </w:t>
      </w:r>
      <w:r>
        <w:t>toxicity data. A Risk Assessment has been prepared based on these data together with new information obtained from the scientific literature, published since the licence was issued, and advice in submissions received through consultation with a wide range of experts, agencies and authorities, and the public.</w:t>
      </w:r>
    </w:p>
    <w:p w14:paraId="511094B1" w14:textId="77777777" w:rsidR="00256BDC" w:rsidRPr="00BC61F1" w:rsidRDefault="00256BDC" w:rsidP="00256BDC">
      <w:r>
        <w:t>Hazard identification is</w:t>
      </w:r>
      <w:r w:rsidRPr="006005A2">
        <w:t xml:space="preserve"> carried out to identify events that may lead to an </w:t>
      </w:r>
      <w:r>
        <w:t>adverse outcome related to the new data and information</w:t>
      </w:r>
      <w:r w:rsidRPr="006005A2">
        <w:t xml:space="preserve">. Events are particular sets of circumstances that might occur through interaction between the GMO and the environment as a </w:t>
      </w:r>
      <w:r>
        <w:t>result of the proposed dealings</w:t>
      </w:r>
      <w:r w:rsidRPr="006005A2">
        <w:t xml:space="preserve">. A risk is identified only when there is some chance that harm to people or the environment will occur. </w:t>
      </w:r>
      <w:r>
        <w:t>E</w:t>
      </w:r>
      <w:r w:rsidRPr="006005A2">
        <w:t>vents that do not lead to an adverse outcome or could not reasonably occur do not represent an identified risk.</w:t>
      </w:r>
    </w:p>
    <w:p w14:paraId="042534ED" w14:textId="77777777" w:rsidR="00256BDC" w:rsidRPr="00BC61F1" w:rsidRDefault="00256BDC" w:rsidP="00256BDC"/>
    <w:p w14:paraId="226C2DC8" w14:textId="77777777" w:rsidR="00256BDC" w:rsidRDefault="00256BDC" w:rsidP="00256BDC">
      <w:pPr>
        <w:pStyle w:val="Paragraph"/>
        <w:spacing w:before="0"/>
      </w:pPr>
      <w:r w:rsidRPr="00BC61F1">
        <w:t xml:space="preserve">If certain events in the original RARMP are re-assessed as having an increased level of risk from that previously estimated, then there may be a need for risk </w:t>
      </w:r>
      <w:r>
        <w:t>treatment</w:t>
      </w:r>
      <w:r w:rsidRPr="00BC61F1">
        <w:t xml:space="preserve"> measures. In addition, new events (not previously assessed) arising from information obtained subsequent to preparation of the original RARMP may give rise to new identified risks</w:t>
      </w:r>
      <w:r>
        <w:t xml:space="preserve">. If </w:t>
      </w:r>
      <w:r w:rsidRPr="00BC61F1">
        <w:t>the risk</w:t>
      </w:r>
      <w:r>
        <w:t>s</w:t>
      </w:r>
      <w:r w:rsidRPr="00BC61F1">
        <w:t xml:space="preserve"> </w:t>
      </w:r>
      <w:r>
        <w:t>are not considered minimal</w:t>
      </w:r>
      <w:r w:rsidRPr="00BC61F1">
        <w:t xml:space="preserve"> then the Regulator will not make a determination</w:t>
      </w:r>
      <w:r>
        <w:t xml:space="preserve"> to include the dealings on the GMO R</w:t>
      </w:r>
      <w:r w:rsidRPr="00BC61F1">
        <w:t xml:space="preserve">egister. </w:t>
      </w:r>
    </w:p>
    <w:p w14:paraId="2B2528A6" w14:textId="77777777" w:rsidR="00256BDC" w:rsidRDefault="00256BDC" w:rsidP="00256BDC">
      <w:pPr>
        <w:pStyle w:val="Paragraph"/>
        <w:spacing w:before="0"/>
      </w:pPr>
      <w:r w:rsidRPr="00BC61F1">
        <w:t>Information</w:t>
      </w:r>
      <w:r>
        <w:t xml:space="preserve"> on the process of risk analysis</w:t>
      </w:r>
      <w:r w:rsidRPr="00BC61F1">
        <w:t xml:space="preserve"> (the </w:t>
      </w:r>
      <w:hyperlink r:id="rId13" w:history="1">
        <w:r w:rsidRPr="00256BDC">
          <w:rPr>
            <w:rStyle w:val="Hyperlink"/>
            <w:i/>
            <w:iCs/>
          </w:rPr>
          <w:t>Risk Analysis Framework</w:t>
        </w:r>
        <w:r w:rsidRPr="00256BDC">
          <w:rPr>
            <w:rStyle w:val="Hyperlink"/>
          </w:rPr>
          <w:t>)</w:t>
        </w:r>
      </w:hyperlink>
      <w:r w:rsidRPr="00BC61F1">
        <w:t xml:space="preserve"> is available from the Office of the Gene Technology Regulator (OGTR) </w:t>
      </w:r>
      <w:r>
        <w:t>(Free call 1800 181 030).</w:t>
      </w:r>
    </w:p>
    <w:p w14:paraId="4B953DB9" w14:textId="77777777" w:rsidR="00256BDC" w:rsidRPr="00BC61F1" w:rsidRDefault="00256BDC" w:rsidP="00256BDC">
      <w:pPr>
        <w:pStyle w:val="Paragraph"/>
        <w:spacing w:before="0"/>
      </w:pPr>
    </w:p>
    <w:p w14:paraId="376DBEBF" w14:textId="77777777" w:rsidR="00256BDC" w:rsidRDefault="00256BDC" w:rsidP="00256BDC">
      <w:pPr>
        <w:pStyle w:val="Paragraph"/>
        <w:spacing w:before="0"/>
        <w:rPr>
          <w:rFonts w:ascii="Arial" w:hAnsi="Arial" w:cs="Arial"/>
          <w:b/>
          <w:bCs/>
          <w:sz w:val="32"/>
          <w:szCs w:val="32"/>
        </w:rPr>
      </w:pPr>
      <w:r>
        <w:rPr>
          <w:rFonts w:ascii="Arial" w:hAnsi="Arial" w:cs="Arial"/>
          <w:b/>
          <w:bCs/>
          <w:sz w:val="32"/>
          <w:szCs w:val="32"/>
        </w:rPr>
        <w:t xml:space="preserve">2. </w:t>
      </w:r>
      <w:r w:rsidRPr="00105E18">
        <w:rPr>
          <w:rFonts w:ascii="Arial" w:hAnsi="Arial" w:cs="Arial"/>
          <w:b/>
          <w:bCs/>
          <w:sz w:val="32"/>
          <w:szCs w:val="32"/>
        </w:rPr>
        <w:t>Risk assessment context</w:t>
      </w:r>
    </w:p>
    <w:p w14:paraId="083B6561" w14:textId="77777777" w:rsidR="00256BDC" w:rsidRPr="00651C97" w:rsidRDefault="00256BDC" w:rsidP="00256BDC">
      <w:pPr>
        <w:pStyle w:val="Paragraph"/>
        <w:spacing w:before="0"/>
        <w:rPr>
          <w:bCs/>
        </w:rPr>
      </w:pPr>
      <w:r w:rsidRPr="00651C97">
        <w:rPr>
          <w:bCs/>
        </w:rPr>
        <w:t>For this application, establishing the risk assessment context includes consideration of:</w:t>
      </w:r>
    </w:p>
    <w:p w14:paraId="69ACF25B" w14:textId="77777777" w:rsidR="00256BDC" w:rsidRDefault="00256BDC" w:rsidP="00256BDC">
      <w:pPr>
        <w:pStyle w:val="Paragraph"/>
        <w:numPr>
          <w:ilvl w:val="0"/>
          <w:numId w:val="13"/>
        </w:numPr>
        <w:spacing w:before="0" w:after="0"/>
        <w:ind w:hanging="357"/>
        <w:rPr>
          <w:bCs/>
        </w:rPr>
      </w:pPr>
      <w:r>
        <w:rPr>
          <w:bCs/>
        </w:rPr>
        <w:lastRenderedPageBreak/>
        <w:t>proposed dealings and details of the GMOs</w:t>
      </w:r>
    </w:p>
    <w:p w14:paraId="2ADA8F23" w14:textId="77777777" w:rsidR="00256BDC" w:rsidRPr="00651C97" w:rsidRDefault="00256BDC" w:rsidP="00256BDC">
      <w:pPr>
        <w:pStyle w:val="Paragraph"/>
        <w:numPr>
          <w:ilvl w:val="0"/>
          <w:numId w:val="13"/>
        </w:numPr>
        <w:spacing w:before="0" w:after="0"/>
        <w:ind w:hanging="357"/>
        <w:rPr>
          <w:bCs/>
        </w:rPr>
      </w:pPr>
      <w:r w:rsidRPr="00651C97">
        <w:rPr>
          <w:bCs/>
        </w:rPr>
        <w:t>conclusions of the RARMP for DIR 030/2002</w:t>
      </w:r>
    </w:p>
    <w:p w14:paraId="1DB1F1C8" w14:textId="77777777" w:rsidR="00256BDC" w:rsidRPr="00651C97" w:rsidRDefault="00256BDC" w:rsidP="00256BDC">
      <w:pPr>
        <w:pStyle w:val="Paragraph"/>
        <w:numPr>
          <w:ilvl w:val="0"/>
          <w:numId w:val="13"/>
        </w:numPr>
        <w:spacing w:before="0" w:after="0"/>
        <w:ind w:hanging="357"/>
        <w:rPr>
          <w:bCs/>
        </w:rPr>
      </w:pPr>
      <w:r>
        <w:rPr>
          <w:bCs/>
        </w:rPr>
        <w:t>new data obtained from</w:t>
      </w:r>
      <w:r w:rsidRPr="00651C97">
        <w:rPr>
          <w:bCs/>
        </w:rPr>
        <w:t xml:space="preserve"> the applicant</w:t>
      </w:r>
    </w:p>
    <w:p w14:paraId="4E9544BF" w14:textId="77777777" w:rsidR="00256BDC" w:rsidRPr="00651C97" w:rsidRDefault="00256BDC" w:rsidP="00256BDC">
      <w:pPr>
        <w:pStyle w:val="Paragraph"/>
        <w:numPr>
          <w:ilvl w:val="0"/>
          <w:numId w:val="13"/>
        </w:numPr>
        <w:spacing w:before="0" w:after="0"/>
        <w:ind w:hanging="357"/>
        <w:rPr>
          <w:bCs/>
        </w:rPr>
      </w:pPr>
      <w:r>
        <w:rPr>
          <w:bCs/>
        </w:rPr>
        <w:t xml:space="preserve">submissions received through </w:t>
      </w:r>
      <w:r w:rsidRPr="00651C97">
        <w:rPr>
          <w:bCs/>
        </w:rPr>
        <w:t>consultation</w:t>
      </w:r>
    </w:p>
    <w:p w14:paraId="4F7B2AFA" w14:textId="77777777" w:rsidR="00256BDC" w:rsidRDefault="00256BDC" w:rsidP="00256BDC">
      <w:pPr>
        <w:pStyle w:val="Paragraph"/>
        <w:numPr>
          <w:ilvl w:val="0"/>
          <w:numId w:val="13"/>
        </w:numPr>
        <w:spacing w:before="0" w:after="0"/>
        <w:ind w:hanging="357"/>
        <w:rPr>
          <w:bCs/>
        </w:rPr>
      </w:pPr>
      <w:r w:rsidRPr="00651C97">
        <w:rPr>
          <w:bCs/>
        </w:rPr>
        <w:t>other information as to risks associated with the dealings</w:t>
      </w:r>
    </w:p>
    <w:p w14:paraId="432C9F9F" w14:textId="77777777" w:rsidR="00256BDC" w:rsidRDefault="00256BDC" w:rsidP="00256BDC">
      <w:pPr>
        <w:pStyle w:val="Paragraph"/>
        <w:numPr>
          <w:ilvl w:val="0"/>
          <w:numId w:val="13"/>
        </w:numPr>
        <w:spacing w:before="0" w:after="0"/>
        <w:ind w:hanging="357"/>
        <w:rPr>
          <w:bCs/>
        </w:rPr>
      </w:pPr>
      <w:r>
        <w:rPr>
          <w:bCs/>
        </w:rPr>
        <w:t>adverse effects posed by the dealings</w:t>
      </w:r>
    </w:p>
    <w:p w14:paraId="21F478B2" w14:textId="77777777" w:rsidR="00256BDC" w:rsidRDefault="00256BDC" w:rsidP="00256BDC">
      <w:pPr>
        <w:pStyle w:val="Paragraph"/>
        <w:numPr>
          <w:ilvl w:val="0"/>
          <w:numId w:val="13"/>
        </w:numPr>
        <w:spacing w:before="0" w:after="0"/>
        <w:ind w:hanging="357"/>
        <w:rPr>
          <w:bCs/>
        </w:rPr>
      </w:pPr>
      <w:r>
        <w:rPr>
          <w:bCs/>
        </w:rPr>
        <w:t>international approvals.</w:t>
      </w:r>
    </w:p>
    <w:p w14:paraId="3AC707A7" w14:textId="77777777" w:rsidR="00256BDC" w:rsidRPr="00651C97" w:rsidRDefault="00256BDC" w:rsidP="00256BDC">
      <w:pPr>
        <w:pStyle w:val="Paragraph"/>
        <w:spacing w:before="0" w:after="0"/>
        <w:ind w:left="573"/>
        <w:rPr>
          <w:bCs/>
        </w:rPr>
      </w:pPr>
    </w:p>
    <w:p w14:paraId="007D53FC" w14:textId="77777777" w:rsidR="00256BDC" w:rsidRPr="00D60D99" w:rsidRDefault="00256BDC" w:rsidP="00256BDC">
      <w:pPr>
        <w:pStyle w:val="Paragraph"/>
        <w:ind w:left="1134" w:hanging="708"/>
        <w:rPr>
          <w:rFonts w:ascii="Arial" w:hAnsi="Arial" w:cs="Arial"/>
          <w:b/>
          <w:bCs/>
        </w:rPr>
      </w:pPr>
      <w:r>
        <w:rPr>
          <w:rFonts w:ascii="Arial" w:hAnsi="Arial" w:cs="Arial"/>
          <w:b/>
          <w:bCs/>
        </w:rPr>
        <w:t xml:space="preserve">2.1 </w:t>
      </w:r>
      <w:r>
        <w:rPr>
          <w:rFonts w:ascii="Arial" w:hAnsi="Arial" w:cs="Arial"/>
          <w:b/>
          <w:bCs/>
        </w:rPr>
        <w:tab/>
        <w:t>Proposed dealings and details of the GMOs</w:t>
      </w:r>
    </w:p>
    <w:p w14:paraId="630B9481" w14:textId="77777777" w:rsidR="00256BDC" w:rsidRDefault="00256BDC" w:rsidP="00256BDC">
      <w:pPr>
        <w:pStyle w:val="Paragraph"/>
        <w:spacing w:before="0"/>
      </w:pPr>
      <w:r>
        <w:t xml:space="preserve">The proposed dealings of four genetically modified (GM) carnation lines include the propagation, growth, and distribution of both GM plants and cut flowers Australia-wide, and were first approved in 1995 under the former voluntary system overseen by the Genetic Manipulation Advisory Committee (general release, GR-2). </w:t>
      </w:r>
    </w:p>
    <w:p w14:paraId="4E4D0E47" w14:textId="77777777" w:rsidR="00256BDC" w:rsidRDefault="00256BDC" w:rsidP="00256BDC">
      <w:pPr>
        <w:pStyle w:val="Paragraph"/>
      </w:pPr>
      <w:r>
        <w:t xml:space="preserve">The four GM carnation lines were produced after transformation with one of two binary vectors, pCGP1470 or pCGP1991 (see Table 1). </w:t>
      </w:r>
    </w:p>
    <w:p w14:paraId="7D2990EE" w14:textId="77777777" w:rsidR="00256BDC" w:rsidRPr="0090562B" w:rsidRDefault="00256BDC" w:rsidP="00256BDC">
      <w:pPr>
        <w:pStyle w:val="Paragraph"/>
        <w:ind w:left="1134" w:hanging="1134"/>
        <w:rPr>
          <w:rFonts w:ascii="Arial Narrow" w:hAnsi="Arial Narrow"/>
          <w:b/>
        </w:rPr>
      </w:pPr>
      <w:r w:rsidRPr="0090562B">
        <w:rPr>
          <w:rFonts w:ascii="Arial Narrow" w:hAnsi="Arial Narrow"/>
          <w:b/>
        </w:rPr>
        <w:t xml:space="preserve">Table 1. </w:t>
      </w:r>
      <w:r>
        <w:rPr>
          <w:rFonts w:ascii="Arial Narrow" w:hAnsi="Arial Narrow"/>
          <w:b/>
        </w:rPr>
        <w:tab/>
      </w:r>
      <w:r w:rsidRPr="0090562B">
        <w:rPr>
          <w:rFonts w:ascii="Arial Narrow" w:hAnsi="Arial Narrow"/>
          <w:b/>
        </w:rPr>
        <w:t>Characteristics of the four GM carnation lines</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848"/>
        <w:gridCol w:w="2268"/>
        <w:gridCol w:w="2268"/>
      </w:tblGrid>
      <w:tr w:rsidR="00256BDC" w14:paraId="1797D1C2" w14:textId="77777777" w:rsidTr="00450C66">
        <w:tc>
          <w:tcPr>
            <w:tcW w:w="2802" w:type="dxa"/>
            <w:tcBorders>
              <w:bottom w:val="nil"/>
            </w:tcBorders>
          </w:tcPr>
          <w:p w14:paraId="3EAA042E" w14:textId="77777777" w:rsidR="00256BDC" w:rsidRPr="004B191E" w:rsidRDefault="00256BDC" w:rsidP="00450C66">
            <w:pPr>
              <w:spacing w:before="60" w:after="60"/>
              <w:rPr>
                <w:rFonts w:ascii="Arial Narrow" w:hAnsi="Arial Narrow"/>
                <w:b/>
                <w:sz w:val="20"/>
                <w:szCs w:val="20"/>
              </w:rPr>
            </w:pPr>
            <w:r w:rsidRPr="004B191E">
              <w:rPr>
                <w:rFonts w:ascii="Arial Narrow" w:hAnsi="Arial Narrow"/>
                <w:b/>
                <w:sz w:val="20"/>
                <w:szCs w:val="20"/>
              </w:rPr>
              <w:t>Trade Name</w:t>
            </w:r>
          </w:p>
        </w:tc>
        <w:tc>
          <w:tcPr>
            <w:tcW w:w="1848" w:type="dxa"/>
            <w:tcBorders>
              <w:bottom w:val="nil"/>
            </w:tcBorders>
          </w:tcPr>
          <w:p w14:paraId="1B6F2D28" w14:textId="77777777" w:rsidR="00256BDC" w:rsidRPr="004B191E" w:rsidRDefault="00256BDC" w:rsidP="00450C66">
            <w:pPr>
              <w:spacing w:before="60" w:after="60"/>
              <w:rPr>
                <w:rFonts w:ascii="Arial Narrow" w:hAnsi="Arial Narrow"/>
                <w:b/>
                <w:sz w:val="20"/>
                <w:szCs w:val="20"/>
              </w:rPr>
            </w:pPr>
            <w:r w:rsidRPr="004B191E">
              <w:rPr>
                <w:rFonts w:ascii="Arial Narrow" w:hAnsi="Arial Narrow"/>
                <w:b/>
                <w:sz w:val="20"/>
                <w:szCs w:val="20"/>
              </w:rPr>
              <w:t>Binary Vector</w:t>
            </w:r>
          </w:p>
        </w:tc>
        <w:tc>
          <w:tcPr>
            <w:tcW w:w="2268" w:type="dxa"/>
            <w:tcBorders>
              <w:bottom w:val="nil"/>
            </w:tcBorders>
          </w:tcPr>
          <w:p w14:paraId="13242636" w14:textId="77777777" w:rsidR="00256BDC" w:rsidRPr="004B191E" w:rsidRDefault="00256BDC" w:rsidP="00450C66">
            <w:pPr>
              <w:spacing w:before="60" w:after="60"/>
              <w:rPr>
                <w:rFonts w:ascii="Arial Narrow" w:hAnsi="Arial Narrow"/>
                <w:b/>
                <w:sz w:val="20"/>
                <w:szCs w:val="20"/>
              </w:rPr>
            </w:pPr>
            <w:r w:rsidRPr="004B191E">
              <w:rPr>
                <w:rFonts w:ascii="Arial Narrow" w:hAnsi="Arial Narrow"/>
                <w:b/>
                <w:sz w:val="20"/>
                <w:szCs w:val="20"/>
              </w:rPr>
              <w:t>Transformation Event</w:t>
            </w:r>
          </w:p>
        </w:tc>
        <w:tc>
          <w:tcPr>
            <w:tcW w:w="2268" w:type="dxa"/>
            <w:tcBorders>
              <w:bottom w:val="nil"/>
            </w:tcBorders>
          </w:tcPr>
          <w:p w14:paraId="6CDA8E73" w14:textId="77777777" w:rsidR="00256BDC" w:rsidRPr="004B191E" w:rsidRDefault="00256BDC" w:rsidP="00450C66">
            <w:pPr>
              <w:spacing w:before="60" w:after="60"/>
              <w:rPr>
                <w:rFonts w:ascii="Arial Narrow" w:hAnsi="Arial Narrow"/>
                <w:b/>
                <w:sz w:val="20"/>
                <w:szCs w:val="20"/>
                <w:vertAlign w:val="superscript"/>
              </w:rPr>
            </w:pPr>
            <w:r w:rsidRPr="004B191E">
              <w:rPr>
                <w:rFonts w:ascii="Arial Narrow" w:hAnsi="Arial Narrow"/>
                <w:b/>
                <w:sz w:val="20"/>
                <w:szCs w:val="20"/>
              </w:rPr>
              <w:t>Flower colour</w:t>
            </w:r>
            <w:r w:rsidRPr="004B191E">
              <w:rPr>
                <w:rFonts w:ascii="Arial Narrow" w:hAnsi="Arial Narrow"/>
                <w:b/>
                <w:sz w:val="20"/>
                <w:szCs w:val="20"/>
                <w:vertAlign w:val="superscript"/>
              </w:rPr>
              <w:t>1</w:t>
            </w:r>
          </w:p>
        </w:tc>
      </w:tr>
      <w:tr w:rsidR="00256BDC" w14:paraId="4D84E5A8" w14:textId="77777777" w:rsidTr="00450C66">
        <w:tc>
          <w:tcPr>
            <w:tcW w:w="2802" w:type="dxa"/>
          </w:tcPr>
          <w:p w14:paraId="3656BC3F"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Florigene Moonlite™</w:t>
            </w:r>
          </w:p>
        </w:tc>
        <w:tc>
          <w:tcPr>
            <w:tcW w:w="1848" w:type="dxa"/>
          </w:tcPr>
          <w:p w14:paraId="38807C47"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PCGP1470</w:t>
            </w:r>
          </w:p>
        </w:tc>
        <w:tc>
          <w:tcPr>
            <w:tcW w:w="2268" w:type="dxa"/>
          </w:tcPr>
          <w:p w14:paraId="342C7CE5"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123.2.38</w:t>
            </w:r>
          </w:p>
        </w:tc>
        <w:tc>
          <w:tcPr>
            <w:tcW w:w="2268" w:type="dxa"/>
          </w:tcPr>
          <w:p w14:paraId="29C03383"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violet</w:t>
            </w:r>
          </w:p>
        </w:tc>
      </w:tr>
      <w:tr w:rsidR="00256BDC" w14:paraId="38F0EA9B" w14:textId="77777777" w:rsidTr="00450C66">
        <w:tc>
          <w:tcPr>
            <w:tcW w:w="2802" w:type="dxa"/>
          </w:tcPr>
          <w:p w14:paraId="7E6B394A"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Florigene Moonshade™</w:t>
            </w:r>
          </w:p>
        </w:tc>
        <w:tc>
          <w:tcPr>
            <w:tcW w:w="1848" w:type="dxa"/>
          </w:tcPr>
          <w:p w14:paraId="7281D539"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PCGP1470</w:t>
            </w:r>
          </w:p>
        </w:tc>
        <w:tc>
          <w:tcPr>
            <w:tcW w:w="2268" w:type="dxa"/>
          </w:tcPr>
          <w:p w14:paraId="79DDE9F5" w14:textId="77777777" w:rsidR="00256BDC" w:rsidRPr="00F21BE8" w:rsidRDefault="00256BDC" w:rsidP="00450C66">
            <w:pPr>
              <w:spacing w:before="60" w:after="60"/>
              <w:rPr>
                <w:rStyle w:val="text1"/>
                <w:rFonts w:ascii="Arial Narrow" w:hAnsi="Arial Narrow"/>
              </w:rPr>
            </w:pPr>
            <w:r w:rsidRPr="00F21BE8">
              <w:rPr>
                <w:rFonts w:ascii="Arial Narrow" w:hAnsi="Arial Narrow"/>
                <w:sz w:val="20"/>
                <w:szCs w:val="20"/>
              </w:rPr>
              <w:t>123.2.2</w:t>
            </w:r>
          </w:p>
        </w:tc>
        <w:tc>
          <w:tcPr>
            <w:tcW w:w="2268" w:type="dxa"/>
          </w:tcPr>
          <w:p w14:paraId="51655EC1" w14:textId="77777777" w:rsidR="00256BDC" w:rsidRPr="00F21BE8" w:rsidRDefault="00256BDC" w:rsidP="00450C66">
            <w:pPr>
              <w:spacing w:before="60" w:after="60"/>
              <w:rPr>
                <w:rFonts w:ascii="Arial Narrow" w:hAnsi="Arial Narrow"/>
                <w:sz w:val="20"/>
                <w:szCs w:val="20"/>
              </w:rPr>
            </w:pPr>
            <w:r w:rsidRPr="00F21BE8">
              <w:rPr>
                <w:rStyle w:val="text1"/>
                <w:rFonts w:ascii="Arial Narrow" w:hAnsi="Arial Narrow"/>
              </w:rPr>
              <w:t>blueish purple</w:t>
            </w:r>
          </w:p>
        </w:tc>
      </w:tr>
      <w:tr w:rsidR="00256BDC" w14:paraId="3E5AA152" w14:textId="77777777" w:rsidTr="00450C66">
        <w:tc>
          <w:tcPr>
            <w:tcW w:w="2802" w:type="dxa"/>
          </w:tcPr>
          <w:p w14:paraId="0D6503A5"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Florigene Moonshadow™</w:t>
            </w:r>
          </w:p>
        </w:tc>
        <w:tc>
          <w:tcPr>
            <w:tcW w:w="1848" w:type="dxa"/>
          </w:tcPr>
          <w:p w14:paraId="7749816B"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PCGP 1991</w:t>
            </w:r>
          </w:p>
        </w:tc>
        <w:tc>
          <w:tcPr>
            <w:tcW w:w="2268" w:type="dxa"/>
          </w:tcPr>
          <w:p w14:paraId="59F6D3B7" w14:textId="77777777" w:rsidR="00256BDC" w:rsidRPr="00F21BE8" w:rsidRDefault="00256BDC" w:rsidP="00450C66">
            <w:pPr>
              <w:spacing w:before="60" w:after="60"/>
              <w:rPr>
                <w:rStyle w:val="text1"/>
                <w:rFonts w:ascii="Arial Narrow" w:hAnsi="Arial Narrow"/>
              </w:rPr>
            </w:pPr>
            <w:r w:rsidRPr="00F21BE8">
              <w:rPr>
                <w:rFonts w:ascii="Arial Narrow" w:hAnsi="Arial Narrow"/>
                <w:sz w:val="20"/>
                <w:szCs w:val="20"/>
              </w:rPr>
              <w:t xml:space="preserve">11363 </w:t>
            </w:r>
          </w:p>
        </w:tc>
        <w:tc>
          <w:tcPr>
            <w:tcW w:w="2268" w:type="dxa"/>
          </w:tcPr>
          <w:p w14:paraId="6D24F868" w14:textId="77777777" w:rsidR="00256BDC" w:rsidRPr="00F21BE8" w:rsidRDefault="00256BDC" w:rsidP="00450C66">
            <w:pPr>
              <w:spacing w:before="60" w:after="60"/>
              <w:rPr>
                <w:rFonts w:ascii="Arial Narrow" w:hAnsi="Arial Narrow"/>
                <w:sz w:val="20"/>
                <w:szCs w:val="20"/>
              </w:rPr>
            </w:pPr>
            <w:r w:rsidRPr="00F21BE8">
              <w:rPr>
                <w:rStyle w:val="text1"/>
                <w:rFonts w:ascii="Arial Narrow" w:hAnsi="Arial Narrow"/>
              </w:rPr>
              <w:t>intense mauve violet</w:t>
            </w:r>
          </w:p>
        </w:tc>
      </w:tr>
      <w:tr w:rsidR="00256BDC" w14:paraId="2E1B9ADA" w14:textId="77777777" w:rsidTr="00450C66">
        <w:tc>
          <w:tcPr>
            <w:tcW w:w="2802" w:type="dxa"/>
          </w:tcPr>
          <w:p w14:paraId="35EBA43A"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Florigene Moonvista™</w:t>
            </w:r>
          </w:p>
        </w:tc>
        <w:tc>
          <w:tcPr>
            <w:tcW w:w="1848" w:type="dxa"/>
          </w:tcPr>
          <w:p w14:paraId="2C080BF4" w14:textId="77777777" w:rsidR="00256BDC" w:rsidRPr="00F21BE8" w:rsidRDefault="00256BDC" w:rsidP="00450C66">
            <w:pPr>
              <w:spacing w:before="60" w:after="60"/>
              <w:rPr>
                <w:rFonts w:ascii="Arial Narrow" w:hAnsi="Arial Narrow"/>
                <w:sz w:val="20"/>
                <w:szCs w:val="20"/>
              </w:rPr>
            </w:pPr>
            <w:r w:rsidRPr="00F21BE8">
              <w:rPr>
                <w:rFonts w:ascii="Arial Narrow" w:hAnsi="Arial Narrow"/>
                <w:sz w:val="20"/>
                <w:szCs w:val="20"/>
              </w:rPr>
              <w:t>PCGP1991</w:t>
            </w:r>
          </w:p>
        </w:tc>
        <w:tc>
          <w:tcPr>
            <w:tcW w:w="2268" w:type="dxa"/>
          </w:tcPr>
          <w:p w14:paraId="4BBF6309" w14:textId="77777777" w:rsidR="00256BDC" w:rsidRPr="00F21BE8" w:rsidRDefault="00256BDC" w:rsidP="00450C66">
            <w:pPr>
              <w:pStyle w:val="WebTextList"/>
              <w:spacing w:before="60" w:after="60"/>
              <w:rPr>
                <w:rStyle w:val="text1"/>
                <w:rFonts w:ascii="Arial Narrow" w:hAnsi="Arial Narrow"/>
              </w:rPr>
            </w:pPr>
            <w:r w:rsidRPr="00F21BE8">
              <w:rPr>
                <w:rFonts w:ascii="Arial Narrow" w:hAnsi="Arial Narrow"/>
                <w:sz w:val="20"/>
                <w:szCs w:val="20"/>
              </w:rPr>
              <w:t>123.8.8</w:t>
            </w:r>
          </w:p>
        </w:tc>
        <w:tc>
          <w:tcPr>
            <w:tcW w:w="2268" w:type="dxa"/>
          </w:tcPr>
          <w:p w14:paraId="0847307B" w14:textId="77777777" w:rsidR="00256BDC" w:rsidRPr="00F21BE8" w:rsidRDefault="00256BDC" w:rsidP="00450C66">
            <w:pPr>
              <w:pStyle w:val="WebTextList"/>
              <w:spacing w:before="60" w:after="60"/>
              <w:rPr>
                <w:rFonts w:ascii="Arial Narrow" w:hAnsi="Arial Narrow"/>
                <w:sz w:val="20"/>
                <w:szCs w:val="20"/>
              </w:rPr>
            </w:pPr>
            <w:r w:rsidRPr="00F21BE8">
              <w:rPr>
                <w:rStyle w:val="text1"/>
                <w:rFonts w:ascii="Arial Narrow" w:hAnsi="Arial Narrow"/>
              </w:rPr>
              <w:t>black, blue-purple</w:t>
            </w:r>
          </w:p>
        </w:tc>
      </w:tr>
    </w:tbl>
    <w:p w14:paraId="74107190" w14:textId="77777777" w:rsidR="00256BDC" w:rsidRPr="00841109" w:rsidRDefault="00256BDC" w:rsidP="00256BDC">
      <w:pPr>
        <w:pStyle w:val="Paragraph"/>
        <w:spacing w:before="0"/>
        <w:rPr>
          <w:rFonts w:ascii="Arial Narrow" w:hAnsi="Arial Narrow"/>
          <w:sz w:val="20"/>
          <w:szCs w:val="20"/>
        </w:rPr>
      </w:pPr>
      <w:r w:rsidRPr="00841109">
        <w:rPr>
          <w:rFonts w:ascii="Arial Narrow" w:hAnsi="Arial Narrow"/>
          <w:sz w:val="20"/>
          <w:szCs w:val="20"/>
          <w:vertAlign w:val="superscript"/>
        </w:rPr>
        <w:t>1</w:t>
      </w:r>
      <w:r w:rsidRPr="00841109">
        <w:rPr>
          <w:rFonts w:ascii="Arial Narrow" w:hAnsi="Arial Narrow"/>
          <w:sz w:val="20"/>
          <w:szCs w:val="20"/>
        </w:rPr>
        <w:t xml:space="preserve"> flower colours taken from the Florigene website (http://www.florigene.com.au/)</w:t>
      </w:r>
    </w:p>
    <w:p w14:paraId="35E18F62" w14:textId="77777777" w:rsidR="00256BDC" w:rsidRDefault="00256BDC" w:rsidP="00256BDC">
      <w:pPr>
        <w:pStyle w:val="Paragraph"/>
        <w:spacing w:before="0"/>
      </w:pPr>
      <w:r>
        <w:t>As shown in Tables 2a &amp; 2b, the lines contain two introduced genes from the anthocyanin biosynthetic pathway, DFR (</w:t>
      </w:r>
      <w:r>
        <w:rPr>
          <w:color w:val="000000"/>
        </w:rPr>
        <w:t>dihydroflavonol 4-reductase</w:t>
      </w:r>
      <w:r>
        <w:t>) from petunia (</w:t>
      </w:r>
      <w:r w:rsidRPr="005C5C63">
        <w:rPr>
          <w:i/>
          <w:iCs/>
        </w:rPr>
        <w:t>Petunia hybrida</w:t>
      </w:r>
      <w:r>
        <w:t>) and F3’5’H (</w:t>
      </w:r>
      <w:r>
        <w:rPr>
          <w:color w:val="000000"/>
        </w:rPr>
        <w:t>flavonoid 3’, 5’ hydroxylase) from petunia or pansy (</w:t>
      </w:r>
      <w:r w:rsidRPr="005C5C63">
        <w:rPr>
          <w:i/>
          <w:iCs/>
          <w:color w:val="000000"/>
        </w:rPr>
        <w:t>Viola</w:t>
      </w:r>
      <w:r>
        <w:rPr>
          <w:color w:val="000000"/>
        </w:rPr>
        <w:t xml:space="preserve"> spp.)</w:t>
      </w:r>
      <w:r>
        <w:t>. as well as the selectable marker, SuRB (</w:t>
      </w:r>
      <w:r>
        <w:rPr>
          <w:color w:val="000000"/>
        </w:rPr>
        <w:t>sulfonylurea resistance gene B) from tobacco (</w:t>
      </w:r>
      <w:r w:rsidRPr="00E345FD">
        <w:rPr>
          <w:i/>
          <w:iCs/>
          <w:color w:val="000000"/>
        </w:rPr>
        <w:t>Nicotiana tabacum</w:t>
      </w:r>
      <w:r>
        <w:rPr>
          <w:color w:val="000000"/>
        </w:rPr>
        <w:t>)</w:t>
      </w:r>
      <w:r>
        <w:t xml:space="preserve">, that confers tolerance to sulfonylurea herbicides and a range of other </w:t>
      </w:r>
      <w:r>
        <w:rPr>
          <w:color w:val="000000"/>
        </w:rPr>
        <w:t>acetolactate synthase</w:t>
      </w:r>
      <w:r>
        <w:t xml:space="preserve"> (ALS) inhibiting herbicides. The GM carnation lines also contain short, commonly used regulatory sequences from a range of plant, viral and bacterial sources.  These regulatory sequences are not infectious or capable of causing disease.</w:t>
      </w:r>
    </w:p>
    <w:p w14:paraId="29467600" w14:textId="77777777" w:rsidR="00256BDC" w:rsidRPr="00A17640" w:rsidRDefault="00256BDC" w:rsidP="00256BDC">
      <w:pPr>
        <w:ind w:left="1134" w:hanging="1134"/>
        <w:rPr>
          <w:rFonts w:ascii="Arial Narrow" w:hAnsi="Arial Narrow"/>
          <w:b/>
        </w:rPr>
      </w:pPr>
      <w:r w:rsidRPr="00A17640">
        <w:rPr>
          <w:rFonts w:ascii="Arial Narrow" w:hAnsi="Arial Narrow"/>
          <w:b/>
        </w:rPr>
        <w:t>Table  2a</w:t>
      </w:r>
      <w:r>
        <w:rPr>
          <w:rFonts w:ascii="Arial Narrow" w:hAnsi="Arial Narrow"/>
          <w:b/>
        </w:rPr>
        <w:t xml:space="preserve">. </w:t>
      </w:r>
      <w:r>
        <w:rPr>
          <w:rFonts w:ascii="Arial Narrow" w:hAnsi="Arial Narrow"/>
          <w:b/>
        </w:rPr>
        <w:tab/>
        <w:t>G</w:t>
      </w:r>
      <w:r w:rsidRPr="00A17640">
        <w:rPr>
          <w:rFonts w:ascii="Arial Narrow" w:hAnsi="Arial Narrow"/>
          <w:b/>
        </w:rPr>
        <w:t>ene construct of binary vector pCGP1470</w:t>
      </w:r>
    </w:p>
    <w:tbl>
      <w:tblPr>
        <w:tblW w:w="0" w:type="auto"/>
        <w:tblLayout w:type="fixed"/>
        <w:tblCellMar>
          <w:left w:w="30" w:type="dxa"/>
          <w:right w:w="30" w:type="dxa"/>
        </w:tblCellMar>
        <w:tblLook w:val="0000" w:firstRow="0" w:lastRow="0" w:firstColumn="0" w:lastColumn="0" w:noHBand="0" w:noVBand="0"/>
      </w:tblPr>
      <w:tblGrid>
        <w:gridCol w:w="1306"/>
        <w:gridCol w:w="1701"/>
        <w:gridCol w:w="1417"/>
        <w:gridCol w:w="1276"/>
        <w:gridCol w:w="1276"/>
        <w:gridCol w:w="1701"/>
      </w:tblGrid>
      <w:tr w:rsidR="00256BDC" w:rsidRPr="00A17640" w14:paraId="05A1942F" w14:textId="77777777" w:rsidTr="00450C66">
        <w:trPr>
          <w:trHeight w:val="247"/>
        </w:trPr>
        <w:tc>
          <w:tcPr>
            <w:tcW w:w="1306" w:type="dxa"/>
            <w:tcBorders>
              <w:top w:val="single" w:sz="4" w:space="0" w:color="auto"/>
              <w:bottom w:val="single" w:sz="4" w:space="0" w:color="auto"/>
            </w:tcBorders>
          </w:tcPr>
          <w:p w14:paraId="0F2997D9"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Promoter</w:t>
            </w:r>
          </w:p>
        </w:tc>
        <w:tc>
          <w:tcPr>
            <w:tcW w:w="1701" w:type="dxa"/>
            <w:tcBorders>
              <w:top w:val="single" w:sz="4" w:space="0" w:color="auto"/>
              <w:bottom w:val="single" w:sz="4" w:space="0" w:color="auto"/>
            </w:tcBorders>
          </w:tcPr>
          <w:p w14:paraId="49B31C00"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origin</w:t>
            </w:r>
          </w:p>
        </w:tc>
        <w:tc>
          <w:tcPr>
            <w:tcW w:w="1417" w:type="dxa"/>
            <w:tcBorders>
              <w:top w:val="single" w:sz="4" w:space="0" w:color="auto"/>
              <w:bottom w:val="single" w:sz="4" w:space="0" w:color="auto"/>
            </w:tcBorders>
          </w:tcPr>
          <w:p w14:paraId="7746005E"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Gene</w:t>
            </w:r>
          </w:p>
        </w:tc>
        <w:tc>
          <w:tcPr>
            <w:tcW w:w="1276" w:type="dxa"/>
            <w:tcBorders>
              <w:top w:val="single" w:sz="4" w:space="0" w:color="auto"/>
              <w:bottom w:val="single" w:sz="4" w:space="0" w:color="auto"/>
            </w:tcBorders>
          </w:tcPr>
          <w:p w14:paraId="53890438"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origin</w:t>
            </w:r>
          </w:p>
        </w:tc>
        <w:tc>
          <w:tcPr>
            <w:tcW w:w="1276" w:type="dxa"/>
            <w:tcBorders>
              <w:top w:val="single" w:sz="4" w:space="0" w:color="auto"/>
              <w:bottom w:val="single" w:sz="4" w:space="0" w:color="auto"/>
            </w:tcBorders>
          </w:tcPr>
          <w:p w14:paraId="4A73ABBD"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Terminator</w:t>
            </w:r>
          </w:p>
        </w:tc>
        <w:tc>
          <w:tcPr>
            <w:tcW w:w="1701" w:type="dxa"/>
            <w:tcBorders>
              <w:top w:val="single" w:sz="4" w:space="0" w:color="auto"/>
              <w:bottom w:val="single" w:sz="4" w:space="0" w:color="auto"/>
            </w:tcBorders>
          </w:tcPr>
          <w:p w14:paraId="529051DE"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origin</w:t>
            </w:r>
          </w:p>
        </w:tc>
      </w:tr>
      <w:tr w:rsidR="00256BDC" w:rsidRPr="00A17640" w14:paraId="49B3FF64" w14:textId="77777777" w:rsidTr="00450C66">
        <w:trPr>
          <w:trHeight w:val="247"/>
        </w:trPr>
        <w:tc>
          <w:tcPr>
            <w:tcW w:w="1306" w:type="dxa"/>
          </w:tcPr>
          <w:p w14:paraId="22BE7D15"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35S</w:t>
            </w:r>
          </w:p>
        </w:tc>
        <w:tc>
          <w:tcPr>
            <w:tcW w:w="1701" w:type="dxa"/>
          </w:tcPr>
          <w:p w14:paraId="00D15657"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CaMV</w:t>
            </w:r>
          </w:p>
          <w:p w14:paraId="79E9F48F"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(cauliflower mosaic virus)</w:t>
            </w:r>
          </w:p>
        </w:tc>
        <w:tc>
          <w:tcPr>
            <w:tcW w:w="1417" w:type="dxa"/>
          </w:tcPr>
          <w:p w14:paraId="1F58118E"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SuRB</w:t>
            </w:r>
          </w:p>
        </w:tc>
        <w:tc>
          <w:tcPr>
            <w:tcW w:w="1276" w:type="dxa"/>
          </w:tcPr>
          <w:p w14:paraId="10A6407E"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N. tabacum</w:t>
            </w:r>
          </w:p>
          <w:p w14:paraId="5504D553"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(tobacco)</w:t>
            </w:r>
          </w:p>
        </w:tc>
        <w:tc>
          <w:tcPr>
            <w:tcW w:w="1276" w:type="dxa"/>
          </w:tcPr>
          <w:p w14:paraId="3578A9CB"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 xml:space="preserve">SuRB </w:t>
            </w:r>
            <w:r w:rsidRPr="00937AB6">
              <w:rPr>
                <w:rFonts w:ascii="Arial Narrow" w:hAnsi="Arial Narrow"/>
                <w:snapToGrid w:val="0"/>
                <w:color w:val="000000"/>
                <w:sz w:val="20"/>
                <w:szCs w:val="20"/>
                <w:lang w:eastAsia="en-US"/>
              </w:rPr>
              <w:t>3’</w:t>
            </w:r>
          </w:p>
        </w:tc>
        <w:tc>
          <w:tcPr>
            <w:tcW w:w="1701" w:type="dxa"/>
          </w:tcPr>
          <w:p w14:paraId="7116A603"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N. tabacum</w:t>
            </w:r>
          </w:p>
          <w:p w14:paraId="0CEBB60E"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(tobacco)</w:t>
            </w:r>
          </w:p>
        </w:tc>
      </w:tr>
      <w:tr w:rsidR="00256BDC" w:rsidRPr="00A17640" w14:paraId="789F0EE0" w14:textId="77777777" w:rsidTr="00450C66">
        <w:trPr>
          <w:trHeight w:val="247"/>
        </w:trPr>
        <w:tc>
          <w:tcPr>
            <w:tcW w:w="1306" w:type="dxa"/>
          </w:tcPr>
          <w:p w14:paraId="19598409"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CHS</w:t>
            </w:r>
          </w:p>
        </w:tc>
        <w:tc>
          <w:tcPr>
            <w:tcW w:w="1701" w:type="dxa"/>
          </w:tcPr>
          <w:p w14:paraId="1A2B058B"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A. majus</w:t>
            </w:r>
          </w:p>
          <w:p w14:paraId="7F8068C7"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(snap dragon)</w:t>
            </w:r>
          </w:p>
        </w:tc>
        <w:tc>
          <w:tcPr>
            <w:tcW w:w="1417" w:type="dxa"/>
          </w:tcPr>
          <w:p w14:paraId="7C409ED6"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F3'5'H</w:t>
            </w:r>
          </w:p>
        </w:tc>
        <w:tc>
          <w:tcPr>
            <w:tcW w:w="1276" w:type="dxa"/>
          </w:tcPr>
          <w:p w14:paraId="561A8462"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Petunia</w:t>
            </w:r>
          </w:p>
        </w:tc>
        <w:tc>
          <w:tcPr>
            <w:tcW w:w="1276" w:type="dxa"/>
          </w:tcPr>
          <w:p w14:paraId="52557B31"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D8</w:t>
            </w:r>
            <w:r>
              <w:rPr>
                <w:rFonts w:ascii="Arial Narrow" w:hAnsi="Arial Narrow"/>
                <w:i/>
                <w:snapToGrid w:val="0"/>
                <w:color w:val="000000"/>
                <w:sz w:val="20"/>
                <w:szCs w:val="20"/>
                <w:lang w:eastAsia="en-US"/>
              </w:rPr>
              <w:t xml:space="preserve"> </w:t>
            </w:r>
            <w:r w:rsidRPr="00937AB6">
              <w:rPr>
                <w:rFonts w:ascii="Arial Narrow" w:hAnsi="Arial Narrow"/>
                <w:snapToGrid w:val="0"/>
                <w:color w:val="000000"/>
                <w:sz w:val="20"/>
                <w:szCs w:val="20"/>
                <w:lang w:eastAsia="en-US"/>
              </w:rPr>
              <w:t>3’</w:t>
            </w:r>
          </w:p>
        </w:tc>
        <w:tc>
          <w:tcPr>
            <w:tcW w:w="1701" w:type="dxa"/>
          </w:tcPr>
          <w:p w14:paraId="3463ED9A"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Petunia</w:t>
            </w:r>
          </w:p>
        </w:tc>
      </w:tr>
      <w:tr w:rsidR="00256BDC" w:rsidRPr="00A17640" w14:paraId="3032B6FF" w14:textId="77777777" w:rsidTr="00450C66">
        <w:trPr>
          <w:trHeight w:val="247"/>
        </w:trPr>
        <w:tc>
          <w:tcPr>
            <w:tcW w:w="1306" w:type="dxa"/>
            <w:tcBorders>
              <w:bottom w:val="single" w:sz="4" w:space="0" w:color="auto"/>
            </w:tcBorders>
          </w:tcPr>
          <w:p w14:paraId="090A90BA" w14:textId="77777777" w:rsidR="00256BDC" w:rsidRPr="0001327A" w:rsidRDefault="00256BDC" w:rsidP="00450C66">
            <w:pPr>
              <w:rPr>
                <w:rFonts w:ascii="Arial Narrow" w:hAnsi="Arial Narrow"/>
                <w:i/>
                <w:snapToGrid w:val="0"/>
                <w:color w:val="000000"/>
                <w:sz w:val="20"/>
                <w:szCs w:val="20"/>
                <w:lang w:eastAsia="en-US"/>
              </w:rPr>
            </w:pPr>
            <w:r>
              <w:rPr>
                <w:rFonts w:ascii="Arial Narrow" w:hAnsi="Arial Narrow"/>
                <w:i/>
                <w:snapToGrid w:val="0"/>
                <w:color w:val="000000"/>
                <w:sz w:val="20"/>
                <w:szCs w:val="20"/>
                <w:lang w:eastAsia="en-US"/>
              </w:rPr>
              <w:t>mac</w:t>
            </w:r>
          </w:p>
        </w:tc>
        <w:tc>
          <w:tcPr>
            <w:tcW w:w="1701" w:type="dxa"/>
            <w:tcBorders>
              <w:bottom w:val="single" w:sz="4" w:space="0" w:color="auto"/>
            </w:tcBorders>
          </w:tcPr>
          <w:p w14:paraId="755EF207"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CaMV and</w:t>
            </w:r>
          </w:p>
          <w:p w14:paraId="5677FB2A" w14:textId="77777777" w:rsidR="00256BDC" w:rsidRPr="00F21BE8" w:rsidRDefault="00256BDC" w:rsidP="00450C66">
            <w:pPr>
              <w:pStyle w:val="Heading6"/>
              <w:spacing w:before="0" w:after="0"/>
              <w:rPr>
                <w:rFonts w:ascii="Arial Narrow" w:hAnsi="Arial Narrow"/>
                <w:b w:val="0"/>
                <w:i/>
                <w:sz w:val="20"/>
                <w:szCs w:val="20"/>
              </w:rPr>
            </w:pPr>
            <w:r w:rsidRPr="00F21BE8">
              <w:rPr>
                <w:rFonts w:ascii="Arial Narrow" w:hAnsi="Arial Narrow"/>
                <w:b w:val="0"/>
                <w:i/>
                <w:sz w:val="20"/>
                <w:szCs w:val="20"/>
              </w:rPr>
              <w:t>A. tumefaciens</w:t>
            </w:r>
          </w:p>
          <w:p w14:paraId="53EB6794" w14:textId="77777777" w:rsidR="00256BDC" w:rsidRPr="00F21BE8" w:rsidRDefault="00256BDC" w:rsidP="00450C66">
            <w:pPr>
              <w:rPr>
                <w:rFonts w:ascii="Arial Narrow" w:hAnsi="Arial Narrow"/>
                <w:sz w:val="20"/>
                <w:szCs w:val="20"/>
              </w:rPr>
            </w:pPr>
            <w:r w:rsidRPr="00F21BE8">
              <w:rPr>
                <w:rFonts w:ascii="Arial Narrow" w:hAnsi="Arial Narrow"/>
                <w:sz w:val="20"/>
                <w:szCs w:val="20"/>
              </w:rPr>
              <w:t>(crown gall)</w:t>
            </w:r>
          </w:p>
        </w:tc>
        <w:tc>
          <w:tcPr>
            <w:tcW w:w="1417" w:type="dxa"/>
            <w:tcBorders>
              <w:bottom w:val="single" w:sz="4" w:space="0" w:color="auto"/>
            </w:tcBorders>
          </w:tcPr>
          <w:p w14:paraId="08F17322" w14:textId="77777777" w:rsidR="00256BDC" w:rsidRPr="00F21BE8" w:rsidRDefault="00256BDC" w:rsidP="00450C66">
            <w:pPr>
              <w:pStyle w:val="cond"/>
              <w:spacing w:after="0"/>
              <w:ind w:left="0" w:firstLine="0"/>
              <w:rPr>
                <w:rFonts w:ascii="Arial Narrow" w:hAnsi="Arial Narrow"/>
                <w:i/>
                <w:sz w:val="20"/>
                <w:szCs w:val="20"/>
              </w:rPr>
            </w:pPr>
            <w:r w:rsidRPr="00F21BE8">
              <w:rPr>
                <w:rFonts w:ascii="Arial Narrow" w:hAnsi="Arial Narrow"/>
                <w:i/>
                <w:sz w:val="20"/>
                <w:szCs w:val="20"/>
              </w:rPr>
              <w:t>DFR</w:t>
            </w:r>
          </w:p>
        </w:tc>
        <w:tc>
          <w:tcPr>
            <w:tcW w:w="1276" w:type="dxa"/>
            <w:tcBorders>
              <w:bottom w:val="single" w:sz="4" w:space="0" w:color="auto"/>
            </w:tcBorders>
          </w:tcPr>
          <w:p w14:paraId="31DA9514"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Petunia</w:t>
            </w:r>
          </w:p>
        </w:tc>
        <w:tc>
          <w:tcPr>
            <w:tcW w:w="1276" w:type="dxa"/>
            <w:tcBorders>
              <w:bottom w:val="single" w:sz="4" w:space="0" w:color="auto"/>
            </w:tcBorders>
          </w:tcPr>
          <w:p w14:paraId="2995DCCF"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 xml:space="preserve">mas </w:t>
            </w:r>
            <w:r w:rsidRPr="00937AB6">
              <w:rPr>
                <w:rFonts w:ascii="Arial Narrow" w:hAnsi="Arial Narrow"/>
                <w:snapToGrid w:val="0"/>
                <w:color w:val="000000"/>
                <w:sz w:val="20"/>
                <w:szCs w:val="20"/>
                <w:lang w:eastAsia="en-US"/>
              </w:rPr>
              <w:t>3’</w:t>
            </w:r>
          </w:p>
        </w:tc>
        <w:tc>
          <w:tcPr>
            <w:tcW w:w="1701" w:type="dxa"/>
            <w:tcBorders>
              <w:bottom w:val="single" w:sz="4" w:space="0" w:color="auto"/>
            </w:tcBorders>
          </w:tcPr>
          <w:p w14:paraId="7544C20B"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A. tumefaciens</w:t>
            </w:r>
          </w:p>
          <w:p w14:paraId="69D51FD2"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(crown gall)</w:t>
            </w:r>
          </w:p>
        </w:tc>
      </w:tr>
    </w:tbl>
    <w:p w14:paraId="24A32A35" w14:textId="77777777" w:rsidR="00256BDC" w:rsidRPr="001A5EE8" w:rsidRDefault="00256BDC" w:rsidP="00256BDC">
      <w:pPr>
        <w:pStyle w:val="Paragraph"/>
        <w:spacing w:before="0"/>
        <w:rPr>
          <w:rFonts w:ascii="Arial Narrow" w:hAnsi="Arial Narrow"/>
          <w:i/>
          <w:sz w:val="20"/>
          <w:szCs w:val="20"/>
        </w:rPr>
      </w:pPr>
      <w:r w:rsidRPr="004C5D92">
        <w:rPr>
          <w:rFonts w:ascii="Arial Narrow" w:hAnsi="Arial Narrow"/>
          <w:sz w:val="20"/>
          <w:szCs w:val="20"/>
        </w:rPr>
        <w:t xml:space="preserve">Abbreviations: </w:t>
      </w:r>
      <w:r w:rsidRPr="004C5D92">
        <w:rPr>
          <w:rFonts w:ascii="Arial Narrow" w:hAnsi="Arial Narrow"/>
          <w:i/>
          <w:sz w:val="20"/>
          <w:szCs w:val="20"/>
        </w:rPr>
        <w:t>35S</w:t>
      </w:r>
      <w:r w:rsidRPr="004C5D92">
        <w:rPr>
          <w:rFonts w:ascii="Arial Narrow" w:hAnsi="Arial Narrow"/>
          <w:sz w:val="20"/>
          <w:szCs w:val="20"/>
        </w:rPr>
        <w:t xml:space="preserve"> = 35S region of CaMV; </w:t>
      </w:r>
      <w:r w:rsidRPr="004C5D92">
        <w:rPr>
          <w:rFonts w:ascii="Arial Narrow" w:hAnsi="Arial Narrow"/>
          <w:i/>
          <w:sz w:val="20"/>
          <w:szCs w:val="20"/>
        </w:rPr>
        <w:t>CHS</w:t>
      </w:r>
      <w:r w:rsidRPr="004C5D92">
        <w:rPr>
          <w:rFonts w:ascii="Arial Narrow" w:hAnsi="Arial Narrow"/>
          <w:sz w:val="20"/>
          <w:szCs w:val="20"/>
        </w:rPr>
        <w:t xml:space="preserve"> = chalcone synthase; </w:t>
      </w:r>
      <w:r w:rsidRPr="004C5D92">
        <w:rPr>
          <w:rFonts w:ascii="Arial Narrow" w:hAnsi="Arial Narrow"/>
          <w:i/>
          <w:sz w:val="20"/>
          <w:szCs w:val="20"/>
        </w:rPr>
        <w:t>D8</w:t>
      </w:r>
      <w:r w:rsidRPr="004C5D92">
        <w:rPr>
          <w:rFonts w:ascii="Arial Narrow" w:hAnsi="Arial Narrow"/>
          <w:sz w:val="20"/>
          <w:szCs w:val="20"/>
        </w:rPr>
        <w:t xml:space="preserve"> = phospholipid transfer protein; </w:t>
      </w:r>
      <w:r w:rsidRPr="004C5D92">
        <w:rPr>
          <w:rFonts w:ascii="Arial Narrow" w:hAnsi="Arial Narrow"/>
          <w:i/>
          <w:sz w:val="20"/>
          <w:szCs w:val="20"/>
        </w:rPr>
        <w:t>mas</w:t>
      </w:r>
      <w:r w:rsidRPr="004C5D92">
        <w:rPr>
          <w:rFonts w:ascii="Arial Narrow" w:hAnsi="Arial Narrow"/>
          <w:sz w:val="20"/>
          <w:szCs w:val="20"/>
        </w:rPr>
        <w:t xml:space="preserve"> = mannopine synthase; </w:t>
      </w:r>
      <w:r w:rsidRPr="004C5D92">
        <w:rPr>
          <w:rFonts w:ascii="Arial Narrow" w:hAnsi="Arial Narrow"/>
          <w:i/>
          <w:sz w:val="20"/>
          <w:szCs w:val="20"/>
        </w:rPr>
        <w:t>mac</w:t>
      </w:r>
      <w:r w:rsidRPr="004C5D92">
        <w:rPr>
          <w:rFonts w:ascii="Arial Narrow" w:hAnsi="Arial Narrow"/>
          <w:sz w:val="20"/>
          <w:szCs w:val="20"/>
        </w:rPr>
        <w:t xml:space="preserve"> = chimera of CaMV + </w:t>
      </w:r>
      <w:r w:rsidRPr="004C5D92">
        <w:rPr>
          <w:rFonts w:ascii="Arial Narrow" w:hAnsi="Arial Narrow"/>
          <w:i/>
          <w:sz w:val="20"/>
          <w:szCs w:val="20"/>
        </w:rPr>
        <w:t>mas</w:t>
      </w:r>
    </w:p>
    <w:p w14:paraId="2296F75E" w14:textId="77777777" w:rsidR="00256BDC" w:rsidRPr="00A17640" w:rsidRDefault="00256BDC" w:rsidP="00256BDC">
      <w:pPr>
        <w:ind w:left="1134" w:hanging="1134"/>
        <w:rPr>
          <w:rFonts w:ascii="Arial Narrow" w:hAnsi="Arial Narrow"/>
          <w:b/>
        </w:rPr>
      </w:pPr>
      <w:r w:rsidRPr="00A17640">
        <w:rPr>
          <w:rFonts w:ascii="Arial Narrow" w:hAnsi="Arial Narrow"/>
          <w:b/>
        </w:rPr>
        <w:t>Table 2b</w:t>
      </w:r>
      <w:r>
        <w:rPr>
          <w:rFonts w:ascii="Arial Narrow" w:hAnsi="Arial Narrow"/>
          <w:b/>
        </w:rPr>
        <w:t xml:space="preserve">. </w:t>
      </w:r>
      <w:r>
        <w:rPr>
          <w:rFonts w:ascii="Arial Narrow" w:hAnsi="Arial Narrow"/>
          <w:b/>
        </w:rPr>
        <w:tab/>
        <w:t>G</w:t>
      </w:r>
      <w:r w:rsidRPr="00A17640">
        <w:rPr>
          <w:rFonts w:ascii="Arial Narrow" w:hAnsi="Arial Narrow"/>
          <w:b/>
        </w:rPr>
        <w:t>ene construct of binary vector pCGP1991</w:t>
      </w:r>
    </w:p>
    <w:tbl>
      <w:tblPr>
        <w:tblW w:w="0" w:type="auto"/>
        <w:tblLayout w:type="fixed"/>
        <w:tblCellMar>
          <w:left w:w="30" w:type="dxa"/>
          <w:right w:w="30" w:type="dxa"/>
        </w:tblCellMar>
        <w:tblLook w:val="0000" w:firstRow="0" w:lastRow="0" w:firstColumn="0" w:lastColumn="0" w:noHBand="0" w:noVBand="0"/>
      </w:tblPr>
      <w:tblGrid>
        <w:gridCol w:w="1306"/>
        <w:gridCol w:w="1701"/>
        <w:gridCol w:w="1418"/>
        <w:gridCol w:w="1275"/>
        <w:gridCol w:w="1276"/>
        <w:gridCol w:w="1276"/>
      </w:tblGrid>
      <w:tr w:rsidR="00256BDC" w:rsidRPr="00A17640" w14:paraId="299CC4AD" w14:textId="77777777" w:rsidTr="00450C66">
        <w:trPr>
          <w:trHeight w:val="247"/>
        </w:trPr>
        <w:tc>
          <w:tcPr>
            <w:tcW w:w="1306" w:type="dxa"/>
            <w:tcBorders>
              <w:top w:val="single" w:sz="4" w:space="0" w:color="auto"/>
              <w:bottom w:val="single" w:sz="4" w:space="0" w:color="auto"/>
            </w:tcBorders>
          </w:tcPr>
          <w:p w14:paraId="149C88E6"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Promoter</w:t>
            </w:r>
          </w:p>
        </w:tc>
        <w:tc>
          <w:tcPr>
            <w:tcW w:w="1701" w:type="dxa"/>
            <w:tcBorders>
              <w:top w:val="single" w:sz="4" w:space="0" w:color="auto"/>
              <w:bottom w:val="single" w:sz="4" w:space="0" w:color="auto"/>
            </w:tcBorders>
          </w:tcPr>
          <w:p w14:paraId="543C986D"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origin</w:t>
            </w:r>
          </w:p>
        </w:tc>
        <w:tc>
          <w:tcPr>
            <w:tcW w:w="1418" w:type="dxa"/>
            <w:tcBorders>
              <w:top w:val="single" w:sz="4" w:space="0" w:color="auto"/>
              <w:bottom w:val="single" w:sz="4" w:space="0" w:color="auto"/>
            </w:tcBorders>
          </w:tcPr>
          <w:p w14:paraId="33B06245"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Gene</w:t>
            </w:r>
          </w:p>
        </w:tc>
        <w:tc>
          <w:tcPr>
            <w:tcW w:w="1275" w:type="dxa"/>
            <w:tcBorders>
              <w:top w:val="single" w:sz="4" w:space="0" w:color="auto"/>
              <w:bottom w:val="single" w:sz="4" w:space="0" w:color="auto"/>
            </w:tcBorders>
          </w:tcPr>
          <w:p w14:paraId="10B6AE49"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origin</w:t>
            </w:r>
          </w:p>
        </w:tc>
        <w:tc>
          <w:tcPr>
            <w:tcW w:w="1276" w:type="dxa"/>
            <w:tcBorders>
              <w:top w:val="single" w:sz="4" w:space="0" w:color="auto"/>
              <w:bottom w:val="single" w:sz="4" w:space="0" w:color="auto"/>
            </w:tcBorders>
          </w:tcPr>
          <w:p w14:paraId="4B48E95B"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Terminator</w:t>
            </w:r>
          </w:p>
        </w:tc>
        <w:tc>
          <w:tcPr>
            <w:tcW w:w="1276" w:type="dxa"/>
            <w:tcBorders>
              <w:top w:val="single" w:sz="4" w:space="0" w:color="auto"/>
              <w:bottom w:val="single" w:sz="4" w:space="0" w:color="auto"/>
            </w:tcBorders>
          </w:tcPr>
          <w:p w14:paraId="472D22CC" w14:textId="77777777" w:rsidR="00256BDC" w:rsidRPr="00F21BE8" w:rsidRDefault="00256BDC" w:rsidP="00450C66">
            <w:pPr>
              <w:spacing w:before="120" w:after="120"/>
              <w:rPr>
                <w:rFonts w:ascii="Arial Narrow" w:hAnsi="Arial Narrow"/>
                <w:b/>
                <w:snapToGrid w:val="0"/>
                <w:color w:val="000000"/>
                <w:sz w:val="20"/>
                <w:szCs w:val="20"/>
                <w:lang w:eastAsia="en-US"/>
              </w:rPr>
            </w:pPr>
            <w:r w:rsidRPr="00F21BE8">
              <w:rPr>
                <w:rFonts w:ascii="Arial Narrow" w:hAnsi="Arial Narrow"/>
                <w:b/>
                <w:snapToGrid w:val="0"/>
                <w:color w:val="000000"/>
                <w:sz w:val="20"/>
                <w:szCs w:val="20"/>
                <w:lang w:eastAsia="en-US"/>
              </w:rPr>
              <w:t>origin</w:t>
            </w:r>
          </w:p>
        </w:tc>
      </w:tr>
      <w:tr w:rsidR="00256BDC" w:rsidRPr="00A17640" w14:paraId="301D12A3" w14:textId="77777777" w:rsidTr="00450C66">
        <w:trPr>
          <w:trHeight w:val="247"/>
        </w:trPr>
        <w:tc>
          <w:tcPr>
            <w:tcW w:w="1306" w:type="dxa"/>
          </w:tcPr>
          <w:p w14:paraId="7E31EF25"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35S</w:t>
            </w:r>
          </w:p>
        </w:tc>
        <w:tc>
          <w:tcPr>
            <w:tcW w:w="1701" w:type="dxa"/>
          </w:tcPr>
          <w:p w14:paraId="5CB05786"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CaMV</w:t>
            </w:r>
          </w:p>
        </w:tc>
        <w:tc>
          <w:tcPr>
            <w:tcW w:w="1418" w:type="dxa"/>
          </w:tcPr>
          <w:p w14:paraId="741A9DE5"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SuRB</w:t>
            </w:r>
          </w:p>
        </w:tc>
        <w:tc>
          <w:tcPr>
            <w:tcW w:w="1275" w:type="dxa"/>
          </w:tcPr>
          <w:p w14:paraId="3C2861D0"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N. tabacum</w:t>
            </w:r>
          </w:p>
          <w:p w14:paraId="743D39B5"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lastRenderedPageBreak/>
              <w:t>(tobacco)</w:t>
            </w:r>
          </w:p>
        </w:tc>
        <w:tc>
          <w:tcPr>
            <w:tcW w:w="1276" w:type="dxa"/>
          </w:tcPr>
          <w:p w14:paraId="6BDBCA17"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lastRenderedPageBreak/>
              <w:t xml:space="preserve">SuRB </w:t>
            </w:r>
            <w:r w:rsidRPr="00937AB6">
              <w:rPr>
                <w:rFonts w:ascii="Arial Narrow" w:hAnsi="Arial Narrow"/>
                <w:snapToGrid w:val="0"/>
                <w:color w:val="000000"/>
                <w:sz w:val="20"/>
                <w:szCs w:val="20"/>
                <w:lang w:eastAsia="en-US"/>
              </w:rPr>
              <w:t>3’</w:t>
            </w:r>
          </w:p>
        </w:tc>
        <w:tc>
          <w:tcPr>
            <w:tcW w:w="1276" w:type="dxa"/>
          </w:tcPr>
          <w:p w14:paraId="69E4BF93"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N. tabacum</w:t>
            </w:r>
          </w:p>
          <w:p w14:paraId="079667E9"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lastRenderedPageBreak/>
              <w:t>(tobacco)</w:t>
            </w:r>
          </w:p>
        </w:tc>
      </w:tr>
      <w:tr w:rsidR="00256BDC" w:rsidRPr="00A17640" w14:paraId="59A1F164" w14:textId="77777777" w:rsidTr="00450C66">
        <w:trPr>
          <w:trHeight w:val="247"/>
        </w:trPr>
        <w:tc>
          <w:tcPr>
            <w:tcW w:w="1306" w:type="dxa"/>
          </w:tcPr>
          <w:p w14:paraId="6660CB82"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lastRenderedPageBreak/>
              <w:t>CHS</w:t>
            </w:r>
          </w:p>
        </w:tc>
        <w:tc>
          <w:tcPr>
            <w:tcW w:w="1701" w:type="dxa"/>
          </w:tcPr>
          <w:p w14:paraId="2A6C2154"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A. majus</w:t>
            </w:r>
          </w:p>
          <w:p w14:paraId="11476AF6"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(snap dragon)</w:t>
            </w:r>
          </w:p>
        </w:tc>
        <w:tc>
          <w:tcPr>
            <w:tcW w:w="1418" w:type="dxa"/>
          </w:tcPr>
          <w:p w14:paraId="7BDF11DE"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F3'5'H</w:t>
            </w:r>
          </w:p>
        </w:tc>
        <w:tc>
          <w:tcPr>
            <w:tcW w:w="1275" w:type="dxa"/>
          </w:tcPr>
          <w:p w14:paraId="37BD5BD3"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Viola</w:t>
            </w:r>
          </w:p>
          <w:p w14:paraId="76786FF6" w14:textId="77777777" w:rsidR="00256BDC" w:rsidRPr="00F21BE8" w:rsidRDefault="00256BDC" w:rsidP="00450C66">
            <w:pPr>
              <w:rPr>
                <w:rFonts w:ascii="Arial Narrow" w:hAnsi="Arial Narrow"/>
                <w:snapToGrid w:val="0"/>
                <w:color w:val="000000"/>
                <w:sz w:val="20"/>
                <w:szCs w:val="20"/>
                <w:lang w:eastAsia="en-US"/>
              </w:rPr>
            </w:pPr>
            <w:r w:rsidRPr="00F21BE8">
              <w:rPr>
                <w:rFonts w:ascii="Arial Narrow" w:hAnsi="Arial Narrow"/>
                <w:snapToGrid w:val="0"/>
                <w:color w:val="000000"/>
                <w:sz w:val="20"/>
                <w:szCs w:val="20"/>
                <w:lang w:eastAsia="en-US"/>
              </w:rPr>
              <w:t>(pansy)</w:t>
            </w:r>
          </w:p>
        </w:tc>
        <w:tc>
          <w:tcPr>
            <w:tcW w:w="1276" w:type="dxa"/>
          </w:tcPr>
          <w:p w14:paraId="056C270F"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D8</w:t>
            </w:r>
            <w:r>
              <w:rPr>
                <w:rFonts w:ascii="Arial Narrow" w:hAnsi="Arial Narrow"/>
                <w:i/>
                <w:snapToGrid w:val="0"/>
                <w:color w:val="000000"/>
                <w:sz w:val="20"/>
                <w:szCs w:val="20"/>
                <w:lang w:eastAsia="en-US"/>
              </w:rPr>
              <w:t xml:space="preserve"> </w:t>
            </w:r>
            <w:r w:rsidRPr="00937AB6">
              <w:rPr>
                <w:rFonts w:ascii="Arial Narrow" w:hAnsi="Arial Narrow"/>
                <w:snapToGrid w:val="0"/>
                <w:color w:val="000000"/>
                <w:sz w:val="20"/>
                <w:szCs w:val="20"/>
                <w:lang w:eastAsia="en-US"/>
              </w:rPr>
              <w:t>3’</w:t>
            </w:r>
          </w:p>
        </w:tc>
        <w:tc>
          <w:tcPr>
            <w:tcW w:w="1276" w:type="dxa"/>
          </w:tcPr>
          <w:p w14:paraId="21231323"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Petunia</w:t>
            </w:r>
          </w:p>
        </w:tc>
      </w:tr>
      <w:tr w:rsidR="00256BDC" w:rsidRPr="00A17640" w14:paraId="4E3D87BC" w14:textId="77777777" w:rsidTr="00450C66">
        <w:trPr>
          <w:trHeight w:val="247"/>
        </w:trPr>
        <w:tc>
          <w:tcPr>
            <w:tcW w:w="1306" w:type="dxa"/>
            <w:tcBorders>
              <w:bottom w:val="single" w:sz="4" w:space="0" w:color="auto"/>
            </w:tcBorders>
          </w:tcPr>
          <w:p w14:paraId="34B674B4"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 xml:space="preserve">DFR </w:t>
            </w:r>
            <w:r w:rsidRPr="00937AB6">
              <w:rPr>
                <w:rFonts w:ascii="Arial Narrow" w:hAnsi="Arial Narrow"/>
                <w:snapToGrid w:val="0"/>
                <w:color w:val="000000"/>
                <w:sz w:val="20"/>
                <w:szCs w:val="20"/>
                <w:lang w:eastAsia="en-US"/>
              </w:rPr>
              <w:t>5'</w:t>
            </w:r>
          </w:p>
        </w:tc>
        <w:tc>
          <w:tcPr>
            <w:tcW w:w="1701" w:type="dxa"/>
            <w:tcBorders>
              <w:bottom w:val="single" w:sz="4" w:space="0" w:color="auto"/>
            </w:tcBorders>
          </w:tcPr>
          <w:p w14:paraId="56A7DC08"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Petunia</w:t>
            </w:r>
          </w:p>
        </w:tc>
        <w:tc>
          <w:tcPr>
            <w:tcW w:w="1418" w:type="dxa"/>
            <w:tcBorders>
              <w:bottom w:val="single" w:sz="4" w:space="0" w:color="auto"/>
            </w:tcBorders>
          </w:tcPr>
          <w:p w14:paraId="00B0F30E"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DFR</w:t>
            </w:r>
          </w:p>
        </w:tc>
        <w:tc>
          <w:tcPr>
            <w:tcW w:w="1275" w:type="dxa"/>
            <w:tcBorders>
              <w:bottom w:val="single" w:sz="4" w:space="0" w:color="auto"/>
            </w:tcBorders>
          </w:tcPr>
          <w:p w14:paraId="1F6912E4"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Petunia</w:t>
            </w:r>
          </w:p>
        </w:tc>
        <w:tc>
          <w:tcPr>
            <w:tcW w:w="1276" w:type="dxa"/>
            <w:tcBorders>
              <w:bottom w:val="single" w:sz="4" w:space="0" w:color="auto"/>
            </w:tcBorders>
          </w:tcPr>
          <w:p w14:paraId="1D066E27" w14:textId="77777777" w:rsidR="00256BDC" w:rsidRPr="0001327A" w:rsidRDefault="00256BDC" w:rsidP="00450C66">
            <w:pPr>
              <w:rPr>
                <w:rFonts w:ascii="Arial Narrow" w:hAnsi="Arial Narrow"/>
                <w:i/>
                <w:snapToGrid w:val="0"/>
                <w:color w:val="000000"/>
                <w:sz w:val="20"/>
                <w:szCs w:val="20"/>
                <w:lang w:eastAsia="en-US"/>
              </w:rPr>
            </w:pPr>
            <w:r w:rsidRPr="0001327A">
              <w:rPr>
                <w:rFonts w:ascii="Arial Narrow" w:hAnsi="Arial Narrow"/>
                <w:i/>
                <w:snapToGrid w:val="0"/>
                <w:color w:val="000000"/>
                <w:sz w:val="20"/>
                <w:szCs w:val="20"/>
                <w:lang w:eastAsia="en-US"/>
              </w:rPr>
              <w:t xml:space="preserve">DFR </w:t>
            </w:r>
            <w:r w:rsidRPr="00937AB6">
              <w:rPr>
                <w:rFonts w:ascii="Arial Narrow" w:hAnsi="Arial Narrow"/>
                <w:snapToGrid w:val="0"/>
                <w:color w:val="000000"/>
                <w:sz w:val="20"/>
                <w:szCs w:val="20"/>
                <w:lang w:eastAsia="en-US"/>
              </w:rPr>
              <w:t>3’</w:t>
            </w:r>
          </w:p>
        </w:tc>
        <w:tc>
          <w:tcPr>
            <w:tcW w:w="1276" w:type="dxa"/>
            <w:tcBorders>
              <w:bottom w:val="single" w:sz="4" w:space="0" w:color="auto"/>
            </w:tcBorders>
          </w:tcPr>
          <w:p w14:paraId="1ABC8B6D" w14:textId="77777777" w:rsidR="00256BDC" w:rsidRPr="00F21BE8" w:rsidRDefault="00256BDC" w:rsidP="00450C66">
            <w:pPr>
              <w:rPr>
                <w:rFonts w:ascii="Arial Narrow" w:hAnsi="Arial Narrow"/>
                <w:i/>
                <w:snapToGrid w:val="0"/>
                <w:color w:val="000000"/>
                <w:sz w:val="20"/>
                <w:szCs w:val="20"/>
                <w:lang w:eastAsia="en-US"/>
              </w:rPr>
            </w:pPr>
            <w:r w:rsidRPr="00F21BE8">
              <w:rPr>
                <w:rFonts w:ascii="Arial Narrow" w:hAnsi="Arial Narrow"/>
                <w:i/>
                <w:snapToGrid w:val="0"/>
                <w:color w:val="000000"/>
                <w:sz w:val="20"/>
                <w:szCs w:val="20"/>
                <w:lang w:eastAsia="en-US"/>
              </w:rPr>
              <w:t>Petunia</w:t>
            </w:r>
          </w:p>
        </w:tc>
      </w:tr>
    </w:tbl>
    <w:p w14:paraId="298D2328" w14:textId="77777777" w:rsidR="00256BDC" w:rsidRPr="00937AB6" w:rsidRDefault="00256BDC" w:rsidP="00256BDC">
      <w:pPr>
        <w:pStyle w:val="Paragraph"/>
        <w:spacing w:before="0"/>
        <w:rPr>
          <w:rFonts w:ascii="Arial Narrow" w:hAnsi="Arial Narrow"/>
          <w:sz w:val="20"/>
          <w:szCs w:val="20"/>
        </w:rPr>
      </w:pPr>
      <w:r w:rsidRPr="00937AB6">
        <w:rPr>
          <w:rFonts w:ascii="Arial Narrow" w:hAnsi="Arial Narrow"/>
          <w:sz w:val="20"/>
          <w:szCs w:val="20"/>
        </w:rPr>
        <w:t>Abbreviations: as for Table 2a</w:t>
      </w:r>
    </w:p>
    <w:p w14:paraId="268A8E40" w14:textId="77777777" w:rsidR="00256BDC" w:rsidRPr="00BC61F1" w:rsidRDefault="00256BDC" w:rsidP="00256BDC">
      <w:pPr>
        <w:pStyle w:val="Paragraph"/>
        <w:ind w:left="1134" w:hanging="708"/>
        <w:rPr>
          <w:rFonts w:ascii="Arial" w:hAnsi="Arial" w:cs="Arial"/>
          <w:b/>
          <w:bCs/>
        </w:rPr>
      </w:pPr>
      <w:r w:rsidDel="005C0749">
        <w:t xml:space="preserve"> </w:t>
      </w:r>
      <w:r>
        <w:rPr>
          <w:rFonts w:ascii="Arial" w:hAnsi="Arial" w:cs="Arial"/>
          <w:b/>
          <w:bCs/>
        </w:rPr>
        <w:t>2.2</w:t>
      </w:r>
      <w:r w:rsidRPr="00BC61F1">
        <w:rPr>
          <w:rFonts w:ascii="Arial" w:hAnsi="Arial" w:cs="Arial"/>
          <w:b/>
          <w:bCs/>
        </w:rPr>
        <w:t xml:space="preserve"> </w:t>
      </w:r>
      <w:r w:rsidRPr="00BC61F1">
        <w:rPr>
          <w:rFonts w:ascii="Arial" w:hAnsi="Arial" w:cs="Arial"/>
          <w:b/>
          <w:bCs/>
        </w:rPr>
        <w:tab/>
        <w:t>Conclusions of the RARMP for DIR 030/2002</w:t>
      </w:r>
    </w:p>
    <w:p w14:paraId="2C7FE320" w14:textId="77777777" w:rsidR="00256BDC" w:rsidRDefault="00256BDC" w:rsidP="00256BDC">
      <w:pPr>
        <w:spacing w:before="120" w:after="120"/>
      </w:pPr>
      <w:r w:rsidRPr="004C5D92">
        <w:t xml:space="preserve">The RARMP prepared for application DIR 030/2002 concluded that “the hazards posed by this commercial release….are unlikely to present any risks to the health and safety of people or the Australian environment that are different to conventional carnation”. </w:t>
      </w:r>
    </w:p>
    <w:p w14:paraId="41390D1B" w14:textId="77777777" w:rsidR="00256BDC" w:rsidRPr="005755C4" w:rsidRDefault="00256BDC" w:rsidP="00256BDC">
      <w:pPr>
        <w:spacing w:before="120" w:after="120"/>
      </w:pPr>
      <w:r w:rsidRPr="005755C4">
        <w:t>In making a decision to issue a licence in respect o</w:t>
      </w:r>
      <w:r>
        <w:t>f application</w:t>
      </w:r>
      <w:r w:rsidRPr="005755C4">
        <w:t xml:space="preserve"> DIR 030/2002, the Regulator </w:t>
      </w:r>
      <w:r>
        <w:t xml:space="preserve">concluded that no risk treatment conditions were required and that </w:t>
      </w:r>
      <w:r w:rsidRPr="005755C4">
        <w:t>the l</w:t>
      </w:r>
      <w:r>
        <w:t>icence need only contain general</w:t>
      </w:r>
      <w:r w:rsidRPr="005755C4">
        <w:t xml:space="preserve"> conditions</w:t>
      </w:r>
      <w:r>
        <w:t>,</w:t>
      </w:r>
      <w:r w:rsidRPr="005755C4">
        <w:t xml:space="preserve"> </w:t>
      </w:r>
      <w:r>
        <w:t xml:space="preserve">as set out in Sections 63, 64 and 65 of the Act, </w:t>
      </w:r>
      <w:r w:rsidRPr="005755C4">
        <w:t>to oversight the release on an ongoing basis.</w:t>
      </w:r>
      <w:r>
        <w:t xml:space="preserve"> Included in these</w:t>
      </w:r>
      <w:r w:rsidRPr="005755C4">
        <w:t xml:space="preserve"> conditions was a requirement for the licence holder to provide the Regulator with a written report within 90 days of each anniversary of the licence, including information on any adverse impacts on human health and safety or the environment, caused as a result of the GMO or viable material from the GMO.</w:t>
      </w:r>
    </w:p>
    <w:p w14:paraId="44B88D6A" w14:textId="77777777" w:rsidR="00256BDC" w:rsidRPr="00BC0D9C" w:rsidRDefault="00256BDC" w:rsidP="00256BDC">
      <w:pPr>
        <w:pStyle w:val="Paragraph"/>
        <w:ind w:left="1134" w:hanging="708"/>
        <w:rPr>
          <w:rFonts w:ascii="Arial" w:hAnsi="Arial" w:cs="Arial"/>
          <w:b/>
          <w:bCs/>
        </w:rPr>
      </w:pPr>
      <w:r w:rsidRPr="00BC61F1" w:rsidDel="00757EFE">
        <w:rPr>
          <w:rFonts w:ascii="Arial" w:hAnsi="Arial" w:cs="Arial"/>
          <w:b/>
          <w:bCs/>
        </w:rPr>
        <w:t xml:space="preserve"> </w:t>
      </w:r>
      <w:r>
        <w:rPr>
          <w:rFonts w:ascii="Arial" w:hAnsi="Arial" w:cs="Arial"/>
          <w:b/>
          <w:bCs/>
        </w:rPr>
        <w:t>2.3</w:t>
      </w:r>
      <w:r w:rsidRPr="00BC61F1">
        <w:rPr>
          <w:rFonts w:ascii="Arial" w:hAnsi="Arial" w:cs="Arial"/>
          <w:b/>
          <w:bCs/>
        </w:rPr>
        <w:tab/>
      </w:r>
      <w:r>
        <w:rPr>
          <w:rFonts w:ascii="Arial" w:hAnsi="Arial" w:cs="Arial"/>
          <w:b/>
          <w:bCs/>
        </w:rPr>
        <w:t>N</w:t>
      </w:r>
      <w:r w:rsidRPr="00BC61F1">
        <w:rPr>
          <w:rFonts w:ascii="Arial" w:hAnsi="Arial" w:cs="Arial"/>
          <w:b/>
          <w:bCs/>
        </w:rPr>
        <w:t xml:space="preserve">ew data </w:t>
      </w:r>
      <w:r>
        <w:rPr>
          <w:rFonts w:ascii="Arial" w:hAnsi="Arial" w:cs="Arial"/>
          <w:b/>
          <w:bCs/>
        </w:rPr>
        <w:t>obtained from the applicant</w:t>
      </w:r>
    </w:p>
    <w:p w14:paraId="7715F5B8" w14:textId="77777777" w:rsidR="00256BDC" w:rsidRPr="00BC0D9C" w:rsidRDefault="00256BDC" w:rsidP="00256BDC">
      <w:pPr>
        <w:pStyle w:val="Paragraph"/>
        <w:ind w:left="1418" w:hanging="851"/>
        <w:rPr>
          <w:rFonts w:ascii="Arial" w:hAnsi="Arial" w:cs="Arial"/>
          <w:i/>
          <w:iCs/>
        </w:rPr>
      </w:pPr>
      <w:r w:rsidRPr="00841109">
        <w:rPr>
          <w:rFonts w:ascii="Arial" w:hAnsi="Arial" w:cs="Arial"/>
          <w:i/>
        </w:rPr>
        <w:t>2.3.1</w:t>
      </w:r>
      <w:r w:rsidRPr="00841109">
        <w:rPr>
          <w:rFonts w:ascii="Arial" w:hAnsi="Arial" w:cs="Arial"/>
          <w:i/>
          <w:iCs/>
        </w:rPr>
        <w:tab/>
        <w:t>Morphological</w:t>
      </w:r>
      <w:r w:rsidRPr="00BC0D9C">
        <w:rPr>
          <w:rFonts w:ascii="Arial" w:hAnsi="Arial" w:cs="Arial"/>
          <w:i/>
          <w:iCs/>
        </w:rPr>
        <w:t xml:space="preserve"> characterisation of the four GM carnation lines</w:t>
      </w:r>
    </w:p>
    <w:p w14:paraId="2080885C" w14:textId="77777777" w:rsidR="00256BDC" w:rsidRPr="00937AB6" w:rsidRDefault="00256BDC" w:rsidP="00256BDC">
      <w:pPr>
        <w:pStyle w:val="Paragraph"/>
        <w:spacing w:before="0"/>
      </w:pPr>
      <w:r w:rsidRPr="003A715F">
        <w:t xml:space="preserve">The applicant measured </w:t>
      </w:r>
      <w:r>
        <w:t>(Florigene, unpublished a, b, c)</w:t>
      </w:r>
      <w:r w:rsidRPr="003A715F">
        <w:t xml:space="preserve"> a number of morphological characteristics </w:t>
      </w:r>
      <w:r>
        <w:t>(</w:t>
      </w:r>
      <w:r w:rsidRPr="000C4524">
        <w:rPr>
          <w:u w:val="single"/>
        </w:rPr>
        <w:t>whole plant measurements</w:t>
      </w:r>
      <w:r>
        <w:t>: stem length at 7 nodes, length of 5</w:t>
      </w:r>
      <w:r w:rsidRPr="000C4524">
        <w:rPr>
          <w:vertAlign w:val="superscript"/>
        </w:rPr>
        <w:t>th</w:t>
      </w:r>
      <w:r>
        <w:t xml:space="preserve"> node, thickness of 5</w:t>
      </w:r>
      <w:r w:rsidRPr="00F44BEC">
        <w:rPr>
          <w:vertAlign w:val="superscript"/>
        </w:rPr>
        <w:t>th</w:t>
      </w:r>
      <w:r>
        <w:t xml:space="preserve"> node, leaf length; </w:t>
      </w:r>
      <w:r w:rsidRPr="000C4524">
        <w:rPr>
          <w:u w:val="single"/>
        </w:rPr>
        <w:t>flower measurements</w:t>
      </w:r>
      <w:r>
        <w:t>: flower diameter, petal number, outer petal width, calyx height, calyx diameter, number of lobes per calyx, corolla height, number of styles, style length) of</w:t>
      </w:r>
      <w:r w:rsidRPr="003A715F">
        <w:t xml:space="preserve"> the four G</w:t>
      </w:r>
      <w:r>
        <w:t>M carnation lines</w:t>
      </w:r>
      <w:r w:rsidRPr="003A715F">
        <w:t xml:space="preserve"> released under DIR 030/2002, and compared these characteristics to the non-GM parent. </w:t>
      </w:r>
      <w:r w:rsidRPr="004E6445">
        <w:t xml:space="preserve">The data showed that, for whole plant measurements, there were many statistically significant differences between various characters of the transgenic lines and the non-GM parent. </w:t>
      </w:r>
      <w:r>
        <w:t>T</w:t>
      </w:r>
      <w:r w:rsidRPr="004E6445">
        <w:t>hese differences</w:t>
      </w:r>
      <w:r>
        <w:t>, however,</w:t>
      </w:r>
      <w:r w:rsidRPr="004E6445">
        <w:t xml:space="preserve"> fall within normal varietal variation. There were also statistical differences for flower measurements of which only two characters for the line Moonshadow™ (see </w:t>
      </w:r>
      <w:r>
        <w:t>Table 3</w:t>
      </w:r>
      <w:r w:rsidRPr="004E6445">
        <w:t xml:space="preserve">) </w:t>
      </w:r>
      <w:r>
        <w:t>fall outside normal varietal variation</w:t>
      </w:r>
      <w:r w:rsidRPr="004E6445">
        <w:t>.</w:t>
      </w:r>
      <w:r>
        <w:t xml:space="preserve"> </w:t>
      </w:r>
    </w:p>
    <w:p w14:paraId="7DFBF647" w14:textId="77777777" w:rsidR="00256BDC" w:rsidRPr="0015587E" w:rsidRDefault="00256BDC" w:rsidP="00256BDC">
      <w:pPr>
        <w:pStyle w:val="Paragraph"/>
        <w:ind w:left="1134" w:hanging="1134"/>
        <w:rPr>
          <w:rFonts w:ascii="Arial Narrow" w:hAnsi="Arial Narrow"/>
          <w:b/>
          <w:bCs/>
        </w:rPr>
      </w:pPr>
      <w:r w:rsidRPr="0015587E">
        <w:rPr>
          <w:rFonts w:ascii="Arial Narrow" w:hAnsi="Arial Narrow"/>
          <w:b/>
          <w:bCs/>
        </w:rPr>
        <w:t>Table 3.</w:t>
      </w:r>
      <w:r w:rsidRPr="0015587E">
        <w:rPr>
          <w:rFonts w:ascii="Arial Narrow" w:hAnsi="Arial Narrow"/>
          <w:b/>
          <w:bCs/>
        </w:rPr>
        <w:tab/>
        <w:t>Flower morphology measurements in the GM carnation line Moonshadow™ showing significant differences from the non-GM parent</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Caption w:val="Table 3. Flower morphology measurements in the GM carnation line Moonshadow™ showing significant differences from the non-GM parent"/>
        <w:tblDescription w:val="This table contains 3 columns and 2 rows"/>
      </w:tblPr>
      <w:tblGrid>
        <w:gridCol w:w="2274"/>
        <w:gridCol w:w="2370"/>
        <w:gridCol w:w="3119"/>
      </w:tblGrid>
      <w:tr w:rsidR="00256BDC" w:rsidRPr="003A715F" w14:paraId="5222BA02" w14:textId="77777777" w:rsidTr="00256BDC">
        <w:trPr>
          <w:trHeight w:val="488"/>
          <w:tblHeader/>
        </w:trPr>
        <w:tc>
          <w:tcPr>
            <w:tcW w:w="2274" w:type="dxa"/>
            <w:tcBorders>
              <w:top w:val="single" w:sz="4" w:space="0" w:color="auto"/>
              <w:bottom w:val="nil"/>
            </w:tcBorders>
            <w:vAlign w:val="center"/>
          </w:tcPr>
          <w:p w14:paraId="4623FF39" w14:textId="77777777" w:rsidR="00256BDC" w:rsidRPr="004B191E" w:rsidRDefault="00256BDC" w:rsidP="00450C66">
            <w:pPr>
              <w:pStyle w:val="Paragraph"/>
              <w:spacing w:before="0" w:after="0"/>
              <w:jc w:val="center"/>
              <w:rPr>
                <w:rFonts w:ascii="Arial Narrow" w:hAnsi="Arial Narrow"/>
                <w:b/>
                <w:sz w:val="20"/>
                <w:szCs w:val="20"/>
              </w:rPr>
            </w:pPr>
            <w:r w:rsidRPr="004B191E">
              <w:rPr>
                <w:rFonts w:ascii="Arial Narrow" w:hAnsi="Arial Narrow"/>
                <w:b/>
                <w:sz w:val="20"/>
                <w:szCs w:val="20"/>
              </w:rPr>
              <w:t>Measurement</w:t>
            </w:r>
          </w:p>
        </w:tc>
        <w:tc>
          <w:tcPr>
            <w:tcW w:w="2370" w:type="dxa"/>
            <w:tcBorders>
              <w:top w:val="single" w:sz="4" w:space="0" w:color="auto"/>
              <w:bottom w:val="nil"/>
            </w:tcBorders>
            <w:vAlign w:val="center"/>
          </w:tcPr>
          <w:p w14:paraId="6E030A3E" w14:textId="77777777" w:rsidR="00256BDC" w:rsidRPr="004B191E" w:rsidRDefault="00256BDC" w:rsidP="00450C66">
            <w:pPr>
              <w:pStyle w:val="Paragraph"/>
              <w:spacing w:before="0" w:after="0"/>
              <w:jc w:val="center"/>
              <w:rPr>
                <w:rFonts w:ascii="Arial Narrow" w:hAnsi="Arial Narrow"/>
                <w:b/>
                <w:sz w:val="20"/>
                <w:szCs w:val="20"/>
              </w:rPr>
            </w:pPr>
            <w:r w:rsidRPr="004B191E">
              <w:rPr>
                <w:rFonts w:ascii="Arial Narrow" w:hAnsi="Arial Narrow"/>
                <w:b/>
                <w:sz w:val="20"/>
                <w:szCs w:val="20"/>
              </w:rPr>
              <w:t>Non-GM parent</w:t>
            </w:r>
          </w:p>
        </w:tc>
        <w:tc>
          <w:tcPr>
            <w:tcW w:w="3119" w:type="dxa"/>
            <w:tcBorders>
              <w:top w:val="single" w:sz="4" w:space="0" w:color="auto"/>
              <w:bottom w:val="nil"/>
            </w:tcBorders>
            <w:vAlign w:val="center"/>
          </w:tcPr>
          <w:p w14:paraId="05ACD2E1" w14:textId="77777777" w:rsidR="00256BDC" w:rsidRPr="004B191E" w:rsidRDefault="00256BDC" w:rsidP="00450C66">
            <w:pPr>
              <w:pStyle w:val="Paragraph"/>
              <w:spacing w:before="0" w:after="0"/>
              <w:jc w:val="center"/>
              <w:rPr>
                <w:rFonts w:ascii="Arial Narrow" w:hAnsi="Arial Narrow"/>
                <w:b/>
                <w:sz w:val="20"/>
                <w:szCs w:val="20"/>
              </w:rPr>
            </w:pPr>
            <w:r w:rsidRPr="004B191E">
              <w:rPr>
                <w:rFonts w:ascii="Arial Narrow" w:hAnsi="Arial Narrow"/>
                <w:b/>
                <w:sz w:val="20"/>
                <w:szCs w:val="20"/>
              </w:rPr>
              <w:t>Florigene Moonshadow™</w:t>
            </w:r>
          </w:p>
        </w:tc>
      </w:tr>
      <w:tr w:rsidR="00256BDC" w:rsidRPr="003A715F" w14:paraId="23367481" w14:textId="77777777" w:rsidTr="00450C66">
        <w:tc>
          <w:tcPr>
            <w:tcW w:w="2274" w:type="dxa"/>
            <w:tcBorders>
              <w:top w:val="single" w:sz="4" w:space="0" w:color="auto"/>
              <w:bottom w:val="nil"/>
            </w:tcBorders>
          </w:tcPr>
          <w:p w14:paraId="1946C861" w14:textId="77777777" w:rsidR="00256BDC" w:rsidRPr="00937AB6" w:rsidRDefault="00256BDC" w:rsidP="00450C66">
            <w:pPr>
              <w:pStyle w:val="Paragraph"/>
              <w:spacing w:before="0" w:after="0"/>
              <w:rPr>
                <w:rFonts w:ascii="Arial Narrow" w:hAnsi="Arial Narrow"/>
                <w:sz w:val="20"/>
                <w:szCs w:val="20"/>
              </w:rPr>
            </w:pPr>
            <w:r w:rsidRPr="00937AB6">
              <w:rPr>
                <w:rFonts w:ascii="Arial Narrow" w:hAnsi="Arial Narrow"/>
                <w:sz w:val="20"/>
                <w:szCs w:val="20"/>
              </w:rPr>
              <w:t>Petal number</w:t>
            </w:r>
          </w:p>
        </w:tc>
        <w:tc>
          <w:tcPr>
            <w:tcW w:w="2370" w:type="dxa"/>
            <w:tcBorders>
              <w:top w:val="single" w:sz="4" w:space="0" w:color="auto"/>
              <w:bottom w:val="nil"/>
            </w:tcBorders>
          </w:tcPr>
          <w:p w14:paraId="4B81E90F" w14:textId="77777777" w:rsidR="00256BDC" w:rsidRDefault="00256BDC" w:rsidP="00450C66">
            <w:pPr>
              <w:pStyle w:val="Paragraph"/>
              <w:spacing w:before="0" w:after="0"/>
              <w:jc w:val="center"/>
              <w:rPr>
                <w:rFonts w:ascii="Arial Narrow" w:hAnsi="Arial Narrow"/>
                <w:sz w:val="20"/>
                <w:szCs w:val="20"/>
              </w:rPr>
            </w:pPr>
            <w:r w:rsidRPr="00937AB6">
              <w:rPr>
                <w:rFonts w:ascii="Arial Narrow" w:hAnsi="Arial Narrow"/>
                <w:sz w:val="20"/>
                <w:szCs w:val="20"/>
              </w:rPr>
              <w:t>Range: 43 – 65</w:t>
            </w:r>
          </w:p>
          <w:p w14:paraId="51D6CAA7" w14:textId="77777777" w:rsidR="00256BDC" w:rsidRPr="00937AB6" w:rsidRDefault="00256BDC" w:rsidP="00450C66">
            <w:pPr>
              <w:pStyle w:val="Paragraph"/>
              <w:spacing w:before="0" w:after="0"/>
              <w:jc w:val="center"/>
              <w:rPr>
                <w:rFonts w:ascii="Arial Narrow" w:hAnsi="Arial Narrow"/>
                <w:sz w:val="20"/>
                <w:szCs w:val="20"/>
              </w:rPr>
            </w:pPr>
            <w:r w:rsidRPr="00937AB6">
              <w:rPr>
                <w:rFonts w:ascii="Arial Narrow" w:hAnsi="Arial Narrow"/>
                <w:sz w:val="20"/>
                <w:szCs w:val="20"/>
              </w:rPr>
              <w:t>Mean: 56</w:t>
            </w:r>
          </w:p>
        </w:tc>
        <w:tc>
          <w:tcPr>
            <w:tcW w:w="3119" w:type="dxa"/>
            <w:tcBorders>
              <w:top w:val="single" w:sz="4" w:space="0" w:color="auto"/>
              <w:bottom w:val="nil"/>
            </w:tcBorders>
          </w:tcPr>
          <w:p w14:paraId="38293937" w14:textId="77777777" w:rsidR="00256BDC" w:rsidRPr="00937AB6" w:rsidRDefault="00256BDC" w:rsidP="00450C66">
            <w:pPr>
              <w:pStyle w:val="Paragraph"/>
              <w:spacing w:before="0" w:after="0"/>
              <w:jc w:val="center"/>
              <w:rPr>
                <w:rFonts w:ascii="Arial Narrow" w:hAnsi="Arial Narrow"/>
                <w:sz w:val="20"/>
                <w:szCs w:val="20"/>
              </w:rPr>
            </w:pPr>
            <w:r w:rsidRPr="00937AB6">
              <w:rPr>
                <w:rFonts w:ascii="Arial Narrow" w:hAnsi="Arial Narrow"/>
                <w:sz w:val="20"/>
                <w:szCs w:val="20"/>
              </w:rPr>
              <w:t>Range: 33 – 55</w:t>
            </w:r>
          </w:p>
          <w:p w14:paraId="2084D6F0" w14:textId="77777777" w:rsidR="00256BDC" w:rsidRPr="00937AB6" w:rsidRDefault="00256BDC" w:rsidP="00450C66">
            <w:pPr>
              <w:pStyle w:val="Paragraph"/>
              <w:spacing w:before="0" w:after="0"/>
              <w:jc w:val="center"/>
              <w:rPr>
                <w:rFonts w:ascii="Arial Narrow" w:hAnsi="Arial Narrow"/>
                <w:sz w:val="20"/>
                <w:szCs w:val="20"/>
              </w:rPr>
            </w:pPr>
            <w:r w:rsidRPr="00937AB6">
              <w:rPr>
                <w:rFonts w:ascii="Arial Narrow" w:hAnsi="Arial Narrow"/>
                <w:sz w:val="20"/>
                <w:szCs w:val="20"/>
              </w:rPr>
              <w:t>Mean: 43</w:t>
            </w:r>
          </w:p>
        </w:tc>
      </w:tr>
      <w:tr w:rsidR="00256BDC" w:rsidRPr="003A715F" w14:paraId="239A4975" w14:textId="77777777" w:rsidTr="00450C66">
        <w:tc>
          <w:tcPr>
            <w:tcW w:w="2274" w:type="dxa"/>
            <w:tcBorders>
              <w:top w:val="nil"/>
              <w:bottom w:val="single" w:sz="4" w:space="0" w:color="auto"/>
            </w:tcBorders>
          </w:tcPr>
          <w:p w14:paraId="7B203EFE" w14:textId="77777777" w:rsidR="00256BDC" w:rsidRPr="00937AB6" w:rsidRDefault="00256BDC" w:rsidP="00450C66">
            <w:pPr>
              <w:pStyle w:val="Paragraph"/>
              <w:spacing w:before="0" w:after="0"/>
              <w:rPr>
                <w:rFonts w:ascii="Arial Narrow" w:hAnsi="Arial Narrow"/>
                <w:sz w:val="20"/>
                <w:szCs w:val="20"/>
              </w:rPr>
            </w:pPr>
            <w:r w:rsidRPr="00937AB6">
              <w:rPr>
                <w:rFonts w:ascii="Arial Narrow" w:hAnsi="Arial Narrow"/>
                <w:sz w:val="20"/>
                <w:szCs w:val="20"/>
              </w:rPr>
              <w:t>Style length (cm)</w:t>
            </w:r>
          </w:p>
        </w:tc>
        <w:tc>
          <w:tcPr>
            <w:tcW w:w="2370" w:type="dxa"/>
            <w:tcBorders>
              <w:top w:val="nil"/>
              <w:bottom w:val="single" w:sz="4" w:space="0" w:color="auto"/>
            </w:tcBorders>
          </w:tcPr>
          <w:p w14:paraId="1F1D9714" w14:textId="77777777" w:rsidR="00256BDC" w:rsidRPr="00937AB6" w:rsidRDefault="00256BDC" w:rsidP="00450C66">
            <w:pPr>
              <w:pStyle w:val="Paragraph"/>
              <w:spacing w:before="0" w:after="0"/>
              <w:jc w:val="center"/>
              <w:rPr>
                <w:rFonts w:ascii="Arial Narrow" w:hAnsi="Arial Narrow"/>
                <w:sz w:val="20"/>
                <w:szCs w:val="20"/>
              </w:rPr>
            </w:pPr>
            <w:r w:rsidRPr="00937AB6">
              <w:rPr>
                <w:rFonts w:ascii="Arial Narrow" w:hAnsi="Arial Narrow"/>
                <w:sz w:val="20"/>
                <w:szCs w:val="20"/>
              </w:rPr>
              <w:t>Range: 1.2 – 2.4</w:t>
            </w:r>
          </w:p>
          <w:p w14:paraId="4D399708" w14:textId="77777777" w:rsidR="00256BDC" w:rsidRPr="00937AB6" w:rsidRDefault="00256BDC" w:rsidP="00450C66">
            <w:pPr>
              <w:pStyle w:val="Paragraph"/>
              <w:spacing w:before="0" w:after="0"/>
              <w:jc w:val="center"/>
              <w:rPr>
                <w:rFonts w:ascii="Arial Narrow" w:hAnsi="Arial Narrow"/>
                <w:sz w:val="20"/>
                <w:szCs w:val="20"/>
              </w:rPr>
            </w:pPr>
            <w:r w:rsidRPr="00937AB6">
              <w:rPr>
                <w:rFonts w:ascii="Arial Narrow" w:hAnsi="Arial Narrow"/>
                <w:sz w:val="20"/>
                <w:szCs w:val="20"/>
              </w:rPr>
              <w:t>Mean: 1.64</w:t>
            </w:r>
          </w:p>
        </w:tc>
        <w:tc>
          <w:tcPr>
            <w:tcW w:w="3119" w:type="dxa"/>
            <w:tcBorders>
              <w:top w:val="nil"/>
              <w:bottom w:val="single" w:sz="4" w:space="0" w:color="auto"/>
            </w:tcBorders>
          </w:tcPr>
          <w:p w14:paraId="3563F3A9" w14:textId="77777777" w:rsidR="00256BDC" w:rsidRPr="00937AB6" w:rsidRDefault="00256BDC" w:rsidP="00450C66">
            <w:pPr>
              <w:pStyle w:val="Paragraph"/>
              <w:spacing w:before="0" w:after="0"/>
              <w:jc w:val="center"/>
              <w:rPr>
                <w:rFonts w:ascii="Arial Narrow" w:hAnsi="Arial Narrow"/>
                <w:sz w:val="20"/>
                <w:szCs w:val="20"/>
              </w:rPr>
            </w:pPr>
            <w:r w:rsidRPr="00937AB6">
              <w:rPr>
                <w:rFonts w:ascii="Arial Narrow" w:hAnsi="Arial Narrow"/>
                <w:sz w:val="20"/>
                <w:szCs w:val="20"/>
              </w:rPr>
              <w:t>Range: 1.7 – 3</w:t>
            </w:r>
          </w:p>
          <w:p w14:paraId="5687677F" w14:textId="77777777" w:rsidR="00256BDC" w:rsidRPr="00937AB6" w:rsidRDefault="00256BDC" w:rsidP="00450C66">
            <w:pPr>
              <w:pStyle w:val="Paragraph"/>
              <w:spacing w:before="0" w:after="0"/>
              <w:jc w:val="center"/>
              <w:rPr>
                <w:rFonts w:ascii="Arial Narrow" w:hAnsi="Arial Narrow"/>
                <w:sz w:val="20"/>
                <w:szCs w:val="20"/>
              </w:rPr>
            </w:pPr>
            <w:r w:rsidRPr="00937AB6">
              <w:rPr>
                <w:rFonts w:ascii="Arial Narrow" w:hAnsi="Arial Narrow"/>
                <w:sz w:val="20"/>
                <w:szCs w:val="20"/>
              </w:rPr>
              <w:t>Mean: 2.21</w:t>
            </w:r>
          </w:p>
        </w:tc>
      </w:tr>
    </w:tbl>
    <w:p w14:paraId="7100CA91" w14:textId="77777777" w:rsidR="00256BDC" w:rsidRDefault="00256BDC" w:rsidP="00256BDC">
      <w:pPr>
        <w:pStyle w:val="Paragraph"/>
        <w:ind w:left="1418" w:hanging="851"/>
        <w:rPr>
          <w:rFonts w:ascii="Arial" w:hAnsi="Arial" w:cs="Arial"/>
          <w:i/>
          <w:iCs/>
        </w:rPr>
      </w:pPr>
    </w:p>
    <w:p w14:paraId="46681E4D" w14:textId="77777777" w:rsidR="00256BDC" w:rsidRDefault="00256BDC" w:rsidP="00256BDC">
      <w:pPr>
        <w:pStyle w:val="Paragraph"/>
        <w:ind w:left="1418" w:hanging="851"/>
        <w:rPr>
          <w:rFonts w:ascii="Arial" w:hAnsi="Arial" w:cs="Arial"/>
          <w:i/>
          <w:iCs/>
        </w:rPr>
      </w:pPr>
    </w:p>
    <w:p w14:paraId="235F531B" w14:textId="77777777" w:rsidR="00256BDC" w:rsidRDefault="00256BDC" w:rsidP="00256BDC">
      <w:pPr>
        <w:pStyle w:val="Paragraph"/>
        <w:ind w:left="1418" w:hanging="851"/>
        <w:rPr>
          <w:rFonts w:ascii="Arial" w:hAnsi="Arial" w:cs="Arial"/>
          <w:i/>
          <w:iCs/>
        </w:rPr>
      </w:pPr>
    </w:p>
    <w:p w14:paraId="1B03F233" w14:textId="77777777" w:rsidR="00256BDC" w:rsidRPr="00BC0D9C" w:rsidRDefault="00256BDC" w:rsidP="00256BDC">
      <w:pPr>
        <w:pStyle w:val="Paragraph"/>
        <w:ind w:left="1418" w:hanging="851"/>
        <w:rPr>
          <w:rFonts w:ascii="Arial" w:hAnsi="Arial" w:cs="Arial"/>
          <w:i/>
          <w:iCs/>
        </w:rPr>
      </w:pPr>
      <w:r>
        <w:rPr>
          <w:rFonts w:ascii="Arial" w:hAnsi="Arial" w:cs="Arial"/>
          <w:i/>
          <w:iCs/>
        </w:rPr>
        <w:t>2.3.2</w:t>
      </w:r>
      <w:r w:rsidRPr="00BC0D9C">
        <w:rPr>
          <w:rFonts w:ascii="Arial" w:hAnsi="Arial" w:cs="Arial"/>
          <w:i/>
          <w:iCs/>
        </w:rPr>
        <w:t xml:space="preserve"> </w:t>
      </w:r>
      <w:r w:rsidRPr="00BC0D9C">
        <w:rPr>
          <w:rFonts w:ascii="Arial" w:hAnsi="Arial" w:cs="Arial"/>
          <w:i/>
          <w:iCs/>
        </w:rPr>
        <w:tab/>
        <w:t>Toxicity tests</w:t>
      </w:r>
    </w:p>
    <w:p w14:paraId="016F5BA2" w14:textId="77777777" w:rsidR="00256BDC" w:rsidRPr="003A715F" w:rsidRDefault="00256BDC" w:rsidP="00256BDC">
      <w:pPr>
        <w:pStyle w:val="Paragraph"/>
        <w:spacing w:before="0"/>
      </w:pPr>
      <w:r>
        <w:t>Florigene</w:t>
      </w:r>
      <w:r w:rsidRPr="003A715F">
        <w:t xml:space="preserve"> provided data </w:t>
      </w:r>
      <w:r>
        <w:t xml:space="preserve">(Florigene a, c) </w:t>
      </w:r>
      <w:r w:rsidRPr="003A715F">
        <w:t xml:space="preserve">from </w:t>
      </w:r>
      <w:r>
        <w:t xml:space="preserve">three </w:t>
      </w:r>
      <w:r w:rsidRPr="003A715F">
        <w:t>studies that examined the potential to</w:t>
      </w:r>
      <w:r>
        <w:t>xicity of the four GM carnation lines</w:t>
      </w:r>
      <w:r w:rsidRPr="003A715F">
        <w:t xml:space="preserve">. </w:t>
      </w:r>
    </w:p>
    <w:p w14:paraId="281B05CF" w14:textId="77777777" w:rsidR="00256BDC" w:rsidRPr="00A93024" w:rsidRDefault="00256BDC" w:rsidP="00256BDC">
      <w:pPr>
        <w:pStyle w:val="Paragraph"/>
        <w:numPr>
          <w:ilvl w:val="0"/>
          <w:numId w:val="2"/>
        </w:numPr>
        <w:spacing w:before="0"/>
      </w:pPr>
      <w:r w:rsidRPr="00A93024">
        <w:rPr>
          <w:b/>
          <w:bCs/>
        </w:rPr>
        <w:t>An Ames assay system</w:t>
      </w:r>
      <w:r w:rsidRPr="003A715F">
        <w:t xml:space="preserve"> </w:t>
      </w:r>
      <w:r>
        <w:t xml:space="preserve">(Ames </w:t>
      </w:r>
      <w:r w:rsidRPr="001D7E15">
        <w:rPr>
          <w:i/>
          <w:iCs/>
        </w:rPr>
        <w:t>et al</w:t>
      </w:r>
      <w:r>
        <w:t xml:space="preserve">., 1973) </w:t>
      </w:r>
      <w:r w:rsidRPr="003A715F">
        <w:t xml:space="preserve">using four different strains of </w:t>
      </w:r>
      <w:r w:rsidRPr="003A715F">
        <w:rPr>
          <w:i/>
          <w:iCs/>
        </w:rPr>
        <w:t>Salmonella typhimurium</w:t>
      </w:r>
      <w:r w:rsidRPr="003A715F">
        <w:t xml:space="preserve"> </w:t>
      </w:r>
      <w:r>
        <w:t>to</w:t>
      </w:r>
      <w:r w:rsidRPr="003A715F">
        <w:t xml:space="preserve"> </w:t>
      </w:r>
      <w:r>
        <w:t>evaluate the mutagenic potential of</w:t>
      </w:r>
      <w:r w:rsidRPr="003A715F">
        <w:t xml:space="preserve"> </w:t>
      </w:r>
      <w:r>
        <w:t>leaf extracts from the</w:t>
      </w:r>
      <w:r w:rsidRPr="003A715F">
        <w:t xml:space="preserve"> </w:t>
      </w:r>
      <w:r>
        <w:t xml:space="preserve">four </w:t>
      </w:r>
      <w:r w:rsidRPr="003A715F">
        <w:t xml:space="preserve">GM carnation lines. </w:t>
      </w:r>
      <w:r>
        <w:t>No significant mutagenic effect was detected in any of the lines compared to extracts from</w:t>
      </w:r>
      <w:r w:rsidRPr="00AE05EB">
        <w:t xml:space="preserve"> the non-GM parent carnation.</w:t>
      </w:r>
    </w:p>
    <w:p w14:paraId="2FBA9345" w14:textId="77777777" w:rsidR="00256BDC" w:rsidRDefault="00256BDC" w:rsidP="00256BDC">
      <w:pPr>
        <w:pStyle w:val="Paragraph"/>
        <w:numPr>
          <w:ilvl w:val="0"/>
          <w:numId w:val="2"/>
        </w:numPr>
        <w:spacing w:before="0"/>
      </w:pPr>
      <w:r w:rsidRPr="00A93024">
        <w:rPr>
          <w:b/>
          <w:bCs/>
        </w:rPr>
        <w:t xml:space="preserve">An </w:t>
      </w:r>
      <w:r w:rsidRPr="00A93024">
        <w:rPr>
          <w:b/>
          <w:bCs/>
          <w:i/>
          <w:iCs/>
        </w:rPr>
        <w:t>in vitro</w:t>
      </w:r>
      <w:r w:rsidRPr="00A93024">
        <w:rPr>
          <w:b/>
          <w:bCs/>
        </w:rPr>
        <w:t xml:space="preserve"> cytotoxicity study</w:t>
      </w:r>
      <w:r w:rsidRPr="003A715F">
        <w:t xml:space="preserve"> </w:t>
      </w:r>
      <w:r>
        <w:t xml:space="preserve">(Florigene in-house procedure) </w:t>
      </w:r>
      <w:r w:rsidRPr="003A715F">
        <w:t>examining the effects of leaf extracts, from either the GM carnation lines or the non-GM parent, on the growth of cultured human intestinal cells.</w:t>
      </w:r>
      <w:r>
        <w:t xml:space="preserve"> When compared to those of the non-GM parent, extracts from all four transgenic carnation lines showed no significant differences in effect on cell growth.</w:t>
      </w:r>
    </w:p>
    <w:p w14:paraId="23B07E78" w14:textId="77777777" w:rsidR="00256BDC" w:rsidRPr="001C6DA5" w:rsidRDefault="00256BDC" w:rsidP="00256BDC">
      <w:pPr>
        <w:pStyle w:val="Paragraph"/>
        <w:numPr>
          <w:ilvl w:val="0"/>
          <w:numId w:val="2"/>
        </w:numPr>
        <w:spacing w:before="0"/>
      </w:pPr>
      <w:r w:rsidRPr="00A93024">
        <w:rPr>
          <w:b/>
          <w:bCs/>
        </w:rPr>
        <w:t>A 14-day animal feeding trial</w:t>
      </w:r>
      <w:r w:rsidRPr="003A715F">
        <w:t xml:space="preserve"> </w:t>
      </w:r>
      <w:r>
        <w:t>(based on OECD 2001) considering</w:t>
      </w:r>
      <w:r w:rsidRPr="003A715F">
        <w:t xml:space="preserve"> </w:t>
      </w:r>
      <w:r>
        <w:t xml:space="preserve">post-feeding clinical observations and </w:t>
      </w:r>
      <w:r w:rsidRPr="003A715F">
        <w:t>body weight gain</w:t>
      </w:r>
      <w:r>
        <w:t xml:space="preserve"> in mice (over the 14 days after administration of </w:t>
      </w:r>
      <w:r w:rsidRPr="003A715F">
        <w:t>either GM or non-GM carnation petal extracts</w:t>
      </w:r>
      <w:r>
        <w:t>) and post-mortem</w:t>
      </w:r>
      <w:r w:rsidRPr="003A715F">
        <w:t xml:space="preserve"> </w:t>
      </w:r>
      <w:r>
        <w:t>observation of internal tissues and organs of the animals</w:t>
      </w:r>
      <w:r w:rsidRPr="003A715F">
        <w:t>.</w:t>
      </w:r>
      <w:r>
        <w:t xml:space="preserve"> No apparent abnormalities were observed throughout the experimental period or following autopsy. Additionally, the extracts from the four transgenic carnation lines had no significant effect on the weight gain of mice over a 14 day period compared to extracts from the non-GM parent carnation.</w:t>
      </w:r>
    </w:p>
    <w:p w14:paraId="44F08CDC" w14:textId="77777777" w:rsidR="00256BDC" w:rsidRPr="00BC0D9C" w:rsidRDefault="00256BDC" w:rsidP="00256BDC">
      <w:pPr>
        <w:pStyle w:val="Paragraph"/>
        <w:ind w:left="1418" w:hanging="851"/>
        <w:rPr>
          <w:rFonts w:ascii="Arial" w:hAnsi="Arial" w:cs="Arial"/>
          <w:i/>
          <w:iCs/>
        </w:rPr>
      </w:pPr>
      <w:r>
        <w:rPr>
          <w:rFonts w:ascii="Arial" w:hAnsi="Arial" w:cs="Arial"/>
          <w:i/>
          <w:iCs/>
        </w:rPr>
        <w:t>2.3.3</w:t>
      </w:r>
      <w:r w:rsidRPr="00BC0D9C">
        <w:rPr>
          <w:rFonts w:ascii="Arial" w:hAnsi="Arial" w:cs="Arial"/>
          <w:i/>
          <w:iCs/>
        </w:rPr>
        <w:t xml:space="preserve"> </w:t>
      </w:r>
      <w:r w:rsidRPr="00BC0D9C">
        <w:rPr>
          <w:rFonts w:ascii="Arial" w:hAnsi="Arial" w:cs="Arial"/>
          <w:i/>
          <w:iCs/>
        </w:rPr>
        <w:tab/>
      </w:r>
      <w:r>
        <w:rPr>
          <w:rFonts w:ascii="Arial" w:hAnsi="Arial" w:cs="Arial"/>
          <w:i/>
          <w:iCs/>
        </w:rPr>
        <w:t>Molecular characterisation of two of the GM carnation lines</w:t>
      </w:r>
    </w:p>
    <w:p w14:paraId="5B58AC26" w14:textId="77777777" w:rsidR="00256BDC" w:rsidRDefault="00256BDC" w:rsidP="00256BDC">
      <w:pPr>
        <w:pStyle w:val="Paragraph"/>
        <w:spacing w:before="0"/>
      </w:pPr>
      <w:r>
        <w:t>Florigene provided data (unpublished, b), from</w:t>
      </w:r>
      <w:r w:rsidRPr="003A715F">
        <w:t xml:space="preserve"> two of the GM carnation lines</w:t>
      </w:r>
      <w:r>
        <w:t xml:space="preserve"> (</w:t>
      </w:r>
      <w:r w:rsidRPr="003A715F">
        <w:t>Moonlite™ and</w:t>
      </w:r>
      <w:r>
        <w:t xml:space="preserve"> </w:t>
      </w:r>
      <w:r w:rsidRPr="003A715F">
        <w:t>Moonvista™</w:t>
      </w:r>
      <w:r>
        <w:t xml:space="preserve">), on Northern blot analysis, </w:t>
      </w:r>
      <w:r w:rsidRPr="003A715F">
        <w:t>upda</w:t>
      </w:r>
      <w:r>
        <w:t>ted estimates of copy number of</w:t>
      </w:r>
      <w:r w:rsidRPr="003A715F">
        <w:t xml:space="preserve"> the inserted genes </w:t>
      </w:r>
      <w:r>
        <w:t xml:space="preserve">(from Southern blot analysis) </w:t>
      </w:r>
      <w:r w:rsidRPr="003A715F">
        <w:t xml:space="preserve">and </w:t>
      </w:r>
      <w:r>
        <w:t xml:space="preserve">information on the </w:t>
      </w:r>
      <w:r w:rsidRPr="00DA631C">
        <w:rPr>
          <w:i/>
        </w:rPr>
        <w:t>tetA</w:t>
      </w:r>
      <w:r>
        <w:t xml:space="preserve"> marker gene (that was inserted to select bacteria carrying the vectors in the laboratory).</w:t>
      </w:r>
    </w:p>
    <w:p w14:paraId="73D11640" w14:textId="77777777" w:rsidR="00256BDC" w:rsidRPr="003A715F" w:rsidRDefault="00256BDC" w:rsidP="00256BDC">
      <w:pPr>
        <w:pStyle w:val="Paragraph"/>
        <w:spacing w:before="0"/>
      </w:pPr>
      <w:r>
        <w:t>Florigene</w:t>
      </w:r>
      <w:r w:rsidRPr="003A715F">
        <w:t xml:space="preserve"> used Northern blot analysis to </w:t>
      </w:r>
      <w:r>
        <w:t xml:space="preserve">confirm </w:t>
      </w:r>
      <w:r w:rsidRPr="003A715F">
        <w:t>expr</w:t>
      </w:r>
      <w:r>
        <w:t>ession of the inserted genes in</w:t>
      </w:r>
      <w:r w:rsidRPr="003A715F">
        <w:t xml:space="preserve"> </w:t>
      </w:r>
      <w:r>
        <w:t xml:space="preserve">the two </w:t>
      </w:r>
      <w:r w:rsidRPr="003A715F">
        <w:t>GM carnation lines</w:t>
      </w:r>
      <w:r>
        <w:t xml:space="preserve">, </w:t>
      </w:r>
      <w:r w:rsidRPr="003A715F">
        <w:t xml:space="preserve">Total RNA was extracted from petals from tight flower buds. The </w:t>
      </w:r>
      <w:r w:rsidRPr="003A715F">
        <w:rPr>
          <w:i/>
          <w:iCs/>
        </w:rPr>
        <w:t>SuRB</w:t>
      </w:r>
      <w:r w:rsidRPr="003A715F">
        <w:t xml:space="preserve">, </w:t>
      </w:r>
      <w:r w:rsidRPr="003A715F">
        <w:rPr>
          <w:i/>
          <w:iCs/>
        </w:rPr>
        <w:t>F3’5’H</w:t>
      </w:r>
      <w:r w:rsidRPr="003A715F">
        <w:t xml:space="preserve"> and </w:t>
      </w:r>
      <w:r w:rsidRPr="003A715F">
        <w:rPr>
          <w:i/>
          <w:iCs/>
        </w:rPr>
        <w:t>DFR</w:t>
      </w:r>
      <w:r w:rsidRPr="003A715F">
        <w:t xml:space="preserve"> </w:t>
      </w:r>
      <w:r>
        <w:t xml:space="preserve">genes </w:t>
      </w:r>
      <w:r w:rsidRPr="003A715F">
        <w:t>were expressed in both transgenic lines,</w:t>
      </w:r>
      <w:r>
        <w:t xml:space="preserve"> but not in the non-GM parent. The level</w:t>
      </w:r>
      <w:r w:rsidRPr="003A715F">
        <w:t xml:space="preserve"> </w:t>
      </w:r>
      <w:r>
        <w:t>of gene e</w:t>
      </w:r>
      <w:r w:rsidRPr="003A715F">
        <w:t>xpression w</w:t>
      </w:r>
      <w:r>
        <w:t>as</w:t>
      </w:r>
      <w:r w:rsidRPr="003A715F">
        <w:t xml:space="preserve"> not quantified.</w:t>
      </w:r>
      <w:r>
        <w:t xml:space="preserve"> </w:t>
      </w:r>
    </w:p>
    <w:p w14:paraId="374F9D65" w14:textId="77777777" w:rsidR="00256BDC" w:rsidRPr="003A715F" w:rsidRDefault="00256BDC" w:rsidP="00256BDC">
      <w:pPr>
        <w:pStyle w:val="Paragraph"/>
        <w:spacing w:before="0"/>
      </w:pPr>
      <w:r>
        <w:t xml:space="preserve">Florigene </w:t>
      </w:r>
      <w:r w:rsidRPr="003A715F">
        <w:t xml:space="preserve">used Southern blot analyses to estimate the approximate copy number of the inserted genes </w:t>
      </w:r>
      <w:r>
        <w:t>in</w:t>
      </w:r>
      <w:r w:rsidRPr="003A715F">
        <w:t xml:space="preserve"> </w:t>
      </w:r>
      <w:r>
        <w:t>the two GM</w:t>
      </w:r>
      <w:r w:rsidRPr="003A715F">
        <w:t xml:space="preserve"> line</w:t>
      </w:r>
      <w:r>
        <w:t>s</w:t>
      </w:r>
      <w:r w:rsidRPr="003A715F">
        <w:t xml:space="preserve"> and to determine if any of the transformation </w:t>
      </w:r>
      <w:r>
        <w:t>vector sequences are</w:t>
      </w:r>
      <w:r w:rsidRPr="003A715F">
        <w:t xml:space="preserve"> present in the carnation genome. The gene copy num</w:t>
      </w:r>
      <w:r>
        <w:t>ber results are shown in Table 4</w:t>
      </w:r>
      <w:r w:rsidRPr="003A715F">
        <w:t xml:space="preserve">. A single copy of the </w:t>
      </w:r>
      <w:r w:rsidRPr="003A715F">
        <w:rPr>
          <w:i/>
          <w:iCs/>
        </w:rPr>
        <w:t>SuRB</w:t>
      </w:r>
      <w:r w:rsidRPr="003A715F">
        <w:t xml:space="preserve"> and </w:t>
      </w:r>
      <w:r w:rsidRPr="003A715F">
        <w:rPr>
          <w:i/>
          <w:iCs/>
        </w:rPr>
        <w:t>F3’5’H</w:t>
      </w:r>
      <w:r w:rsidRPr="003A715F">
        <w:t xml:space="preserve"> genes and between </w:t>
      </w:r>
      <w:r w:rsidRPr="000B21F0">
        <w:t>one and two copies</w:t>
      </w:r>
      <w:r w:rsidRPr="003A715F">
        <w:t xml:space="preserve"> of </w:t>
      </w:r>
      <w:r>
        <w:t xml:space="preserve">the </w:t>
      </w:r>
      <w:r w:rsidRPr="003A715F">
        <w:rPr>
          <w:i/>
          <w:iCs/>
        </w:rPr>
        <w:t>DFR</w:t>
      </w:r>
      <w:r w:rsidRPr="003A715F">
        <w:t xml:space="preserve"> </w:t>
      </w:r>
      <w:r>
        <w:t xml:space="preserve">gene </w:t>
      </w:r>
      <w:r w:rsidRPr="003A715F">
        <w:t xml:space="preserve">have been inserted into the Moonlite™ genome. The Moonvista™ genome contains four copies of the </w:t>
      </w:r>
      <w:r w:rsidRPr="003A715F">
        <w:rPr>
          <w:i/>
          <w:iCs/>
        </w:rPr>
        <w:t>SuRB</w:t>
      </w:r>
      <w:r w:rsidRPr="003A715F">
        <w:t xml:space="preserve"> and </w:t>
      </w:r>
      <w:r w:rsidRPr="003A715F">
        <w:rPr>
          <w:i/>
          <w:iCs/>
        </w:rPr>
        <w:t>DFR</w:t>
      </w:r>
      <w:r w:rsidRPr="003A715F">
        <w:t xml:space="preserve"> genes, and seven copies of the </w:t>
      </w:r>
      <w:r w:rsidRPr="003A715F">
        <w:rPr>
          <w:i/>
          <w:iCs/>
        </w:rPr>
        <w:t>F3’5’H</w:t>
      </w:r>
      <w:r w:rsidRPr="003A715F">
        <w:t xml:space="preserve"> gene. </w:t>
      </w:r>
    </w:p>
    <w:p w14:paraId="0456072F" w14:textId="77777777" w:rsidR="00256BDC" w:rsidRPr="00040235" w:rsidRDefault="00256BDC" w:rsidP="00256BDC">
      <w:pPr>
        <w:pStyle w:val="Paragraph"/>
        <w:ind w:left="1134" w:hanging="1134"/>
        <w:rPr>
          <w:rFonts w:ascii="Arial Narrow" w:hAnsi="Arial Narrow"/>
          <w:b/>
          <w:bCs/>
        </w:rPr>
      </w:pPr>
      <w:r w:rsidRPr="00040235">
        <w:rPr>
          <w:rFonts w:ascii="Arial Narrow" w:hAnsi="Arial Narrow"/>
          <w:b/>
          <w:bCs/>
        </w:rPr>
        <w:t>Table 4</w:t>
      </w:r>
      <w:r>
        <w:rPr>
          <w:rFonts w:ascii="Arial Narrow" w:hAnsi="Arial Narrow"/>
          <w:b/>
          <w:bCs/>
        </w:rPr>
        <w:t>.</w:t>
      </w:r>
      <w:r w:rsidRPr="00040235">
        <w:rPr>
          <w:rFonts w:ascii="Arial Narrow" w:hAnsi="Arial Narrow"/>
          <w:b/>
          <w:bCs/>
        </w:rPr>
        <w:tab/>
        <w:t>Approximate copy number of introduced genes, and the right and left borders of the T-DNA</w:t>
      </w:r>
    </w:p>
    <w:tbl>
      <w:tblPr>
        <w:tblStyle w:val="TableGrid"/>
        <w:tblW w:w="0" w:type="auto"/>
        <w:tblInd w:w="0"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Table 4. Approximate copy number of introduced genes, and the right and left borders of the T-DNA"/>
        <w:tblDescription w:val="This table contains 3 columns and 3 rows"/>
      </w:tblPr>
      <w:tblGrid>
        <w:gridCol w:w="2458"/>
        <w:gridCol w:w="1418"/>
        <w:gridCol w:w="1418"/>
        <w:gridCol w:w="1418"/>
        <w:gridCol w:w="1418"/>
        <w:gridCol w:w="1134"/>
      </w:tblGrid>
      <w:tr w:rsidR="00256BDC" w:rsidRPr="00040235" w14:paraId="051E49C0" w14:textId="77777777" w:rsidTr="00256BDC">
        <w:trPr>
          <w:tblHeader/>
        </w:trPr>
        <w:tc>
          <w:tcPr>
            <w:tcW w:w="2458" w:type="dxa"/>
            <w:tcBorders>
              <w:top w:val="single" w:sz="4" w:space="0" w:color="auto"/>
              <w:bottom w:val="nil"/>
            </w:tcBorders>
          </w:tcPr>
          <w:p w14:paraId="735E413B" w14:textId="77777777" w:rsidR="00256BDC" w:rsidRPr="004B191E" w:rsidRDefault="00256BDC" w:rsidP="00450C66">
            <w:pPr>
              <w:pStyle w:val="Paragraph"/>
              <w:rPr>
                <w:rFonts w:ascii="Arial Narrow" w:hAnsi="Arial Narrow"/>
                <w:b/>
                <w:sz w:val="20"/>
                <w:szCs w:val="20"/>
              </w:rPr>
            </w:pPr>
            <w:r w:rsidRPr="004B191E">
              <w:rPr>
                <w:rFonts w:ascii="Arial Narrow" w:hAnsi="Arial Narrow"/>
                <w:b/>
                <w:sz w:val="20"/>
                <w:szCs w:val="20"/>
              </w:rPr>
              <w:t>GM carnation line</w:t>
            </w:r>
          </w:p>
        </w:tc>
        <w:tc>
          <w:tcPr>
            <w:tcW w:w="1418" w:type="dxa"/>
            <w:tcBorders>
              <w:top w:val="single" w:sz="4" w:space="0" w:color="auto"/>
              <w:bottom w:val="nil"/>
            </w:tcBorders>
          </w:tcPr>
          <w:p w14:paraId="01F96641" w14:textId="77777777" w:rsidR="00256BDC" w:rsidRPr="004B191E" w:rsidRDefault="00256BDC" w:rsidP="00450C66">
            <w:pPr>
              <w:pStyle w:val="Paragraph"/>
              <w:jc w:val="center"/>
              <w:rPr>
                <w:rFonts w:ascii="Arial Narrow" w:hAnsi="Arial Narrow"/>
                <w:b/>
                <w:sz w:val="20"/>
                <w:szCs w:val="20"/>
              </w:rPr>
            </w:pPr>
            <w:r w:rsidRPr="004B191E">
              <w:rPr>
                <w:rFonts w:ascii="Arial Narrow" w:hAnsi="Arial Narrow"/>
                <w:b/>
                <w:sz w:val="20"/>
                <w:szCs w:val="20"/>
              </w:rPr>
              <w:t>LB</w:t>
            </w:r>
          </w:p>
        </w:tc>
        <w:tc>
          <w:tcPr>
            <w:tcW w:w="1418" w:type="dxa"/>
            <w:tcBorders>
              <w:top w:val="single" w:sz="4" w:space="0" w:color="auto"/>
              <w:bottom w:val="nil"/>
            </w:tcBorders>
          </w:tcPr>
          <w:p w14:paraId="57D47BCB" w14:textId="77777777" w:rsidR="00256BDC" w:rsidRPr="004B191E" w:rsidRDefault="00256BDC" w:rsidP="00450C66">
            <w:pPr>
              <w:pStyle w:val="Paragraph"/>
              <w:jc w:val="center"/>
              <w:rPr>
                <w:rFonts w:ascii="Arial Narrow" w:hAnsi="Arial Narrow"/>
                <w:b/>
                <w:i/>
                <w:sz w:val="20"/>
                <w:szCs w:val="20"/>
              </w:rPr>
            </w:pPr>
            <w:r w:rsidRPr="004B191E">
              <w:rPr>
                <w:rFonts w:ascii="Arial Narrow" w:hAnsi="Arial Narrow"/>
                <w:b/>
                <w:i/>
                <w:sz w:val="20"/>
                <w:szCs w:val="20"/>
              </w:rPr>
              <w:t>SuRB</w:t>
            </w:r>
          </w:p>
        </w:tc>
        <w:tc>
          <w:tcPr>
            <w:tcW w:w="1418" w:type="dxa"/>
            <w:tcBorders>
              <w:top w:val="single" w:sz="4" w:space="0" w:color="auto"/>
              <w:bottom w:val="nil"/>
            </w:tcBorders>
          </w:tcPr>
          <w:p w14:paraId="0D9DECB9" w14:textId="77777777" w:rsidR="00256BDC" w:rsidRPr="004B191E" w:rsidRDefault="00256BDC" w:rsidP="00450C66">
            <w:pPr>
              <w:pStyle w:val="Paragraph"/>
              <w:jc w:val="center"/>
              <w:rPr>
                <w:rFonts w:ascii="Arial Narrow" w:hAnsi="Arial Narrow"/>
                <w:b/>
                <w:i/>
                <w:sz w:val="20"/>
                <w:szCs w:val="20"/>
              </w:rPr>
            </w:pPr>
            <w:r w:rsidRPr="004B191E">
              <w:rPr>
                <w:rFonts w:ascii="Arial Narrow" w:hAnsi="Arial Narrow"/>
                <w:b/>
                <w:i/>
                <w:sz w:val="20"/>
                <w:szCs w:val="20"/>
              </w:rPr>
              <w:t>F3’5’H</w:t>
            </w:r>
          </w:p>
        </w:tc>
        <w:tc>
          <w:tcPr>
            <w:tcW w:w="1418" w:type="dxa"/>
            <w:tcBorders>
              <w:top w:val="single" w:sz="4" w:space="0" w:color="auto"/>
              <w:bottom w:val="nil"/>
            </w:tcBorders>
          </w:tcPr>
          <w:p w14:paraId="7E8F34BE" w14:textId="77777777" w:rsidR="00256BDC" w:rsidRPr="004B191E" w:rsidRDefault="00256BDC" w:rsidP="00450C66">
            <w:pPr>
              <w:pStyle w:val="Paragraph"/>
              <w:jc w:val="center"/>
              <w:rPr>
                <w:rFonts w:ascii="Arial Narrow" w:hAnsi="Arial Narrow"/>
                <w:b/>
                <w:i/>
                <w:sz w:val="20"/>
                <w:szCs w:val="20"/>
              </w:rPr>
            </w:pPr>
            <w:r w:rsidRPr="004B191E">
              <w:rPr>
                <w:rFonts w:ascii="Arial Narrow" w:hAnsi="Arial Narrow"/>
                <w:b/>
                <w:i/>
                <w:sz w:val="20"/>
                <w:szCs w:val="20"/>
              </w:rPr>
              <w:t>DFR</w:t>
            </w:r>
          </w:p>
        </w:tc>
        <w:tc>
          <w:tcPr>
            <w:tcW w:w="1134" w:type="dxa"/>
            <w:tcBorders>
              <w:top w:val="single" w:sz="4" w:space="0" w:color="auto"/>
              <w:bottom w:val="nil"/>
            </w:tcBorders>
          </w:tcPr>
          <w:p w14:paraId="56E75E6C" w14:textId="77777777" w:rsidR="00256BDC" w:rsidRPr="004B191E" w:rsidRDefault="00256BDC" w:rsidP="00450C66">
            <w:pPr>
              <w:pStyle w:val="Paragraph"/>
              <w:jc w:val="center"/>
              <w:rPr>
                <w:rFonts w:ascii="Arial Narrow" w:hAnsi="Arial Narrow"/>
                <w:b/>
                <w:sz w:val="20"/>
                <w:szCs w:val="20"/>
              </w:rPr>
            </w:pPr>
            <w:r w:rsidRPr="004B191E">
              <w:rPr>
                <w:rFonts w:ascii="Arial Narrow" w:hAnsi="Arial Narrow"/>
                <w:b/>
                <w:sz w:val="20"/>
                <w:szCs w:val="20"/>
              </w:rPr>
              <w:t>RB</w:t>
            </w:r>
          </w:p>
        </w:tc>
      </w:tr>
      <w:tr w:rsidR="00256BDC" w:rsidRPr="00040235" w14:paraId="162A872A" w14:textId="77777777" w:rsidTr="00256BDC">
        <w:trPr>
          <w:tblHeader/>
        </w:trPr>
        <w:tc>
          <w:tcPr>
            <w:tcW w:w="2458" w:type="dxa"/>
            <w:tcBorders>
              <w:top w:val="single" w:sz="4" w:space="0" w:color="auto"/>
              <w:bottom w:val="nil"/>
            </w:tcBorders>
          </w:tcPr>
          <w:p w14:paraId="76000F88" w14:textId="77777777" w:rsidR="00256BDC" w:rsidRPr="004B191E" w:rsidRDefault="00256BDC" w:rsidP="00450C66">
            <w:pPr>
              <w:pStyle w:val="Paragraph"/>
              <w:rPr>
                <w:rFonts w:ascii="Arial Narrow" w:hAnsi="Arial Narrow"/>
                <w:sz w:val="20"/>
                <w:szCs w:val="20"/>
              </w:rPr>
            </w:pPr>
            <w:r w:rsidRPr="004B191E">
              <w:rPr>
                <w:rFonts w:ascii="Arial Narrow" w:hAnsi="Arial Narrow"/>
                <w:sz w:val="20"/>
                <w:szCs w:val="20"/>
              </w:rPr>
              <w:t>Florigene Moonlite™</w:t>
            </w:r>
          </w:p>
        </w:tc>
        <w:tc>
          <w:tcPr>
            <w:tcW w:w="1418" w:type="dxa"/>
            <w:tcBorders>
              <w:top w:val="single" w:sz="4" w:space="0" w:color="auto"/>
              <w:bottom w:val="nil"/>
            </w:tcBorders>
          </w:tcPr>
          <w:p w14:paraId="7B60CADD"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1</w:t>
            </w:r>
          </w:p>
        </w:tc>
        <w:tc>
          <w:tcPr>
            <w:tcW w:w="1418" w:type="dxa"/>
            <w:tcBorders>
              <w:top w:val="single" w:sz="4" w:space="0" w:color="auto"/>
              <w:bottom w:val="nil"/>
            </w:tcBorders>
          </w:tcPr>
          <w:p w14:paraId="4B53873B"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1</w:t>
            </w:r>
          </w:p>
        </w:tc>
        <w:tc>
          <w:tcPr>
            <w:tcW w:w="1418" w:type="dxa"/>
            <w:tcBorders>
              <w:top w:val="single" w:sz="4" w:space="0" w:color="auto"/>
              <w:bottom w:val="nil"/>
            </w:tcBorders>
          </w:tcPr>
          <w:p w14:paraId="5E77C184"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1</w:t>
            </w:r>
          </w:p>
        </w:tc>
        <w:tc>
          <w:tcPr>
            <w:tcW w:w="1418" w:type="dxa"/>
            <w:tcBorders>
              <w:top w:val="single" w:sz="4" w:space="0" w:color="auto"/>
              <w:bottom w:val="nil"/>
            </w:tcBorders>
          </w:tcPr>
          <w:p w14:paraId="3347D20D"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1-2</w:t>
            </w:r>
          </w:p>
        </w:tc>
        <w:tc>
          <w:tcPr>
            <w:tcW w:w="1134" w:type="dxa"/>
            <w:tcBorders>
              <w:top w:val="single" w:sz="4" w:space="0" w:color="auto"/>
              <w:bottom w:val="nil"/>
            </w:tcBorders>
          </w:tcPr>
          <w:p w14:paraId="6552022E"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3</w:t>
            </w:r>
          </w:p>
        </w:tc>
      </w:tr>
      <w:tr w:rsidR="00256BDC" w:rsidRPr="00040235" w14:paraId="2B9FFFB5" w14:textId="77777777" w:rsidTr="00256BDC">
        <w:trPr>
          <w:tblHeader/>
        </w:trPr>
        <w:tc>
          <w:tcPr>
            <w:tcW w:w="2458" w:type="dxa"/>
            <w:tcBorders>
              <w:top w:val="nil"/>
              <w:bottom w:val="single" w:sz="4" w:space="0" w:color="auto"/>
            </w:tcBorders>
          </w:tcPr>
          <w:p w14:paraId="789011AC" w14:textId="77777777" w:rsidR="00256BDC" w:rsidRPr="004B191E" w:rsidRDefault="00256BDC" w:rsidP="00450C66">
            <w:pPr>
              <w:pStyle w:val="Paragraph"/>
              <w:rPr>
                <w:rFonts w:ascii="Arial Narrow" w:hAnsi="Arial Narrow"/>
                <w:sz w:val="20"/>
                <w:szCs w:val="20"/>
              </w:rPr>
            </w:pPr>
            <w:r w:rsidRPr="004B191E">
              <w:rPr>
                <w:rFonts w:ascii="Arial Narrow" w:hAnsi="Arial Narrow"/>
                <w:sz w:val="20"/>
                <w:szCs w:val="20"/>
              </w:rPr>
              <w:t>Florigene Moonvista™</w:t>
            </w:r>
          </w:p>
        </w:tc>
        <w:tc>
          <w:tcPr>
            <w:tcW w:w="1418" w:type="dxa"/>
            <w:tcBorders>
              <w:top w:val="nil"/>
              <w:bottom w:val="single" w:sz="4" w:space="0" w:color="auto"/>
            </w:tcBorders>
          </w:tcPr>
          <w:p w14:paraId="4A02F543"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4</w:t>
            </w:r>
          </w:p>
        </w:tc>
        <w:tc>
          <w:tcPr>
            <w:tcW w:w="1418" w:type="dxa"/>
            <w:tcBorders>
              <w:top w:val="nil"/>
              <w:bottom w:val="single" w:sz="4" w:space="0" w:color="auto"/>
            </w:tcBorders>
          </w:tcPr>
          <w:p w14:paraId="6E87D5E4"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4</w:t>
            </w:r>
          </w:p>
        </w:tc>
        <w:tc>
          <w:tcPr>
            <w:tcW w:w="1418" w:type="dxa"/>
            <w:tcBorders>
              <w:top w:val="nil"/>
              <w:bottom w:val="single" w:sz="4" w:space="0" w:color="auto"/>
            </w:tcBorders>
          </w:tcPr>
          <w:p w14:paraId="6C2581C3"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7</w:t>
            </w:r>
          </w:p>
        </w:tc>
        <w:tc>
          <w:tcPr>
            <w:tcW w:w="1418" w:type="dxa"/>
            <w:tcBorders>
              <w:top w:val="nil"/>
              <w:bottom w:val="single" w:sz="4" w:space="0" w:color="auto"/>
            </w:tcBorders>
          </w:tcPr>
          <w:p w14:paraId="75F01271"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4</w:t>
            </w:r>
          </w:p>
        </w:tc>
        <w:tc>
          <w:tcPr>
            <w:tcW w:w="1134" w:type="dxa"/>
            <w:tcBorders>
              <w:top w:val="nil"/>
              <w:bottom w:val="single" w:sz="4" w:space="0" w:color="auto"/>
            </w:tcBorders>
          </w:tcPr>
          <w:p w14:paraId="16007BF4" w14:textId="77777777" w:rsidR="00256BDC" w:rsidRPr="004B191E" w:rsidRDefault="00256BDC" w:rsidP="00450C66">
            <w:pPr>
              <w:pStyle w:val="Paragraph"/>
              <w:jc w:val="center"/>
              <w:rPr>
                <w:rFonts w:ascii="Arial Narrow" w:hAnsi="Arial Narrow"/>
                <w:sz w:val="20"/>
                <w:szCs w:val="20"/>
              </w:rPr>
            </w:pPr>
            <w:r w:rsidRPr="004B191E">
              <w:rPr>
                <w:rFonts w:ascii="Arial Narrow" w:hAnsi="Arial Narrow"/>
                <w:sz w:val="20"/>
                <w:szCs w:val="20"/>
              </w:rPr>
              <w:t>9</w:t>
            </w:r>
          </w:p>
        </w:tc>
      </w:tr>
    </w:tbl>
    <w:p w14:paraId="342181D8" w14:textId="77777777" w:rsidR="00256BDC" w:rsidRPr="00756D0A" w:rsidRDefault="00256BDC" w:rsidP="00256BDC">
      <w:pPr>
        <w:pStyle w:val="Paragraph"/>
        <w:rPr>
          <w:rFonts w:ascii="Arial Narrow" w:hAnsi="Arial Narrow"/>
          <w:sz w:val="20"/>
          <w:szCs w:val="20"/>
        </w:rPr>
      </w:pPr>
      <w:r w:rsidRPr="004B191E">
        <w:rPr>
          <w:rFonts w:ascii="Arial Narrow" w:hAnsi="Arial Narrow"/>
          <w:sz w:val="20"/>
          <w:szCs w:val="20"/>
        </w:rPr>
        <w:t>Key: LB = left border, RB = right border</w:t>
      </w:r>
    </w:p>
    <w:p w14:paraId="047F1310" w14:textId="77777777" w:rsidR="00256BDC" w:rsidRDefault="00256BDC" w:rsidP="00256BDC">
      <w:pPr>
        <w:pStyle w:val="Paragraph"/>
      </w:pPr>
      <w:r>
        <w:t xml:space="preserve">The new estimate of copy number of the introduced genes in Moonvista™ is considerably higher than that given in the RARMP prepared for DIR 030/2002. The difference can be explained by the improved quality of the autoradiographs used in calculating copy number from the most recent set of Southern hybridisations. </w:t>
      </w:r>
    </w:p>
    <w:p w14:paraId="1A0B0D41" w14:textId="77777777" w:rsidR="00256BDC" w:rsidRDefault="00256BDC" w:rsidP="00256BDC">
      <w:pPr>
        <w:pStyle w:val="Paragraph"/>
        <w:spacing w:before="0" w:after="0"/>
      </w:pPr>
      <w:r w:rsidRPr="002A42BC">
        <w:t xml:space="preserve">In deriving the data on copy number, </w:t>
      </w:r>
      <w:r>
        <w:t xml:space="preserve">Florigene </w:t>
      </w:r>
      <w:r w:rsidRPr="002A42BC">
        <w:t>assumed</w:t>
      </w:r>
      <w:r>
        <w:t>,</w:t>
      </w:r>
      <w:r w:rsidRPr="002A42BC">
        <w:t xml:space="preserve"> </w:t>
      </w:r>
      <w:r>
        <w:t xml:space="preserve">from its interpretation of Southern data generated during the study, </w:t>
      </w:r>
      <w:r w:rsidRPr="002A42BC">
        <w:t>that the two GM lines are periclinal chimeras in which the transgenes occur only in the L1 layer of tissue</w:t>
      </w:r>
      <w:r>
        <w:t xml:space="preserve">. </w:t>
      </w:r>
      <w:r w:rsidRPr="002A42BC">
        <w:t xml:space="preserve">The inference from this is that, because cells in this lineage do not contribute to the production of germ cells, it is unlikely that any </w:t>
      </w:r>
      <w:r>
        <w:t>pollen produced by the lines would</w:t>
      </w:r>
      <w:r w:rsidRPr="002A42BC">
        <w:t xml:space="preserve"> contain transgenic material; this would reduce the likelihood of gene flow. </w:t>
      </w:r>
      <w:r>
        <w:t xml:space="preserve">This was also noted by the Advisory Committee on Releases to the Environment (ACRE 2005) in advice provided to agencies within the United Kingdom following an application by Florigene to have Moonlite™ cut flowers placed on the European market (SNIF 2004).  </w:t>
      </w:r>
    </w:p>
    <w:p w14:paraId="3508322F" w14:textId="77777777" w:rsidR="00256BDC" w:rsidRDefault="00256BDC" w:rsidP="00256BDC">
      <w:pPr>
        <w:pStyle w:val="HTMLPreformatted"/>
        <w:spacing w:before="120" w:after="120"/>
        <w:rPr>
          <w:rFonts w:ascii="Times New Roman" w:hAnsi="Times New Roman" w:cs="Times New Roman"/>
          <w:sz w:val="24"/>
          <w:szCs w:val="24"/>
        </w:rPr>
      </w:pPr>
      <w:r w:rsidRPr="001C6DA5">
        <w:rPr>
          <w:rFonts w:ascii="Times New Roman" w:hAnsi="Times New Roman" w:cs="Times New Roman"/>
          <w:sz w:val="24"/>
          <w:szCs w:val="24"/>
        </w:rPr>
        <w:t>Data submitted as part of the consideration of the DIR 030/2002 application, indicated that there had been some extra-border integration from the binary vector into Moonlite™ and Moonshade™; this may have included tetracycline A resistance (</w:t>
      </w:r>
      <w:r w:rsidRPr="001C6DA5">
        <w:rPr>
          <w:rFonts w:ascii="Times New Roman" w:hAnsi="Times New Roman" w:cs="Times New Roman"/>
          <w:i/>
          <w:iCs/>
          <w:sz w:val="24"/>
          <w:szCs w:val="24"/>
        </w:rPr>
        <w:t>tetA)</w:t>
      </w:r>
      <w:r w:rsidRPr="001C6DA5">
        <w:rPr>
          <w:rFonts w:ascii="Times New Roman" w:hAnsi="Times New Roman" w:cs="Times New Roman"/>
          <w:sz w:val="24"/>
          <w:szCs w:val="24"/>
        </w:rPr>
        <w:t xml:space="preserve"> sequences. The </w:t>
      </w:r>
      <w:r w:rsidRPr="001C6DA5">
        <w:rPr>
          <w:rFonts w:ascii="Times New Roman" w:hAnsi="Times New Roman" w:cs="Times New Roman"/>
          <w:i/>
          <w:iCs/>
          <w:sz w:val="24"/>
          <w:szCs w:val="24"/>
        </w:rPr>
        <w:t>tetA</w:t>
      </w:r>
      <w:r w:rsidRPr="001C6DA5">
        <w:rPr>
          <w:rFonts w:ascii="Times New Roman" w:hAnsi="Times New Roman" w:cs="Times New Roman"/>
          <w:sz w:val="24"/>
          <w:szCs w:val="24"/>
        </w:rPr>
        <w:t xml:space="preserve"> gene is present on the backbone of the binary vectors used for transformation and is used to select for bacteria carrying the vectors. The new data supplied by Florigene from PCR-based studies showed that an intact </w:t>
      </w:r>
      <w:r w:rsidRPr="001C6DA5">
        <w:rPr>
          <w:rFonts w:ascii="Times New Roman" w:hAnsi="Times New Roman" w:cs="Times New Roman"/>
          <w:i/>
          <w:iCs/>
          <w:sz w:val="24"/>
          <w:szCs w:val="24"/>
        </w:rPr>
        <w:t>tetA</w:t>
      </w:r>
      <w:r w:rsidRPr="001C6DA5">
        <w:rPr>
          <w:rFonts w:ascii="Times New Roman" w:hAnsi="Times New Roman" w:cs="Times New Roman"/>
          <w:sz w:val="24"/>
          <w:szCs w:val="24"/>
        </w:rPr>
        <w:t xml:space="preserve"> gene is not present in either Moonlite™ or Moonvista™.  The inference (see e.g. Yamaguchi </w:t>
      </w:r>
      <w:r w:rsidRPr="001C6DA5">
        <w:rPr>
          <w:rFonts w:ascii="Times New Roman" w:hAnsi="Times New Roman" w:cs="Times New Roman"/>
          <w:i/>
          <w:iCs/>
          <w:sz w:val="24"/>
          <w:szCs w:val="24"/>
        </w:rPr>
        <w:t>et al</w:t>
      </w:r>
      <w:r w:rsidRPr="001C6DA5">
        <w:rPr>
          <w:rFonts w:ascii="Times New Roman" w:hAnsi="Times New Roman" w:cs="Times New Roman"/>
          <w:sz w:val="24"/>
          <w:szCs w:val="24"/>
        </w:rPr>
        <w:t xml:space="preserve">, 1983) is that lack of an intact gene prevents any expression of </w:t>
      </w:r>
      <w:r w:rsidRPr="001C6DA5">
        <w:rPr>
          <w:rFonts w:ascii="Times New Roman" w:hAnsi="Times New Roman" w:cs="Times New Roman"/>
          <w:i/>
          <w:iCs/>
          <w:sz w:val="24"/>
          <w:szCs w:val="24"/>
        </w:rPr>
        <w:t>tetA.</w:t>
      </w:r>
      <w:r w:rsidRPr="001C6DA5" w:rsidDel="00B65A72">
        <w:rPr>
          <w:rFonts w:ascii="Times New Roman" w:hAnsi="Times New Roman" w:cs="Times New Roman"/>
          <w:sz w:val="24"/>
          <w:szCs w:val="24"/>
        </w:rPr>
        <w:t xml:space="preserve"> </w:t>
      </w:r>
    </w:p>
    <w:p w14:paraId="1679F810" w14:textId="77777777" w:rsidR="00256BDC" w:rsidRPr="001C6DA5" w:rsidRDefault="00256BDC" w:rsidP="00256BDC">
      <w:pPr>
        <w:pStyle w:val="HTMLPreformatted"/>
        <w:spacing w:before="120" w:after="120"/>
        <w:rPr>
          <w:rFonts w:ascii="Times New Roman" w:hAnsi="Times New Roman" w:cs="Times New Roman"/>
          <w:sz w:val="24"/>
          <w:szCs w:val="24"/>
        </w:rPr>
      </w:pPr>
      <w:r w:rsidRPr="001C6DA5">
        <w:rPr>
          <w:rFonts w:ascii="Times New Roman" w:hAnsi="Times New Roman" w:cs="Times New Roman"/>
          <w:sz w:val="24"/>
          <w:szCs w:val="24"/>
        </w:rPr>
        <w:t xml:space="preserve">It should be noted that the original RARMP </w:t>
      </w:r>
      <w:r>
        <w:rPr>
          <w:rFonts w:ascii="Times New Roman" w:hAnsi="Times New Roman" w:cs="Times New Roman"/>
          <w:sz w:val="24"/>
          <w:szCs w:val="24"/>
        </w:rPr>
        <w:t xml:space="preserve">prepared </w:t>
      </w:r>
      <w:r w:rsidRPr="001C6DA5">
        <w:rPr>
          <w:rFonts w:ascii="Times New Roman" w:hAnsi="Times New Roman" w:cs="Times New Roman"/>
          <w:sz w:val="24"/>
          <w:szCs w:val="24"/>
        </w:rPr>
        <w:t xml:space="preserve">for DIR 030/2002 included an assessment of the risks that may be involved should an entire plasmid vector backbone (i.e. including an intact </w:t>
      </w:r>
      <w:r w:rsidRPr="001C6DA5">
        <w:rPr>
          <w:rFonts w:ascii="Times New Roman" w:hAnsi="Times New Roman" w:cs="Times New Roman"/>
          <w:i/>
          <w:iCs/>
          <w:sz w:val="24"/>
          <w:szCs w:val="24"/>
        </w:rPr>
        <w:t>tetA</w:t>
      </w:r>
      <w:r w:rsidRPr="001C6DA5">
        <w:rPr>
          <w:rFonts w:ascii="Times New Roman" w:hAnsi="Times New Roman" w:cs="Times New Roman"/>
          <w:sz w:val="24"/>
          <w:szCs w:val="24"/>
        </w:rPr>
        <w:t xml:space="preserve"> sequence) be present in the GM carnation lines and that this risk was considered not to be any greater than that associated with </w:t>
      </w:r>
      <w:r w:rsidRPr="001C6DA5">
        <w:rPr>
          <w:rFonts w:ascii="Times New Roman" w:hAnsi="Times New Roman" w:cs="Times New Roman"/>
          <w:i/>
          <w:iCs/>
          <w:sz w:val="24"/>
          <w:szCs w:val="24"/>
        </w:rPr>
        <w:t>tetA</w:t>
      </w:r>
      <w:r w:rsidRPr="001C6DA5">
        <w:rPr>
          <w:rFonts w:ascii="Times New Roman" w:hAnsi="Times New Roman" w:cs="Times New Roman"/>
          <w:sz w:val="24"/>
          <w:szCs w:val="24"/>
        </w:rPr>
        <w:t xml:space="preserve"> genes already present in the environment. Assessment of Florigene data on the </w:t>
      </w:r>
      <w:r w:rsidRPr="001C6DA5">
        <w:rPr>
          <w:rFonts w:ascii="Times New Roman" w:hAnsi="Times New Roman" w:cs="Times New Roman"/>
          <w:i/>
          <w:iCs/>
          <w:sz w:val="24"/>
          <w:szCs w:val="24"/>
        </w:rPr>
        <w:t>tetA</w:t>
      </w:r>
      <w:r w:rsidRPr="001C6DA5">
        <w:rPr>
          <w:rFonts w:ascii="Times New Roman" w:hAnsi="Times New Roman" w:cs="Times New Roman"/>
          <w:sz w:val="24"/>
          <w:szCs w:val="24"/>
        </w:rPr>
        <w:t xml:space="preserve"> sequence by European agencies (Netherlands Competent Authority 2005; European Food Safety Authority (EFSA) 2006), in response to an application to have Moonlite™ cut flowers placed on the European market (SNIF 2004), is in agreement with the conclusions reached </w:t>
      </w:r>
      <w:r>
        <w:rPr>
          <w:rFonts w:ascii="Times New Roman" w:hAnsi="Times New Roman" w:cs="Times New Roman"/>
          <w:sz w:val="24"/>
          <w:szCs w:val="24"/>
        </w:rPr>
        <w:t>in the RARMP for DIR 030/2002.</w:t>
      </w:r>
    </w:p>
    <w:p w14:paraId="602E401F" w14:textId="77777777" w:rsidR="00256BDC" w:rsidRPr="001C6DA5" w:rsidRDefault="00256BDC" w:rsidP="00256BDC">
      <w:pPr>
        <w:pStyle w:val="Paragraph"/>
        <w:keepNext/>
        <w:ind w:left="1134" w:hanging="708"/>
        <w:rPr>
          <w:rFonts w:ascii="Arial" w:hAnsi="Arial" w:cs="Arial"/>
          <w:b/>
          <w:bCs/>
        </w:rPr>
      </w:pPr>
      <w:r>
        <w:rPr>
          <w:rFonts w:ascii="Arial" w:hAnsi="Arial" w:cs="Arial"/>
          <w:b/>
          <w:bCs/>
        </w:rPr>
        <w:t>2.4</w:t>
      </w:r>
      <w:r>
        <w:rPr>
          <w:rFonts w:ascii="Arial" w:hAnsi="Arial" w:cs="Arial"/>
          <w:b/>
          <w:bCs/>
        </w:rPr>
        <w:tab/>
        <w:t xml:space="preserve">Submissions received through </w:t>
      </w:r>
      <w:r w:rsidRPr="001C6DA5">
        <w:rPr>
          <w:rFonts w:ascii="Arial" w:hAnsi="Arial" w:cs="Arial"/>
          <w:b/>
          <w:bCs/>
        </w:rPr>
        <w:t>consultation</w:t>
      </w:r>
    </w:p>
    <w:p w14:paraId="695EDBF2" w14:textId="77777777" w:rsidR="00256BDC" w:rsidRDefault="00256BDC" w:rsidP="00256BDC">
      <w:pPr>
        <w:pStyle w:val="Paragraph"/>
        <w:keepNext/>
        <w:rPr>
          <w:rFonts w:ascii="Times New (W1)" w:hAnsi="Times New (W1)"/>
        </w:rPr>
      </w:pPr>
      <w:r w:rsidRPr="00F5760C">
        <w:rPr>
          <w:rFonts w:ascii="Times New (W1)" w:hAnsi="Times New (W1)"/>
        </w:rPr>
        <w:t xml:space="preserve">The </w:t>
      </w:r>
      <w:r w:rsidRPr="003010E6">
        <w:rPr>
          <w:rFonts w:ascii="Times New (W1)" w:hAnsi="Times New (W1)"/>
          <w:i/>
        </w:rPr>
        <w:t>Gene Technology Act</w:t>
      </w:r>
      <w:r w:rsidRPr="00F5760C">
        <w:rPr>
          <w:rFonts w:ascii="Times New (W1)" w:hAnsi="Times New (W1)"/>
        </w:rPr>
        <w:t xml:space="preserve"> </w:t>
      </w:r>
      <w:r w:rsidRPr="008005E0">
        <w:rPr>
          <w:rFonts w:ascii="Times New (W1)" w:hAnsi="Times New (W1)"/>
          <w:i/>
        </w:rPr>
        <w:t>2000</w:t>
      </w:r>
      <w:r>
        <w:rPr>
          <w:rFonts w:ascii="Times New (W1)" w:hAnsi="Times New (W1)"/>
        </w:rPr>
        <w:t xml:space="preserve"> does not require</w:t>
      </w:r>
      <w:r w:rsidRPr="00F5760C">
        <w:rPr>
          <w:rFonts w:ascii="Times New (W1)" w:hAnsi="Times New (W1)"/>
        </w:rPr>
        <w:t xml:space="preserve"> any consultation </w:t>
      </w:r>
      <w:r>
        <w:rPr>
          <w:rFonts w:ascii="Times New (W1)" w:hAnsi="Times New (W1)"/>
        </w:rPr>
        <w:t xml:space="preserve">to be conducted </w:t>
      </w:r>
      <w:r w:rsidRPr="00F5760C">
        <w:rPr>
          <w:rFonts w:ascii="Times New (W1)" w:hAnsi="Times New (W1)"/>
        </w:rPr>
        <w:t>on applications to include dealings with GMO</w:t>
      </w:r>
      <w:r>
        <w:rPr>
          <w:rFonts w:ascii="Times New (W1)" w:hAnsi="Times New (W1)"/>
        </w:rPr>
        <w:t>s</w:t>
      </w:r>
      <w:r w:rsidRPr="00F5760C">
        <w:rPr>
          <w:rFonts w:ascii="Times New (W1)" w:hAnsi="Times New (W1)"/>
        </w:rPr>
        <w:t xml:space="preserve"> </w:t>
      </w:r>
      <w:r>
        <w:rPr>
          <w:rFonts w:ascii="Times New (W1)" w:hAnsi="Times New (W1)"/>
        </w:rPr>
        <w:t>o</w:t>
      </w:r>
      <w:r w:rsidRPr="00F5760C">
        <w:rPr>
          <w:rFonts w:ascii="Times New (W1)" w:hAnsi="Times New (W1)"/>
        </w:rPr>
        <w:t xml:space="preserve">n the GMO Register. However, </w:t>
      </w:r>
      <w:r>
        <w:rPr>
          <w:rFonts w:ascii="Times New (W1)" w:hAnsi="Times New (W1)"/>
        </w:rPr>
        <w:t xml:space="preserve">a determination to include dealings on the GMO Register is </w:t>
      </w:r>
      <w:r>
        <w:t>considered to be a legislative instrument that is</w:t>
      </w:r>
      <w:r w:rsidRPr="00F5760C">
        <w:t xml:space="preserve"> registered on the </w:t>
      </w:r>
      <w:r>
        <w:t>Federal Register of Legislative Instruments (</w:t>
      </w:r>
      <w:r w:rsidRPr="00F5760C">
        <w:t>FRLI</w:t>
      </w:r>
      <w:r>
        <w:t>)</w:t>
      </w:r>
      <w:r w:rsidRPr="00F5760C">
        <w:t xml:space="preserve"> and tabled in both Houses of Parliamen</w:t>
      </w:r>
      <w:r>
        <w:t>t; u</w:t>
      </w:r>
      <w:r w:rsidRPr="00F5760C">
        <w:t xml:space="preserve">nder the </w:t>
      </w:r>
      <w:r w:rsidRPr="00F5760C">
        <w:rPr>
          <w:i/>
        </w:rPr>
        <w:t>Legislative Instruments Act (2003),</w:t>
      </w:r>
      <w:r w:rsidRPr="00F5760C">
        <w:t xml:space="preserve"> </w:t>
      </w:r>
      <w:r>
        <w:t xml:space="preserve">there is a requirement for </w:t>
      </w:r>
      <w:r>
        <w:rPr>
          <w:rFonts w:ascii="Times New (W1)" w:hAnsi="Times New (W1)"/>
        </w:rPr>
        <w:t>agencies to consult before making a legislative instrument, if it is appropriate and reasonably practical.</w:t>
      </w:r>
    </w:p>
    <w:p w14:paraId="7728C853" w14:textId="77777777" w:rsidR="00256BDC" w:rsidRDefault="00256BDC" w:rsidP="00256BDC">
      <w:pPr>
        <w:pStyle w:val="BodyText3"/>
        <w:spacing w:before="120" w:after="120"/>
        <w:rPr>
          <w:rFonts w:ascii="Times New (W1)" w:hAnsi="Times New (W1)"/>
          <w:b w:val="0"/>
        </w:rPr>
      </w:pPr>
      <w:r w:rsidRPr="000A7256">
        <w:rPr>
          <w:b w:val="0"/>
          <w:bCs w:val="0"/>
        </w:rPr>
        <w:t>Consultation</w:t>
      </w:r>
      <w:r>
        <w:rPr>
          <w:b w:val="0"/>
          <w:bCs w:val="0"/>
        </w:rPr>
        <w:t xml:space="preserve"> was undertaken for an 8-week period commencing in August 2005</w:t>
      </w:r>
      <w:r w:rsidRPr="000A7256">
        <w:rPr>
          <w:b w:val="0"/>
          <w:bCs w:val="0"/>
        </w:rPr>
        <w:t xml:space="preserve"> with </w:t>
      </w:r>
      <w:r>
        <w:rPr>
          <w:b w:val="0"/>
          <w:bCs w:val="0"/>
        </w:rPr>
        <w:t>relevant Australian Government agencies</w:t>
      </w:r>
      <w:r w:rsidRPr="000A7256">
        <w:rPr>
          <w:b w:val="0"/>
          <w:bCs w:val="0"/>
        </w:rPr>
        <w:t>, State and Territory governments and the Gene Technology Techn</w:t>
      </w:r>
      <w:r>
        <w:rPr>
          <w:b w:val="0"/>
          <w:bCs w:val="0"/>
        </w:rPr>
        <w:t>ical Advisory Committee. The public was</w:t>
      </w:r>
      <w:r w:rsidRPr="000A7256">
        <w:rPr>
          <w:b w:val="0"/>
          <w:bCs w:val="0"/>
        </w:rPr>
        <w:t xml:space="preserve"> also invited to provide comment via a notice published on the OGTR website and in leading </w:t>
      </w:r>
      <w:r>
        <w:rPr>
          <w:b w:val="0"/>
          <w:bCs w:val="0"/>
        </w:rPr>
        <w:t xml:space="preserve">national, state and territory </w:t>
      </w:r>
      <w:r w:rsidRPr="000A7256">
        <w:rPr>
          <w:b w:val="0"/>
          <w:bCs w:val="0"/>
        </w:rPr>
        <w:t>newspapers</w:t>
      </w:r>
      <w:r>
        <w:rPr>
          <w:rFonts w:ascii="Times New (W1)" w:hAnsi="Times New (W1)"/>
          <w:b w:val="0"/>
        </w:rPr>
        <w:t xml:space="preserve"> (see OGTR 2006b)</w:t>
      </w:r>
      <w:r w:rsidRPr="005E3253">
        <w:rPr>
          <w:rFonts w:ascii="Times New (W1)" w:hAnsi="Times New (W1)"/>
          <w:b w:val="0"/>
        </w:rPr>
        <w:t>.</w:t>
      </w:r>
      <w:r>
        <w:rPr>
          <w:rFonts w:ascii="Times New (W1)" w:hAnsi="Times New (W1)"/>
          <w:b w:val="0"/>
        </w:rPr>
        <w:t xml:space="preserve"> The consultation process particularly sought advice on any evidence of adverse effects associated with the licensed commercial release of the GM carnation lines.</w:t>
      </w:r>
    </w:p>
    <w:p w14:paraId="729A0A31" w14:textId="77777777" w:rsidR="00256BDC" w:rsidRDefault="00256BDC" w:rsidP="00256BDC">
      <w:pPr>
        <w:pStyle w:val="Paragraph"/>
        <w:keepNext/>
      </w:pPr>
      <w:r>
        <w:t xml:space="preserve">All submissions </w:t>
      </w:r>
      <w:r w:rsidRPr="00C90E5E">
        <w:t xml:space="preserve">were considered in the context of </w:t>
      </w:r>
      <w:r w:rsidRPr="00F10630">
        <w:t xml:space="preserve">currently available scientific evidence that was </w:t>
      </w:r>
      <w:r>
        <w:t>used in the preparation of the Risk A</w:t>
      </w:r>
      <w:r w:rsidRPr="00F10630">
        <w:t>ssessment</w:t>
      </w:r>
      <w:r>
        <w:t xml:space="preserve"> (see Appendices A &amp; B)</w:t>
      </w:r>
      <w:r w:rsidRPr="00F10630">
        <w:t xml:space="preserve">. No risks </w:t>
      </w:r>
      <w:r>
        <w:t>to</w:t>
      </w:r>
      <w:r w:rsidRPr="00C90E5E">
        <w:t xml:space="preserve"> human health and safety </w:t>
      </w:r>
      <w:r>
        <w:t>or</w:t>
      </w:r>
      <w:r w:rsidRPr="00C90E5E">
        <w:t xml:space="preserve"> the environment</w:t>
      </w:r>
      <w:r>
        <w:t xml:space="preserve"> </w:t>
      </w:r>
      <w:r w:rsidRPr="00F10630">
        <w:t>were identified as requiring further assessment</w:t>
      </w:r>
      <w:r>
        <w:t xml:space="preserve">. </w:t>
      </w:r>
    </w:p>
    <w:p w14:paraId="1A85E553" w14:textId="77777777" w:rsidR="00256BDC" w:rsidRPr="00BF11B0" w:rsidRDefault="00256BDC" w:rsidP="00256BDC">
      <w:pPr>
        <w:pStyle w:val="Paragraph"/>
        <w:keepNext/>
      </w:pPr>
      <w:r>
        <w:t xml:space="preserve">All of the experts, agencies and authorities and three of the six submissions from the public supported the inclusion of the dealings on the GMO Register. Two of the public </w:t>
      </w:r>
      <w:r w:rsidRPr="00C90E5E">
        <w:t>submissio</w:t>
      </w:r>
      <w:r>
        <w:t xml:space="preserve">ns raised issues outside the scope of assessments under the Act. </w:t>
      </w:r>
    </w:p>
    <w:p w14:paraId="1DBB6DCE" w14:textId="77777777" w:rsidR="00256BDC" w:rsidRPr="001C6DA5" w:rsidRDefault="00256BDC" w:rsidP="00256BDC">
      <w:pPr>
        <w:pStyle w:val="PARA"/>
        <w:numPr>
          <w:ilvl w:val="0"/>
          <w:numId w:val="0"/>
        </w:numPr>
        <w:tabs>
          <w:tab w:val="clear" w:pos="567"/>
        </w:tabs>
        <w:ind w:left="1134" w:hanging="708"/>
        <w:rPr>
          <w:rFonts w:ascii="Arial" w:hAnsi="Arial" w:cs="Arial"/>
          <w:b/>
          <w:bCs/>
        </w:rPr>
      </w:pPr>
      <w:r>
        <w:rPr>
          <w:rFonts w:ascii="Arial" w:hAnsi="Arial" w:cs="Arial"/>
          <w:b/>
          <w:bCs/>
        </w:rPr>
        <w:t>2.5</w:t>
      </w:r>
      <w:r>
        <w:rPr>
          <w:rFonts w:ascii="Arial" w:hAnsi="Arial" w:cs="Arial"/>
          <w:b/>
          <w:bCs/>
        </w:rPr>
        <w:tab/>
        <w:t>Other information as to risks associated with the dealings</w:t>
      </w:r>
    </w:p>
    <w:p w14:paraId="3A704AB5" w14:textId="77777777" w:rsidR="00256BDC" w:rsidRDefault="00256BDC" w:rsidP="00256BDC">
      <w:pPr>
        <w:pStyle w:val="PARA"/>
        <w:numPr>
          <w:ilvl w:val="0"/>
          <w:numId w:val="0"/>
        </w:numPr>
      </w:pPr>
      <w:r>
        <w:t>An updated search of the scientific literature was undertaken</w:t>
      </w:r>
      <w:r>
        <w:rPr>
          <w:rStyle w:val="FootnoteReference"/>
        </w:rPr>
        <w:footnoteReference w:id="1"/>
      </w:r>
      <w:r>
        <w:t xml:space="preserve"> to ascertain whether any information had become available, relating to the potential risks of dealings with the GM carnations to human health and safety and the environment, particularly with regard to toxicity, allergenicity and weediness. No new information that was relevant to the dealings was found.</w:t>
      </w:r>
    </w:p>
    <w:p w14:paraId="00EED78D" w14:textId="77777777" w:rsidR="00256BDC" w:rsidRPr="001C6DA5" w:rsidRDefault="00256BDC" w:rsidP="00256BDC">
      <w:pPr>
        <w:pStyle w:val="PARA"/>
        <w:numPr>
          <w:ilvl w:val="0"/>
          <w:numId w:val="0"/>
        </w:numPr>
        <w:tabs>
          <w:tab w:val="clear" w:pos="567"/>
        </w:tabs>
        <w:ind w:left="1134" w:hanging="708"/>
        <w:rPr>
          <w:rFonts w:ascii="Arial" w:hAnsi="Arial" w:cs="Arial"/>
          <w:b/>
          <w:bCs/>
        </w:rPr>
      </w:pPr>
      <w:r>
        <w:rPr>
          <w:rFonts w:ascii="Arial" w:hAnsi="Arial" w:cs="Arial"/>
          <w:b/>
          <w:bCs/>
        </w:rPr>
        <w:t>2.6</w:t>
      </w:r>
      <w:r>
        <w:rPr>
          <w:rFonts w:ascii="Arial" w:hAnsi="Arial" w:cs="Arial"/>
          <w:b/>
          <w:bCs/>
        </w:rPr>
        <w:tab/>
        <w:t>Examination of adverse effects posed by the dealings</w:t>
      </w:r>
    </w:p>
    <w:p w14:paraId="65CFEEDF" w14:textId="77777777" w:rsidR="00256BDC" w:rsidRDefault="00256BDC" w:rsidP="00256BDC">
      <w:pPr>
        <w:widowControl w:val="0"/>
        <w:spacing w:before="120" w:after="120"/>
      </w:pPr>
      <w:r>
        <w:t>In 2006, Florigene estimated</w:t>
      </w:r>
      <w:r w:rsidRPr="00F5760C">
        <w:t xml:space="preserve"> that </w:t>
      </w:r>
      <w:r>
        <w:t>close to 4.5 million</w:t>
      </w:r>
      <w:r w:rsidRPr="00F5760C">
        <w:t xml:space="preserve"> GM carnation</w:t>
      </w:r>
      <w:r>
        <w:t xml:space="preserve"> flowers had</w:t>
      </w:r>
      <w:r w:rsidRPr="00F5760C">
        <w:t xml:space="preserve"> </w:t>
      </w:r>
      <w:r>
        <w:t xml:space="preserve">been </w:t>
      </w:r>
      <w:r w:rsidRPr="00F5760C">
        <w:t xml:space="preserve">sold within Australia </w:t>
      </w:r>
      <w:r>
        <w:t>since 1995</w:t>
      </w:r>
      <w:r w:rsidRPr="00F5760C">
        <w:t xml:space="preserve"> and a</w:t>
      </w:r>
      <w:r>
        <w:t>bout</w:t>
      </w:r>
      <w:r w:rsidRPr="00F5760C">
        <w:t xml:space="preserve"> 5.5 milli</w:t>
      </w:r>
      <w:r>
        <w:t>on GM carnations had</w:t>
      </w:r>
      <w:r w:rsidRPr="00F5760C">
        <w:t xml:space="preserve"> been produced in the USA</w:t>
      </w:r>
      <w:r>
        <w:t>,</w:t>
      </w:r>
      <w:r w:rsidRPr="00F5760C">
        <w:t xml:space="preserve"> Japan</w:t>
      </w:r>
      <w:r>
        <w:t>, Eucador and Colombia</w:t>
      </w:r>
      <w:r w:rsidRPr="00F5760C">
        <w:t>. Annual reports provided by the licence holder state</w:t>
      </w:r>
      <w:r>
        <w:t>d</w:t>
      </w:r>
      <w:r w:rsidRPr="00F5760C">
        <w:t xml:space="preserve"> that no un</w:t>
      </w:r>
      <w:r>
        <w:t>intended or adverse effects had been reported in any of the countries in which the GM lines were grown and/or sold. In addition, other data available to the Regulator provides no evidence of adverse effects.</w:t>
      </w:r>
    </w:p>
    <w:p w14:paraId="750BD91F" w14:textId="77777777" w:rsidR="00256BDC" w:rsidRPr="001A5EE8" w:rsidRDefault="00256BDC" w:rsidP="00256BDC">
      <w:pPr>
        <w:widowControl w:val="0"/>
        <w:tabs>
          <w:tab w:val="left" w:pos="1134"/>
        </w:tabs>
        <w:spacing w:before="120" w:after="120"/>
        <w:ind w:firstLine="426"/>
        <w:rPr>
          <w:rFonts w:ascii="Arial" w:hAnsi="Arial" w:cs="Arial"/>
          <w:b/>
        </w:rPr>
      </w:pPr>
      <w:r w:rsidRPr="001A5EE8">
        <w:rPr>
          <w:rFonts w:ascii="Arial" w:hAnsi="Arial" w:cs="Arial"/>
          <w:b/>
        </w:rPr>
        <w:t>2.7</w:t>
      </w:r>
      <w:r w:rsidRPr="001A5EE8">
        <w:rPr>
          <w:rFonts w:ascii="Arial" w:hAnsi="Arial" w:cs="Arial"/>
          <w:b/>
        </w:rPr>
        <w:tab/>
        <w:t>International approvals</w:t>
      </w:r>
    </w:p>
    <w:p w14:paraId="62956615" w14:textId="77777777" w:rsidR="00256BDC" w:rsidRDefault="00256BDC" w:rsidP="00256BDC">
      <w:pPr>
        <w:pStyle w:val="Paragraph"/>
      </w:pPr>
      <w:r>
        <w:t xml:space="preserve">Since the issuing of licence DIR 030/2002, Florigene has lodged a successful application (SNIF 2004) for the </w:t>
      </w:r>
      <w:r w:rsidRPr="006C02B4">
        <w:t>placing on the (European) market of the genetically modified carnation Moonlite™ for import, distribution and retailing in the cut flower sector. The application was assessed by the Dutch Commission on Genetic Modification (COGEM 2005) and the Netherlands</w:t>
      </w:r>
      <w:r>
        <w:t xml:space="preserve"> Competent Authority (2005) in accordance with Directive 2001/18/EC and consent to place the product on the market was given in March 2005. In 2005, the Advisory Committee on Releases to the Environment (ACRE 2005) agreed with the Netherlands Competent Authority assessment and concluded that the import and distribution of cut flowers from Moonlite™ does not pose an increased risk to human health or the environment compared with non-GM carnation varieties. In 2006, the Scientific Panel on Genetically Modified Organisms (the GMO Panel) of the European Food Safety Authority (EFSA 2006) carried out a further assessment following questions raised by several Member States after they had conducted evaluations at the national level. The GMO Panel concluded that, in the context of its intended use, Moonlite™ is unlikely to have adverse effects on human and animal health or the environment.</w:t>
      </w:r>
    </w:p>
    <w:p w14:paraId="187A1C28" w14:textId="77777777" w:rsidR="00256BDC" w:rsidRDefault="00256BDC" w:rsidP="00256BDC">
      <w:pPr>
        <w:pStyle w:val="Paragraph"/>
      </w:pPr>
      <w:r>
        <w:t xml:space="preserve">Successful </w:t>
      </w:r>
      <w:r w:rsidRPr="00D37171">
        <w:t xml:space="preserve">applications by Suntory Flowers Ltd. to have </w:t>
      </w:r>
      <w:r>
        <w:t>the four GM lines</w:t>
      </w:r>
      <w:r w:rsidRPr="00D37171">
        <w:t xml:space="preserve"> with modified flower colour approved for Type 1 use (in which no preventive measures against their dispersal into the environment are required)</w:t>
      </w:r>
      <w:r w:rsidRPr="00D37171">
        <w:rPr>
          <w:rFonts w:ascii="Arial" w:hAnsi="Arial" w:cs="Arial"/>
          <w:sz w:val="18"/>
          <w:szCs w:val="18"/>
        </w:rPr>
        <w:t xml:space="preserve"> </w:t>
      </w:r>
      <w:r>
        <w:t>were</w:t>
      </w:r>
      <w:r w:rsidRPr="00D37171">
        <w:t xml:space="preserve"> registered on the Japan Biosafety Clearing House database </w:t>
      </w:r>
      <w:r>
        <w:t>in 2004 (J-BCH 2004).</w:t>
      </w:r>
    </w:p>
    <w:p w14:paraId="1F96ECEC" w14:textId="77777777" w:rsidR="00256BDC" w:rsidRPr="00ED3CE1" w:rsidRDefault="00256BDC" w:rsidP="00256BDC">
      <w:pPr>
        <w:pStyle w:val="Paragraph"/>
      </w:pPr>
      <w:r w:rsidRPr="00D37171">
        <w:t>Th</w:t>
      </w:r>
      <w:r>
        <w:t>e Biosafety Clearing-House (BCH)</w:t>
      </w:r>
      <w:r w:rsidRPr="00D37171">
        <w:t xml:space="preserve"> is an information exchange mechanism established by the </w:t>
      </w:r>
      <w:r>
        <w:t xml:space="preserve">United Nations </w:t>
      </w:r>
      <w:r w:rsidRPr="00D37171">
        <w:t>Cartagena Protocol on Biosafety and assists Governments to make informed decisions regarding the importation or release of living modified organisms.</w:t>
      </w:r>
      <w:r>
        <w:t xml:space="preserve"> </w:t>
      </w:r>
      <w:r w:rsidRPr="00D37171">
        <w:t>The latest update (</w:t>
      </w:r>
      <w:r>
        <w:t xml:space="preserve">BCH </w:t>
      </w:r>
      <w:r w:rsidRPr="00D37171">
        <w:t xml:space="preserve">2006) of an entry on the </w:t>
      </w:r>
      <w:r>
        <w:t xml:space="preserve">BCH website regarding </w:t>
      </w:r>
      <w:r w:rsidRPr="00D37171">
        <w:t>carnations genetically modified for flower colour in</w:t>
      </w:r>
      <w:r>
        <w:t>cludes the four GM lines and in</w:t>
      </w:r>
      <w:r w:rsidRPr="00D37171">
        <w:t xml:space="preserve">dicates that there are no characteristics related to biosafety that are of concern. </w:t>
      </w:r>
    </w:p>
    <w:p w14:paraId="7C0BCAA9" w14:textId="77777777" w:rsidR="00256BDC" w:rsidRPr="00105E18" w:rsidRDefault="00256BDC" w:rsidP="00256BDC">
      <w:pPr>
        <w:pStyle w:val="Paragraph"/>
        <w:rPr>
          <w:rFonts w:ascii="Arial" w:hAnsi="Arial" w:cs="Arial"/>
          <w:b/>
          <w:bCs/>
          <w:sz w:val="32"/>
          <w:szCs w:val="32"/>
        </w:rPr>
      </w:pPr>
      <w:r>
        <w:rPr>
          <w:rFonts w:ascii="Arial" w:hAnsi="Arial" w:cs="Arial"/>
          <w:b/>
          <w:bCs/>
          <w:sz w:val="32"/>
          <w:szCs w:val="32"/>
        </w:rPr>
        <w:t xml:space="preserve">3. </w:t>
      </w:r>
      <w:r w:rsidRPr="00105E18">
        <w:rPr>
          <w:rFonts w:ascii="Arial" w:hAnsi="Arial" w:cs="Arial"/>
          <w:b/>
          <w:bCs/>
          <w:sz w:val="32"/>
          <w:szCs w:val="32"/>
        </w:rPr>
        <w:t>Risk evaluation</w:t>
      </w:r>
      <w:r w:rsidRPr="00105E18" w:rsidDel="00001DA0">
        <w:rPr>
          <w:rFonts w:ascii="Arial" w:hAnsi="Arial" w:cs="Arial"/>
          <w:b/>
          <w:bCs/>
          <w:sz w:val="32"/>
          <w:szCs w:val="32"/>
        </w:rPr>
        <w:t xml:space="preserve"> </w:t>
      </w:r>
    </w:p>
    <w:p w14:paraId="6B6AA6AF" w14:textId="77777777" w:rsidR="00256BDC" w:rsidRPr="00367D63" w:rsidRDefault="00256BDC" w:rsidP="00256BDC">
      <w:pPr>
        <w:pStyle w:val="Paragraph"/>
        <w:ind w:left="1134" w:hanging="708"/>
        <w:rPr>
          <w:rFonts w:ascii="Arial" w:hAnsi="Arial" w:cs="Arial"/>
          <w:b/>
        </w:rPr>
      </w:pPr>
      <w:r w:rsidRPr="00367D63">
        <w:rPr>
          <w:rFonts w:ascii="Arial" w:hAnsi="Arial" w:cs="Arial"/>
          <w:b/>
        </w:rPr>
        <w:t xml:space="preserve">3.1 </w:t>
      </w:r>
      <w:r w:rsidRPr="00367D63">
        <w:rPr>
          <w:rFonts w:ascii="Arial" w:hAnsi="Arial" w:cs="Arial"/>
          <w:b/>
        </w:rPr>
        <w:tab/>
      </w:r>
      <w:r w:rsidRPr="00367D63">
        <w:rPr>
          <w:rFonts w:ascii="Arial" w:hAnsi="Arial" w:cs="Arial"/>
          <w:b/>
          <w:iCs/>
        </w:rPr>
        <w:t>Morphological characterisation of the four GM carnation lines</w:t>
      </w:r>
    </w:p>
    <w:p w14:paraId="758979FD" w14:textId="77777777" w:rsidR="00256BDC" w:rsidRDefault="00256BDC" w:rsidP="00256BDC">
      <w:pPr>
        <w:pStyle w:val="Paragraph"/>
      </w:pPr>
      <w:r>
        <w:t xml:space="preserve">With regard to the data on morphological characterisation, some differences were noted between the GM and non-GM plants. </w:t>
      </w:r>
      <w:r w:rsidRPr="009D255E">
        <w:t>While alterations to floral structure have the potential to impact on pollination and fertilization the fact that, in both non-GM carnation and the GM lines, little pollen is produced and pollen viability is low</w:t>
      </w:r>
      <w:r>
        <w:t xml:space="preserve"> </w:t>
      </w:r>
      <w:r w:rsidRPr="00655183">
        <w:t xml:space="preserve">(percentage </w:t>
      </w:r>
      <w:r>
        <w:t xml:space="preserve">pollen </w:t>
      </w:r>
      <w:r w:rsidRPr="00655183">
        <w:t>germination for some lines is le</w:t>
      </w:r>
      <w:r>
        <w:t>ss than 10%),</w:t>
      </w:r>
      <w:r w:rsidRPr="009D255E">
        <w:t xml:space="preserve"> would suggest that the alte</w:t>
      </w:r>
      <w:r>
        <w:t>red characteristics would</w:t>
      </w:r>
      <w:r w:rsidRPr="009D255E">
        <w:t xml:space="preserve"> not have reproductive significance (see the </w:t>
      </w:r>
      <w:r>
        <w:t xml:space="preserve">RARMP prepared for </w:t>
      </w:r>
      <w:r w:rsidRPr="009D255E">
        <w:t xml:space="preserve">DIR 030/2002 </w:t>
      </w:r>
      <w:r>
        <w:t xml:space="preserve">(OGTR 2003) </w:t>
      </w:r>
      <w:r w:rsidRPr="009D255E">
        <w:t>for a discussion of these factors). This conclusion is further supported by the fact that in deliberate cross-pollination experiments involving one of the lines (Moonlite™) seed set</w:t>
      </w:r>
      <w:r>
        <w:t xml:space="preserve"> did not occur</w:t>
      </w:r>
      <w:r w:rsidRPr="009D255E">
        <w:t xml:space="preserve">. Pollination factors associated with non-GM carnations, such as virtual self-sterility due to asynchrony in timing of stigma receptivity and anthesis, lack of wind involvement in pollen dispersal, and lack of evidence about insect pollinators in Australia (see Biology and Ecology document in OGTR </w:t>
      </w:r>
      <w:r>
        <w:t>2006a</w:t>
      </w:r>
      <w:r w:rsidRPr="009D255E">
        <w:t>) further add to a low likelihood of morphological differences in the GM lines affecting reproductive ability.</w:t>
      </w:r>
      <w:r>
        <w:t xml:space="preserve"> A similar conclusion was made by EFSA (2006) in their assessment of data supplied by Florigene to the EU (SNIF 2004) on Moonlite™.</w:t>
      </w:r>
    </w:p>
    <w:p w14:paraId="3619C6D6" w14:textId="77777777" w:rsidR="00256BDC" w:rsidRDefault="00256BDC" w:rsidP="00256BDC">
      <w:pPr>
        <w:pStyle w:val="Paragraph"/>
      </w:pPr>
      <w:r>
        <w:t xml:space="preserve">In conclusion, these new data on morphological characteristics </w:t>
      </w:r>
      <w:r w:rsidRPr="009D255E">
        <w:t>are not considered to al</w:t>
      </w:r>
      <w:r>
        <w:t>ter the findings of the</w:t>
      </w:r>
      <w:r w:rsidRPr="009D255E">
        <w:t xml:space="preserve"> risk assessment provided in </w:t>
      </w:r>
      <w:r>
        <w:t xml:space="preserve">the RARMP prepared for </w:t>
      </w:r>
      <w:r w:rsidRPr="009D255E">
        <w:t>DIR 030/2002.</w:t>
      </w:r>
    </w:p>
    <w:p w14:paraId="15EDD730" w14:textId="77777777" w:rsidR="00256BDC" w:rsidRPr="00DB32A8" w:rsidRDefault="00256BDC" w:rsidP="00256BDC">
      <w:pPr>
        <w:pStyle w:val="Paragraph"/>
        <w:ind w:left="1134" w:hanging="708"/>
        <w:rPr>
          <w:rFonts w:ascii="Arial" w:hAnsi="Arial" w:cs="Arial"/>
          <w:b/>
        </w:rPr>
      </w:pPr>
      <w:r w:rsidRPr="00DB32A8">
        <w:rPr>
          <w:rFonts w:ascii="Arial" w:hAnsi="Arial" w:cs="Arial"/>
          <w:b/>
        </w:rPr>
        <w:t xml:space="preserve">3.2 </w:t>
      </w:r>
      <w:r>
        <w:rPr>
          <w:rFonts w:ascii="Arial" w:hAnsi="Arial" w:cs="Arial"/>
          <w:b/>
        </w:rPr>
        <w:tab/>
      </w:r>
      <w:r w:rsidRPr="00DB32A8">
        <w:rPr>
          <w:rFonts w:ascii="Arial" w:hAnsi="Arial" w:cs="Arial"/>
          <w:b/>
          <w:iCs/>
        </w:rPr>
        <w:t>Toxicity tests</w:t>
      </w:r>
    </w:p>
    <w:p w14:paraId="6064FEF0" w14:textId="77777777" w:rsidR="00256BDC" w:rsidRDefault="00256BDC" w:rsidP="00256BDC">
      <w:pPr>
        <w:pStyle w:val="Paragraph"/>
      </w:pPr>
      <w:r>
        <w:t xml:space="preserve">The results from the additional toxicity tests indicate </w:t>
      </w:r>
      <w:r w:rsidRPr="00220492">
        <w:t xml:space="preserve">that the GM lines are unlikely to prove more toxic to other organisms than </w:t>
      </w:r>
      <w:r>
        <w:t xml:space="preserve">non-GM </w:t>
      </w:r>
      <w:r w:rsidRPr="00220492">
        <w:t>carnation.</w:t>
      </w:r>
      <w:r>
        <w:t xml:space="preserve"> The EFSA (2006) also assessed these toxicological data supplied by Florigene and concluded that there would be no increased toxicity of Moonlite™ petals compared to the non-GM parent in the event of consumption of GM petals.</w:t>
      </w:r>
    </w:p>
    <w:p w14:paraId="1D95275D" w14:textId="77777777" w:rsidR="00256BDC" w:rsidRDefault="00256BDC" w:rsidP="00256BDC">
      <w:pPr>
        <w:pStyle w:val="Paragraph"/>
      </w:pPr>
      <w:r>
        <w:t xml:space="preserve">In conclusion, the new data on toxicity tests </w:t>
      </w:r>
      <w:r w:rsidRPr="009D255E">
        <w:t>are not considered to al</w:t>
      </w:r>
      <w:r>
        <w:t>ter the findings of the</w:t>
      </w:r>
      <w:r w:rsidRPr="009D255E">
        <w:t xml:space="preserve"> risk assessment provided in </w:t>
      </w:r>
      <w:r>
        <w:t xml:space="preserve">the RARMP prepared for </w:t>
      </w:r>
      <w:r w:rsidRPr="009D255E">
        <w:t>DIR 030/2002.</w:t>
      </w:r>
    </w:p>
    <w:p w14:paraId="7E13DD05" w14:textId="77777777" w:rsidR="00256BDC" w:rsidRPr="00DB32A8" w:rsidRDefault="00256BDC" w:rsidP="00256BDC">
      <w:pPr>
        <w:pStyle w:val="Paragraph"/>
        <w:ind w:left="1134" w:hanging="708"/>
        <w:rPr>
          <w:rFonts w:ascii="Arial" w:hAnsi="Arial" w:cs="Arial"/>
          <w:b/>
        </w:rPr>
      </w:pPr>
      <w:r w:rsidRPr="00DB32A8">
        <w:rPr>
          <w:rFonts w:ascii="Arial" w:hAnsi="Arial" w:cs="Arial"/>
          <w:b/>
        </w:rPr>
        <w:t xml:space="preserve">3.3 </w:t>
      </w:r>
      <w:r>
        <w:rPr>
          <w:rFonts w:ascii="Arial" w:hAnsi="Arial" w:cs="Arial"/>
          <w:b/>
        </w:rPr>
        <w:tab/>
      </w:r>
      <w:r w:rsidRPr="00DB32A8">
        <w:rPr>
          <w:rFonts w:ascii="Arial" w:hAnsi="Arial" w:cs="Arial"/>
          <w:b/>
          <w:iCs/>
        </w:rPr>
        <w:t>Molecular characterisation of two of the GM carnation lines</w:t>
      </w:r>
    </w:p>
    <w:p w14:paraId="5B12F888" w14:textId="77777777" w:rsidR="00256BDC" w:rsidRDefault="00256BDC" w:rsidP="00256BDC">
      <w:pPr>
        <w:pStyle w:val="Paranonumbers"/>
      </w:pPr>
      <w:r>
        <w:t>The new data on Northern analysis did not alter the conclusions drawn in the RARMP prepared for DIR 030/2002. However, the Southern analysis data showing an increased estimate of copy number in Moonvista™, resulted in one new event being identified that may lead to an adverse outcome. This event is summarised in Table 5.</w:t>
      </w:r>
    </w:p>
    <w:p w14:paraId="01D57305" w14:textId="77777777" w:rsidR="00256BDC" w:rsidRDefault="00256BDC" w:rsidP="00256BDC">
      <w:pPr>
        <w:pStyle w:val="Paranonumbers"/>
      </w:pPr>
    </w:p>
    <w:p w14:paraId="74AA32B9" w14:textId="77777777" w:rsidR="00256BDC" w:rsidRDefault="00256BDC" w:rsidP="00256BDC">
      <w:pPr>
        <w:pStyle w:val="Paranonumbers"/>
      </w:pPr>
    </w:p>
    <w:p w14:paraId="4068CDFC" w14:textId="77777777" w:rsidR="00256BDC" w:rsidRDefault="00256BDC" w:rsidP="00256BDC">
      <w:pPr>
        <w:rPr>
          <w:rFonts w:ascii="Arial" w:hAnsi="Arial" w:cs="Arial"/>
          <w:b/>
          <w:sz w:val="22"/>
          <w:szCs w:val="22"/>
        </w:rPr>
      </w:pPr>
    </w:p>
    <w:p w14:paraId="0FB300CF" w14:textId="77777777" w:rsidR="00256BDC" w:rsidRPr="00BB6871" w:rsidRDefault="00256BDC" w:rsidP="00256BDC">
      <w:pPr>
        <w:ind w:left="1134" w:hanging="1134"/>
        <w:rPr>
          <w:rFonts w:ascii="Arial" w:hAnsi="Arial" w:cs="Arial"/>
          <w:sz w:val="22"/>
          <w:szCs w:val="22"/>
        </w:rPr>
      </w:pPr>
      <w:r w:rsidRPr="00BB6871">
        <w:rPr>
          <w:rFonts w:ascii="Arial" w:hAnsi="Arial" w:cs="Arial"/>
          <w:b/>
          <w:sz w:val="22"/>
          <w:szCs w:val="22"/>
        </w:rPr>
        <w:t xml:space="preserve">Table </w:t>
      </w:r>
      <w:r>
        <w:rPr>
          <w:rFonts w:ascii="Arial" w:hAnsi="Arial" w:cs="Arial"/>
          <w:b/>
          <w:sz w:val="22"/>
          <w:szCs w:val="22"/>
        </w:rPr>
        <w:t>5.</w:t>
      </w:r>
      <w:r w:rsidRPr="00BB6871">
        <w:rPr>
          <w:rFonts w:ascii="Arial" w:hAnsi="Arial" w:cs="Arial"/>
          <w:sz w:val="22"/>
          <w:szCs w:val="22"/>
        </w:rPr>
        <w:t xml:space="preserve"> </w:t>
      </w:r>
      <w:r>
        <w:rPr>
          <w:rFonts w:ascii="Arial" w:hAnsi="Arial" w:cs="Arial"/>
          <w:sz w:val="22"/>
          <w:szCs w:val="22"/>
        </w:rPr>
        <w:tab/>
      </w:r>
      <w:r w:rsidRPr="00D878A6">
        <w:rPr>
          <w:rFonts w:ascii="Arial" w:hAnsi="Arial" w:cs="Arial"/>
          <w:b/>
          <w:sz w:val="22"/>
          <w:szCs w:val="22"/>
        </w:rPr>
        <w:t>Summary of the risk assessment</w:t>
      </w:r>
      <w:r>
        <w:rPr>
          <w:rFonts w:ascii="Arial" w:hAnsi="Arial" w:cs="Arial"/>
          <w:b/>
          <w:sz w:val="22"/>
          <w:szCs w:val="22"/>
        </w:rPr>
        <w:t xml:space="preserve"> of new data</w:t>
      </w:r>
    </w:p>
    <w:p w14:paraId="6132CAE1" w14:textId="77777777" w:rsidR="00256BDC" w:rsidRPr="00980090" w:rsidRDefault="00256BDC" w:rsidP="00256BDC">
      <w:pPr>
        <w:rPr>
          <w:sz w:val="20"/>
        </w:rPr>
      </w:pPr>
    </w:p>
    <w:tbl>
      <w:tblPr>
        <w:tblStyle w:val="TableGrid"/>
        <w:tblW w:w="10031" w:type="dxa"/>
        <w:tblInd w:w="0" w:type="dxa"/>
        <w:tblLook w:val="01E0" w:firstRow="1" w:lastRow="1" w:firstColumn="1" w:lastColumn="1" w:noHBand="0" w:noVBand="0"/>
        <w:tblCaption w:val="Table 5.  Summary of the risk assessment of new data"/>
        <w:tblDescription w:val="This table contains 6 columns and 2 rows"/>
      </w:tblPr>
      <w:tblGrid>
        <w:gridCol w:w="1350"/>
        <w:gridCol w:w="1877"/>
        <w:gridCol w:w="1558"/>
        <w:gridCol w:w="1135"/>
        <w:gridCol w:w="1150"/>
        <w:gridCol w:w="2961"/>
      </w:tblGrid>
      <w:tr w:rsidR="00256BDC" w:rsidRPr="00980090" w14:paraId="48C42B1D" w14:textId="77777777" w:rsidTr="00256BDC">
        <w:trPr>
          <w:tblHeader/>
        </w:trPr>
        <w:tc>
          <w:tcPr>
            <w:tcW w:w="1350" w:type="dxa"/>
            <w:tcBorders>
              <w:top w:val="single" w:sz="4" w:space="0" w:color="auto"/>
              <w:left w:val="single" w:sz="4" w:space="0" w:color="auto"/>
              <w:bottom w:val="single" w:sz="4" w:space="0" w:color="auto"/>
              <w:right w:val="single" w:sz="4" w:space="0" w:color="auto"/>
            </w:tcBorders>
            <w:shd w:val="clear" w:color="auto" w:fill="D9D9D9"/>
          </w:tcPr>
          <w:p w14:paraId="749E1717" w14:textId="77777777" w:rsidR="00256BDC" w:rsidRPr="00980090" w:rsidRDefault="00256BDC" w:rsidP="00450C66">
            <w:pPr>
              <w:rPr>
                <w:rFonts w:ascii="Arial" w:hAnsi="Arial" w:cs="Arial"/>
                <w:b/>
                <w:bCs/>
                <w:sz w:val="20"/>
              </w:rPr>
            </w:pPr>
            <w:r>
              <w:rPr>
                <w:rFonts w:ascii="Arial" w:hAnsi="Arial" w:cs="Arial"/>
                <w:b/>
                <w:bCs/>
                <w:sz w:val="20"/>
              </w:rPr>
              <w:t>Hazard category</w:t>
            </w:r>
          </w:p>
        </w:tc>
        <w:tc>
          <w:tcPr>
            <w:tcW w:w="1877" w:type="dxa"/>
            <w:tcBorders>
              <w:top w:val="single" w:sz="4" w:space="0" w:color="auto"/>
              <w:left w:val="single" w:sz="4" w:space="0" w:color="auto"/>
              <w:bottom w:val="single" w:sz="4" w:space="0" w:color="auto"/>
              <w:right w:val="single" w:sz="4" w:space="0" w:color="auto"/>
            </w:tcBorders>
            <w:shd w:val="clear" w:color="auto" w:fill="D9D9D9"/>
          </w:tcPr>
          <w:p w14:paraId="6FE8C922" w14:textId="77777777" w:rsidR="00256BDC" w:rsidRPr="00980090" w:rsidRDefault="00256BDC" w:rsidP="00450C66">
            <w:pPr>
              <w:rPr>
                <w:rFonts w:ascii="Arial" w:hAnsi="Arial" w:cs="Arial"/>
                <w:b/>
                <w:bCs/>
                <w:sz w:val="20"/>
              </w:rPr>
            </w:pPr>
            <w:r w:rsidRPr="00980090">
              <w:rPr>
                <w:rFonts w:ascii="Arial" w:hAnsi="Arial" w:cs="Arial"/>
                <w:b/>
                <w:bCs/>
                <w:sz w:val="20"/>
              </w:rPr>
              <w:t>Event that may give rise to an adverse outcome</w:t>
            </w:r>
          </w:p>
        </w:tc>
        <w:tc>
          <w:tcPr>
            <w:tcW w:w="1558" w:type="dxa"/>
            <w:tcBorders>
              <w:top w:val="single" w:sz="4" w:space="0" w:color="auto"/>
              <w:left w:val="single" w:sz="4" w:space="0" w:color="auto"/>
              <w:bottom w:val="single" w:sz="4" w:space="0" w:color="auto"/>
              <w:right w:val="single" w:sz="4" w:space="0" w:color="auto"/>
            </w:tcBorders>
            <w:shd w:val="clear" w:color="auto" w:fill="D9D9D9"/>
          </w:tcPr>
          <w:p w14:paraId="50792040" w14:textId="77777777" w:rsidR="00256BDC" w:rsidRPr="00980090" w:rsidRDefault="00256BDC" w:rsidP="00450C66">
            <w:pPr>
              <w:rPr>
                <w:rFonts w:ascii="Arial" w:hAnsi="Arial" w:cs="Arial"/>
                <w:b/>
                <w:bCs/>
                <w:sz w:val="20"/>
              </w:rPr>
            </w:pPr>
            <w:r w:rsidRPr="00980090">
              <w:rPr>
                <w:rFonts w:ascii="Arial" w:hAnsi="Arial" w:cs="Arial"/>
                <w:b/>
                <w:bCs/>
                <w:sz w:val="20"/>
              </w:rPr>
              <w:t>Potential adverse outcome</w:t>
            </w:r>
          </w:p>
        </w:tc>
        <w:tc>
          <w:tcPr>
            <w:tcW w:w="1135" w:type="dxa"/>
            <w:tcBorders>
              <w:top w:val="single" w:sz="4" w:space="0" w:color="auto"/>
              <w:left w:val="single" w:sz="4" w:space="0" w:color="auto"/>
              <w:bottom w:val="single" w:sz="4" w:space="0" w:color="auto"/>
              <w:right w:val="single" w:sz="4" w:space="0" w:color="auto"/>
            </w:tcBorders>
            <w:shd w:val="clear" w:color="auto" w:fill="D9D9D9"/>
          </w:tcPr>
          <w:p w14:paraId="51D71DAD" w14:textId="77777777" w:rsidR="00256BDC" w:rsidRPr="00980090" w:rsidRDefault="00256BDC" w:rsidP="00450C66">
            <w:pPr>
              <w:rPr>
                <w:rFonts w:ascii="Arial" w:hAnsi="Arial" w:cs="Arial"/>
                <w:b/>
                <w:bCs/>
                <w:sz w:val="20"/>
              </w:rPr>
            </w:pPr>
            <w:r w:rsidRPr="00980090">
              <w:rPr>
                <w:rFonts w:ascii="Arial" w:hAnsi="Arial" w:cs="Arial"/>
                <w:b/>
                <w:bCs/>
                <w:sz w:val="20"/>
              </w:rPr>
              <w:t>New event?</w:t>
            </w:r>
          </w:p>
        </w:tc>
        <w:tc>
          <w:tcPr>
            <w:tcW w:w="1150" w:type="dxa"/>
            <w:tcBorders>
              <w:top w:val="single" w:sz="4" w:space="0" w:color="auto"/>
              <w:left w:val="single" w:sz="4" w:space="0" w:color="auto"/>
              <w:bottom w:val="single" w:sz="4" w:space="0" w:color="auto"/>
              <w:right w:val="single" w:sz="4" w:space="0" w:color="auto"/>
            </w:tcBorders>
            <w:shd w:val="clear" w:color="auto" w:fill="D9D9D9"/>
          </w:tcPr>
          <w:p w14:paraId="449A5B4D" w14:textId="77777777" w:rsidR="00256BDC" w:rsidRPr="00980090" w:rsidRDefault="00256BDC" w:rsidP="00450C66">
            <w:pPr>
              <w:rPr>
                <w:rFonts w:ascii="Arial" w:hAnsi="Arial" w:cs="Arial"/>
                <w:b/>
                <w:bCs/>
                <w:sz w:val="20"/>
              </w:rPr>
            </w:pPr>
            <w:r>
              <w:rPr>
                <w:rFonts w:ascii="Arial" w:hAnsi="Arial" w:cs="Arial"/>
                <w:b/>
                <w:bCs/>
                <w:sz w:val="20"/>
              </w:rPr>
              <w:t>New identified risk or i</w:t>
            </w:r>
            <w:r w:rsidRPr="00980090">
              <w:rPr>
                <w:rFonts w:ascii="Arial" w:hAnsi="Arial" w:cs="Arial"/>
                <w:b/>
                <w:bCs/>
                <w:sz w:val="20"/>
              </w:rPr>
              <w:t>ncreased level of risk?</w:t>
            </w:r>
          </w:p>
        </w:tc>
        <w:tc>
          <w:tcPr>
            <w:tcW w:w="2961" w:type="dxa"/>
            <w:tcBorders>
              <w:top w:val="single" w:sz="4" w:space="0" w:color="auto"/>
              <w:left w:val="single" w:sz="4" w:space="0" w:color="auto"/>
              <w:bottom w:val="single" w:sz="4" w:space="0" w:color="auto"/>
              <w:right w:val="single" w:sz="4" w:space="0" w:color="auto"/>
            </w:tcBorders>
            <w:shd w:val="clear" w:color="auto" w:fill="D9D9D9"/>
          </w:tcPr>
          <w:p w14:paraId="70AD7090" w14:textId="77777777" w:rsidR="00256BDC" w:rsidRPr="00980090" w:rsidRDefault="00256BDC" w:rsidP="00450C66">
            <w:pPr>
              <w:rPr>
                <w:rFonts w:ascii="Arial" w:hAnsi="Arial" w:cs="Arial"/>
                <w:b/>
                <w:bCs/>
                <w:sz w:val="20"/>
              </w:rPr>
            </w:pPr>
            <w:r w:rsidRPr="00980090">
              <w:rPr>
                <w:rFonts w:ascii="Arial" w:hAnsi="Arial" w:cs="Arial"/>
                <w:b/>
                <w:bCs/>
                <w:sz w:val="20"/>
              </w:rPr>
              <w:t>Reasons</w:t>
            </w:r>
          </w:p>
        </w:tc>
      </w:tr>
      <w:tr w:rsidR="00256BDC" w:rsidRPr="00980090" w14:paraId="2A2EAB44" w14:textId="77777777" w:rsidTr="00256BDC">
        <w:trPr>
          <w:tblHeader/>
        </w:trPr>
        <w:tc>
          <w:tcPr>
            <w:tcW w:w="1350" w:type="dxa"/>
            <w:tcBorders>
              <w:top w:val="single" w:sz="4" w:space="0" w:color="auto"/>
              <w:left w:val="single" w:sz="4" w:space="0" w:color="auto"/>
              <w:bottom w:val="single" w:sz="4" w:space="0" w:color="auto"/>
              <w:right w:val="single" w:sz="4" w:space="0" w:color="auto"/>
            </w:tcBorders>
          </w:tcPr>
          <w:p w14:paraId="28B6D978" w14:textId="77777777" w:rsidR="00256BDC" w:rsidRPr="008F65D9" w:rsidRDefault="00256BDC" w:rsidP="00450C66">
            <w:pPr>
              <w:rPr>
                <w:rFonts w:ascii="Arial" w:hAnsi="Arial" w:cs="Arial"/>
                <w:b/>
                <w:sz w:val="16"/>
                <w:szCs w:val="16"/>
              </w:rPr>
            </w:pPr>
            <w:r>
              <w:rPr>
                <w:rFonts w:ascii="Arial" w:hAnsi="Arial" w:cs="Arial"/>
                <w:b/>
                <w:sz w:val="16"/>
                <w:szCs w:val="16"/>
              </w:rPr>
              <w:t>Unintended changes in toxicity</w:t>
            </w:r>
          </w:p>
        </w:tc>
        <w:tc>
          <w:tcPr>
            <w:tcW w:w="1877" w:type="dxa"/>
            <w:tcBorders>
              <w:top w:val="single" w:sz="4" w:space="0" w:color="auto"/>
              <w:left w:val="single" w:sz="4" w:space="0" w:color="auto"/>
              <w:bottom w:val="single" w:sz="4" w:space="0" w:color="auto"/>
              <w:right w:val="single" w:sz="4" w:space="0" w:color="auto"/>
            </w:tcBorders>
          </w:tcPr>
          <w:p w14:paraId="09C19395" w14:textId="77777777" w:rsidR="00256BDC" w:rsidRPr="007C43B1" w:rsidRDefault="00256BDC" w:rsidP="00450C66">
            <w:pPr>
              <w:rPr>
                <w:rFonts w:ascii="Arial" w:hAnsi="Arial" w:cs="Arial"/>
                <w:sz w:val="16"/>
                <w:szCs w:val="16"/>
              </w:rPr>
            </w:pPr>
            <w:r>
              <w:rPr>
                <w:rFonts w:ascii="Arial" w:hAnsi="Arial" w:cs="Arial"/>
                <w:b/>
                <w:sz w:val="16"/>
                <w:szCs w:val="16"/>
              </w:rPr>
              <w:t xml:space="preserve">Event 1. </w:t>
            </w:r>
            <w:r>
              <w:rPr>
                <w:rFonts w:ascii="Arial" w:hAnsi="Arial" w:cs="Arial"/>
                <w:sz w:val="16"/>
                <w:szCs w:val="16"/>
              </w:rPr>
              <w:t>Exposure of people and other organisms to</w:t>
            </w:r>
            <w:r w:rsidRPr="007C43B1">
              <w:rPr>
                <w:rFonts w:ascii="Arial" w:hAnsi="Arial" w:cs="Arial"/>
                <w:sz w:val="16"/>
                <w:szCs w:val="16"/>
              </w:rPr>
              <w:t xml:space="preserve"> </w:t>
            </w:r>
            <w:r>
              <w:rPr>
                <w:rFonts w:ascii="Arial" w:hAnsi="Arial" w:cs="Arial"/>
                <w:sz w:val="16"/>
                <w:szCs w:val="16"/>
              </w:rPr>
              <w:t>progeny of GM Moonlite™ carnations with different copy numbers of the introduced genes.</w:t>
            </w:r>
          </w:p>
          <w:p w14:paraId="62477D70" w14:textId="77777777" w:rsidR="00256BDC" w:rsidRPr="008F65D9" w:rsidRDefault="00256BDC" w:rsidP="00450C66">
            <w:pPr>
              <w:rPr>
                <w:rFonts w:ascii="Arial" w:hAnsi="Arial" w:cs="Arial"/>
                <w:sz w:val="16"/>
                <w:szCs w:val="16"/>
              </w:rPr>
            </w:pPr>
          </w:p>
          <w:p w14:paraId="6BA4285F" w14:textId="77777777" w:rsidR="00256BDC" w:rsidRPr="008F65D9" w:rsidRDefault="00256BDC" w:rsidP="00450C66">
            <w:pPr>
              <w:rPr>
                <w:rFonts w:ascii="Arial" w:hAnsi="Arial" w:cs="Arial"/>
                <w:sz w:val="16"/>
                <w:szCs w:val="16"/>
              </w:rPr>
            </w:pPr>
          </w:p>
        </w:tc>
        <w:tc>
          <w:tcPr>
            <w:tcW w:w="1558" w:type="dxa"/>
            <w:tcBorders>
              <w:top w:val="single" w:sz="4" w:space="0" w:color="auto"/>
              <w:left w:val="single" w:sz="4" w:space="0" w:color="auto"/>
              <w:bottom w:val="single" w:sz="4" w:space="0" w:color="auto"/>
              <w:right w:val="single" w:sz="4" w:space="0" w:color="auto"/>
            </w:tcBorders>
          </w:tcPr>
          <w:p w14:paraId="13ADB9ED" w14:textId="77777777" w:rsidR="00256BDC" w:rsidRPr="008F65D9" w:rsidRDefault="00256BDC" w:rsidP="00450C66">
            <w:pPr>
              <w:rPr>
                <w:rFonts w:ascii="Arial" w:hAnsi="Arial" w:cs="Arial"/>
                <w:sz w:val="16"/>
                <w:szCs w:val="16"/>
              </w:rPr>
            </w:pPr>
            <w:r w:rsidRPr="008F65D9">
              <w:rPr>
                <w:rFonts w:ascii="Arial" w:hAnsi="Arial" w:cs="Arial"/>
                <w:sz w:val="16"/>
                <w:szCs w:val="16"/>
              </w:rPr>
              <w:t>Toxicity or allergenicity</w:t>
            </w:r>
            <w:r>
              <w:rPr>
                <w:rFonts w:ascii="Arial" w:hAnsi="Arial" w:cs="Arial"/>
                <w:sz w:val="16"/>
                <w:szCs w:val="16"/>
              </w:rPr>
              <w:t xml:space="preserve"> in</w:t>
            </w:r>
            <w:r w:rsidRPr="008F65D9">
              <w:rPr>
                <w:rFonts w:ascii="Arial" w:hAnsi="Arial" w:cs="Arial"/>
                <w:sz w:val="16"/>
                <w:szCs w:val="16"/>
              </w:rPr>
              <w:t xml:space="preserve"> people</w:t>
            </w:r>
            <w:r>
              <w:rPr>
                <w:rFonts w:ascii="Arial" w:hAnsi="Arial" w:cs="Arial"/>
                <w:sz w:val="16"/>
                <w:szCs w:val="16"/>
              </w:rPr>
              <w:t>; toxicity in vertebrates, invertebrates or microorganisms.</w:t>
            </w:r>
          </w:p>
        </w:tc>
        <w:tc>
          <w:tcPr>
            <w:tcW w:w="1135" w:type="dxa"/>
            <w:tcBorders>
              <w:top w:val="single" w:sz="4" w:space="0" w:color="auto"/>
              <w:left w:val="single" w:sz="4" w:space="0" w:color="auto"/>
              <w:bottom w:val="single" w:sz="4" w:space="0" w:color="auto"/>
              <w:right w:val="single" w:sz="4" w:space="0" w:color="auto"/>
            </w:tcBorders>
          </w:tcPr>
          <w:p w14:paraId="0AC284DB" w14:textId="77777777" w:rsidR="00256BDC" w:rsidRPr="008F65D9" w:rsidRDefault="00256BDC" w:rsidP="00450C66">
            <w:pPr>
              <w:rPr>
                <w:rFonts w:ascii="Arial" w:hAnsi="Arial" w:cs="Arial"/>
                <w:sz w:val="16"/>
                <w:szCs w:val="16"/>
              </w:rPr>
            </w:pPr>
            <w:r>
              <w:rPr>
                <w:rFonts w:ascii="Arial" w:hAnsi="Arial" w:cs="Arial"/>
                <w:sz w:val="16"/>
                <w:szCs w:val="16"/>
              </w:rPr>
              <w:t>Yes</w:t>
            </w:r>
          </w:p>
        </w:tc>
        <w:tc>
          <w:tcPr>
            <w:tcW w:w="1150" w:type="dxa"/>
            <w:tcBorders>
              <w:top w:val="single" w:sz="4" w:space="0" w:color="auto"/>
              <w:left w:val="single" w:sz="4" w:space="0" w:color="auto"/>
              <w:bottom w:val="single" w:sz="4" w:space="0" w:color="auto"/>
              <w:right w:val="single" w:sz="4" w:space="0" w:color="auto"/>
            </w:tcBorders>
          </w:tcPr>
          <w:p w14:paraId="636F6B2C" w14:textId="77777777" w:rsidR="00256BDC" w:rsidRPr="008F65D9" w:rsidRDefault="00256BDC" w:rsidP="00450C66">
            <w:pPr>
              <w:rPr>
                <w:rFonts w:ascii="Arial" w:hAnsi="Arial" w:cs="Arial"/>
                <w:sz w:val="16"/>
                <w:szCs w:val="16"/>
              </w:rPr>
            </w:pPr>
            <w:r w:rsidRPr="008F65D9">
              <w:rPr>
                <w:rFonts w:ascii="Arial" w:hAnsi="Arial" w:cs="Arial"/>
                <w:sz w:val="16"/>
                <w:szCs w:val="16"/>
              </w:rPr>
              <w:t>No</w:t>
            </w:r>
          </w:p>
        </w:tc>
        <w:tc>
          <w:tcPr>
            <w:tcW w:w="2961" w:type="dxa"/>
            <w:tcBorders>
              <w:top w:val="single" w:sz="4" w:space="0" w:color="auto"/>
              <w:left w:val="single" w:sz="4" w:space="0" w:color="auto"/>
              <w:bottom w:val="single" w:sz="4" w:space="0" w:color="auto"/>
              <w:right w:val="single" w:sz="4" w:space="0" w:color="auto"/>
            </w:tcBorders>
          </w:tcPr>
          <w:p w14:paraId="446F57DE" w14:textId="77777777" w:rsidR="00256BDC" w:rsidRDefault="00256BDC" w:rsidP="00450C66">
            <w:pPr>
              <w:numPr>
                <w:ilvl w:val="0"/>
                <w:numId w:val="21"/>
              </w:numPr>
              <w:tabs>
                <w:tab w:val="clear" w:pos="360"/>
              </w:tabs>
              <w:ind w:left="18" w:hanging="18"/>
              <w:rPr>
                <w:rFonts w:ascii="Arial" w:hAnsi="Arial" w:cs="Arial"/>
                <w:sz w:val="16"/>
                <w:szCs w:val="16"/>
              </w:rPr>
            </w:pPr>
            <w:r>
              <w:rPr>
                <w:rFonts w:ascii="Arial" w:hAnsi="Arial" w:cs="Arial"/>
                <w:sz w:val="16"/>
                <w:szCs w:val="16"/>
              </w:rPr>
              <w:t xml:space="preserve">The main product of the introduced genes is delphinidin. This anthocyanidin occurs naturally in many plants and is not known to be a toxic compound.  </w:t>
            </w:r>
          </w:p>
          <w:p w14:paraId="7E8AB42A" w14:textId="77777777" w:rsidR="00256BDC" w:rsidRPr="00980090" w:rsidRDefault="00256BDC" w:rsidP="00450C66">
            <w:pPr>
              <w:numPr>
                <w:ilvl w:val="0"/>
                <w:numId w:val="15"/>
              </w:numPr>
              <w:rPr>
                <w:rFonts w:ascii="Arial" w:hAnsi="Arial" w:cs="Arial"/>
                <w:sz w:val="20"/>
              </w:rPr>
            </w:pPr>
            <w:r>
              <w:rPr>
                <w:rFonts w:ascii="Arial" w:hAnsi="Arial" w:cs="Arial"/>
                <w:sz w:val="16"/>
                <w:szCs w:val="16"/>
              </w:rPr>
              <w:t>There is a low likelihood of successful crosses being made between Moonlite™ and other carnation cultivars</w:t>
            </w:r>
          </w:p>
        </w:tc>
      </w:tr>
    </w:tbl>
    <w:p w14:paraId="5B6D1ADB" w14:textId="77777777" w:rsidR="00256BDC" w:rsidRDefault="00256BDC" w:rsidP="00256BDC"/>
    <w:p w14:paraId="03AC2485" w14:textId="77777777" w:rsidR="00256BDC" w:rsidRDefault="00256BDC" w:rsidP="00256BDC">
      <w:pPr>
        <w:spacing w:before="120" w:after="120"/>
      </w:pPr>
      <w:r w:rsidRPr="00DB32A8">
        <w:t>As a result of the increased copy number</w:t>
      </w:r>
      <w:r>
        <w:t xml:space="preserve"> in Moon</w:t>
      </w:r>
      <w:r w:rsidRPr="00DB32A8">
        <w:t>vista™ it is possible that if the line w</w:t>
      </w:r>
      <w:r>
        <w:t>ere used as a parent for</w:t>
      </w:r>
      <w:r w:rsidRPr="00DB32A8">
        <w:t xml:space="preserve"> cross</w:t>
      </w:r>
      <w:r>
        <w:t>ing</w:t>
      </w:r>
      <w:r w:rsidRPr="00DB32A8">
        <w:t xml:space="preserve"> with another carnation cultivar the offspring may have altered biochemical properties (eg increased delphinidin levels) as a result of segregation of the copies of the introduced gene(s).</w:t>
      </w:r>
    </w:p>
    <w:p w14:paraId="7E01B770" w14:textId="77777777" w:rsidR="00256BDC" w:rsidRPr="00DB32A8" w:rsidRDefault="00256BDC" w:rsidP="00256BDC">
      <w:pPr>
        <w:spacing w:before="120" w:after="120"/>
      </w:pPr>
      <w:r w:rsidRPr="00DB32A8">
        <w:t xml:space="preserve">Humans and other organisms are already exposed to delphinidin at much higher levels </w:t>
      </w:r>
      <w:r>
        <w:t>than those occurring in Moonvista</w:t>
      </w:r>
      <w:r w:rsidRPr="00DB32A8">
        <w:t xml:space="preserve">™ because of its occurrence naturally in the environment (eg in flowers such as hibiscus, and pansy and fruits </w:t>
      </w:r>
      <w:r>
        <w:t xml:space="preserve">such as blueberry and cherries) </w:t>
      </w:r>
      <w:r w:rsidRPr="00DB32A8">
        <w:t>without evidence of toxicity or allergenicity to humans or to other organisms.</w:t>
      </w:r>
    </w:p>
    <w:p w14:paraId="22E73B93" w14:textId="77777777" w:rsidR="00256BDC" w:rsidRDefault="00256BDC" w:rsidP="00256BDC">
      <w:pPr>
        <w:pStyle w:val="Paragraph"/>
      </w:pPr>
      <w:r w:rsidRPr="00DB32A8">
        <w:t>Given the reproductive characteristics of carnation (discussed above with regard to the impact of morphological diff</w:t>
      </w:r>
      <w:r>
        <w:t xml:space="preserve">erences in the GM lines) </w:t>
      </w:r>
      <w:r w:rsidRPr="00DB32A8">
        <w:t>the likelihood of crosses between Moonvista™ and other cultivars being successful is very low.</w:t>
      </w:r>
    </w:p>
    <w:p w14:paraId="1BE541DC" w14:textId="77777777" w:rsidR="00256BDC" w:rsidRDefault="00256BDC" w:rsidP="00256BDC">
      <w:pPr>
        <w:pStyle w:val="Paragraph"/>
      </w:pPr>
      <w:r>
        <w:t>In conclusion, the new data on molecular characterisation indicate that the increased copy number in Moonlite™ may result in exposure of people and other organisms to progeny of Moonlite with different copy numbers of the introduced genes. Although this was not considered in the RARMP prepared for DIR 030/2002, this event does not give rise to a new identified risk.</w:t>
      </w:r>
    </w:p>
    <w:p w14:paraId="451C4507" w14:textId="77777777" w:rsidR="00256BDC" w:rsidRDefault="00256BDC" w:rsidP="00256BDC">
      <w:pPr>
        <w:pStyle w:val="Paragraph"/>
        <w:ind w:left="1134" w:hanging="708"/>
        <w:rPr>
          <w:rFonts w:ascii="Arial" w:hAnsi="Arial" w:cs="Arial"/>
          <w:b/>
        </w:rPr>
      </w:pPr>
      <w:r w:rsidRPr="001A5EE8">
        <w:rPr>
          <w:rFonts w:ascii="Arial" w:hAnsi="Arial" w:cs="Arial"/>
          <w:b/>
        </w:rPr>
        <w:t xml:space="preserve">3.4 </w:t>
      </w:r>
      <w:r>
        <w:rPr>
          <w:rFonts w:ascii="Arial" w:hAnsi="Arial" w:cs="Arial"/>
          <w:b/>
        </w:rPr>
        <w:tab/>
      </w:r>
      <w:r w:rsidRPr="001A5EE8">
        <w:rPr>
          <w:rFonts w:ascii="Arial" w:hAnsi="Arial" w:cs="Arial"/>
          <w:b/>
        </w:rPr>
        <w:t>Consideration of whether there is a need for the dealings to be subject to conditions</w:t>
      </w:r>
    </w:p>
    <w:p w14:paraId="6890E88B" w14:textId="77777777" w:rsidR="00256BDC" w:rsidRDefault="00256BDC" w:rsidP="00256BDC">
      <w:pPr>
        <w:pStyle w:val="Paranonumbers"/>
      </w:pPr>
      <w:r>
        <w:t>O</w:t>
      </w:r>
      <w:r w:rsidRPr="00386FE4">
        <w:t xml:space="preserve">ne new event </w:t>
      </w:r>
      <w:r>
        <w:t>that may lead to an adverse outcome has been considered after assessing the data supplied by the applicant</w:t>
      </w:r>
      <w:r w:rsidRPr="00F10630">
        <w:t xml:space="preserve">. However, no risk from this event has been identified and there have been no reports of adverse effects </w:t>
      </w:r>
      <w:r>
        <w:t>on people or the environment from</w:t>
      </w:r>
      <w:r w:rsidRPr="00F10630">
        <w:t xml:space="preserve"> this commercial</w:t>
      </w:r>
      <w:r>
        <w:t xml:space="preserve"> release to date. </w:t>
      </w:r>
      <w:r w:rsidRPr="003A715F">
        <w:t xml:space="preserve">No specific </w:t>
      </w:r>
      <w:r>
        <w:t>risk management conditions were imposed in</w:t>
      </w:r>
      <w:r w:rsidRPr="003A715F">
        <w:t xml:space="preserve"> licence</w:t>
      </w:r>
      <w:r>
        <w:t xml:space="preserve"> DIR 030/2002 and it is not considered necessary to require conditions for dealings in Register 001/2004.</w:t>
      </w:r>
    </w:p>
    <w:p w14:paraId="1A3615E2" w14:textId="77777777" w:rsidR="00256BDC" w:rsidRDefault="00256BDC" w:rsidP="00256BDC">
      <w:pPr>
        <w:autoSpaceDE w:val="0"/>
        <w:autoSpaceDN w:val="0"/>
        <w:adjustRightInd w:val="0"/>
        <w:spacing w:line="240" w:lineRule="atLeast"/>
      </w:pPr>
      <w:r>
        <w:t>Under the Act, a</w:t>
      </w:r>
      <w:r w:rsidRPr="00EB67D4">
        <w:t xml:space="preserve"> determination to include dealings with a GMO on the GMO Register is a disallowable instrument</w:t>
      </w:r>
      <w:r>
        <w:t>. This determination will come into effect if and when the disallowance period for Parliamentary scrutiny has elapsed.</w:t>
      </w:r>
    </w:p>
    <w:p w14:paraId="27F23C78" w14:textId="77777777" w:rsidR="00256BDC" w:rsidRDefault="00256BDC" w:rsidP="00256BDC">
      <w:pPr>
        <w:autoSpaceDE w:val="0"/>
        <w:autoSpaceDN w:val="0"/>
        <w:adjustRightInd w:val="0"/>
        <w:spacing w:line="240" w:lineRule="atLeast"/>
      </w:pPr>
    </w:p>
    <w:p w14:paraId="1306985F" w14:textId="77777777" w:rsidR="00256BDC" w:rsidRDefault="00256BDC" w:rsidP="00256BDC">
      <w:pPr>
        <w:autoSpaceDE w:val="0"/>
        <w:autoSpaceDN w:val="0"/>
        <w:adjustRightInd w:val="0"/>
        <w:spacing w:line="240" w:lineRule="atLeast"/>
        <w:rPr>
          <w:rFonts w:ascii="Tms Rmn" w:hAnsi="Tms Rmn" w:cs="Tms Rmn"/>
        </w:rPr>
      </w:pPr>
    </w:p>
    <w:p w14:paraId="7F1020A4" w14:textId="77777777" w:rsidR="00256BDC" w:rsidRDefault="00256BDC" w:rsidP="00256BDC">
      <w:pPr>
        <w:autoSpaceDE w:val="0"/>
        <w:autoSpaceDN w:val="0"/>
        <w:adjustRightInd w:val="0"/>
        <w:spacing w:line="240" w:lineRule="atLeast"/>
        <w:rPr>
          <w:rFonts w:ascii="Tms Rmn" w:hAnsi="Tms Rmn" w:cs="Tms Rmn"/>
        </w:rPr>
      </w:pPr>
    </w:p>
    <w:p w14:paraId="28C13342" w14:textId="77777777" w:rsidR="00256BDC" w:rsidRPr="00105E18" w:rsidRDefault="00256BDC" w:rsidP="00256BDC">
      <w:pPr>
        <w:pStyle w:val="Paranonumbers"/>
        <w:rPr>
          <w:rFonts w:ascii="Arial" w:hAnsi="Arial" w:cs="Arial"/>
          <w:b/>
          <w:bCs/>
          <w:sz w:val="32"/>
          <w:szCs w:val="32"/>
        </w:rPr>
      </w:pPr>
      <w:r>
        <w:rPr>
          <w:rFonts w:ascii="Arial" w:hAnsi="Arial" w:cs="Arial"/>
          <w:b/>
          <w:bCs/>
          <w:sz w:val="32"/>
          <w:szCs w:val="32"/>
        </w:rPr>
        <w:t xml:space="preserve">4. </w:t>
      </w:r>
      <w:r w:rsidRPr="00105E18">
        <w:rPr>
          <w:rFonts w:ascii="Arial" w:hAnsi="Arial" w:cs="Arial"/>
          <w:b/>
          <w:bCs/>
          <w:sz w:val="32"/>
          <w:szCs w:val="32"/>
        </w:rPr>
        <w:t>Conclusion</w:t>
      </w:r>
    </w:p>
    <w:p w14:paraId="16D8323C" w14:textId="77777777" w:rsidR="00256BDC" w:rsidRDefault="00256BDC" w:rsidP="00256BDC">
      <w:pPr>
        <w:pStyle w:val="Paragraph"/>
      </w:pPr>
      <w:r>
        <w:t xml:space="preserve">The RARMP prepared for licence DIR 030/2002 concluded that the commercial release of carnation lines modified for flower colour </w:t>
      </w:r>
      <w:r w:rsidRPr="00F10630">
        <w:t>posed no risks to the health and safety of people or the Australian environment. No risk treatment conditions were</w:t>
      </w:r>
      <w:r w:rsidRPr="003A715F">
        <w:t xml:space="preserve"> imposed in the licence</w:t>
      </w:r>
      <w:r>
        <w:t xml:space="preserve">. </w:t>
      </w:r>
    </w:p>
    <w:p w14:paraId="7F0BF7AB" w14:textId="77777777" w:rsidR="00256BDC" w:rsidRDefault="00256BDC" w:rsidP="00256BDC">
      <w:pPr>
        <w:pStyle w:val="Paragraph"/>
      </w:pPr>
      <w:r>
        <w:t>A Risk Assessment has been prepared based on additional data obtained from Florigene, together with information from the scientific literature published since the licence was issued, and advice in submissions received through consultation with a wide range of experts, agencies and authorities, and the public</w:t>
      </w:r>
      <w:r w:rsidRPr="006C2EFC">
        <w:t xml:space="preserve">. </w:t>
      </w:r>
      <w:r w:rsidRPr="00AA7D7E">
        <w:t xml:space="preserve">No risks </w:t>
      </w:r>
      <w:r>
        <w:t>have been</w:t>
      </w:r>
      <w:r w:rsidRPr="00AA7D7E">
        <w:t xml:space="preserve"> identified that required further analysis. </w:t>
      </w:r>
      <w:r>
        <w:t>In addition, t</w:t>
      </w:r>
      <w:r w:rsidRPr="006C2EFC">
        <w:t xml:space="preserve">here have been no adverse effects reported over the 10 </w:t>
      </w:r>
      <w:r>
        <w:t>years in which the GM carnation lines</w:t>
      </w:r>
      <w:r w:rsidRPr="006C2EFC">
        <w:t xml:space="preserve"> have been grown and sold commercially in Australia or </w:t>
      </w:r>
      <w:r>
        <w:t>from extensive cultivation and distribution overseas.</w:t>
      </w:r>
    </w:p>
    <w:p w14:paraId="09294D17" w14:textId="77777777" w:rsidR="00256BDC" w:rsidRDefault="00256BDC" w:rsidP="00256BDC">
      <w:pPr>
        <w:pStyle w:val="Paragraph"/>
      </w:pPr>
      <w:r>
        <w:t>The Risk A</w:t>
      </w:r>
      <w:r w:rsidRPr="006C2EFC">
        <w:t>ssessment for Register 001/2004</w:t>
      </w:r>
      <w:r>
        <w:t xml:space="preserve"> considers </w:t>
      </w:r>
      <w:r w:rsidRPr="00AA7D7E">
        <w:t>one new hazard (an event that may cause harm)</w:t>
      </w:r>
      <w:r w:rsidRPr="006C2EFC">
        <w:t xml:space="preserve"> but no risk</w:t>
      </w:r>
      <w:r>
        <w:t xml:space="preserve"> from this event</w:t>
      </w:r>
      <w:r w:rsidRPr="006C2EFC">
        <w:t xml:space="preserve"> </w:t>
      </w:r>
      <w:r>
        <w:t xml:space="preserve">is </w:t>
      </w:r>
      <w:r w:rsidRPr="006C2EFC">
        <w:t>identified</w:t>
      </w:r>
      <w:r>
        <w:t xml:space="preserve">. </w:t>
      </w:r>
      <w:r w:rsidRPr="00AA7D7E">
        <w:t xml:space="preserve">Therefore, the risks posed by the dealings specified in Register 001/2004 </w:t>
      </w:r>
      <w:r>
        <w:t>a</w:t>
      </w:r>
      <w:r w:rsidRPr="00AA7D7E">
        <w:t xml:space="preserve">re considered, by definition of the Act, to be </w:t>
      </w:r>
      <w:r w:rsidRPr="00AA7D7E">
        <w:rPr>
          <w:bCs/>
        </w:rPr>
        <w:t>minimal</w:t>
      </w:r>
      <w:r>
        <w:rPr>
          <w:bCs/>
        </w:rPr>
        <w:t>. Hence</w:t>
      </w:r>
      <w:r>
        <w:t xml:space="preserve"> it is</w:t>
      </w:r>
      <w:r w:rsidRPr="006C2EFC">
        <w:t xml:space="preserve"> not considered necessary for</w:t>
      </w:r>
      <w:r>
        <w:t xml:space="preserve"> persons undertaking the dealings to hold, or be covered by a GMO licence, in order to protect the health and safety of people or to protect the environment. </w:t>
      </w:r>
    </w:p>
    <w:p w14:paraId="107F2979" w14:textId="77777777" w:rsidR="00256BDC" w:rsidRPr="00E1247F" w:rsidRDefault="00256BDC" w:rsidP="00256BDC">
      <w:pPr>
        <w:pStyle w:val="Paranonumbers"/>
      </w:pPr>
      <w:r>
        <w:t>In summary, the dealings specified in application Register 001/2004 involving the ongoing commercial release of four GM carnation lines modified for flower colour, are considered to meet the criteria for inclusion on the GMO Register, and not require the dealings to be subject to conditions.</w:t>
      </w:r>
      <w:r w:rsidRPr="000B26AE">
        <w:rPr>
          <w:rFonts w:ascii="Arial" w:hAnsi="Arial" w:cs="Arial"/>
          <w:b/>
          <w:bCs/>
          <w:sz w:val="36"/>
          <w:szCs w:val="36"/>
        </w:rPr>
        <w:fldChar w:fldCharType="begin"/>
      </w:r>
      <w:r w:rsidRPr="000B26AE">
        <w:rPr>
          <w:rFonts w:ascii="Arial" w:hAnsi="Arial" w:cs="Arial"/>
          <w:b/>
          <w:bCs/>
          <w:sz w:val="36"/>
          <w:szCs w:val="36"/>
        </w:rPr>
        <w:instrText xml:space="preserve"> ADDIN REFMGR.REFLIST </w:instrText>
      </w:r>
      <w:r w:rsidRPr="000B26AE">
        <w:rPr>
          <w:rFonts w:ascii="Arial" w:hAnsi="Arial" w:cs="Arial"/>
          <w:b/>
          <w:bCs/>
          <w:sz w:val="36"/>
          <w:szCs w:val="36"/>
        </w:rPr>
        <w:fldChar w:fldCharType="separate"/>
      </w:r>
    </w:p>
    <w:p w14:paraId="7966D0AF" w14:textId="77777777" w:rsidR="00256BDC" w:rsidRPr="00DF73C4" w:rsidRDefault="00256BDC" w:rsidP="00256BDC">
      <w:pPr>
        <w:pStyle w:val="Paragraph"/>
        <w:rPr>
          <w:rFonts w:ascii="Arial" w:hAnsi="Arial" w:cs="Arial"/>
          <w:b/>
          <w:bCs/>
          <w:sz w:val="36"/>
          <w:szCs w:val="36"/>
        </w:rPr>
      </w:pPr>
      <w:r w:rsidRPr="00DF73C4">
        <w:rPr>
          <w:rFonts w:ascii="Arial" w:hAnsi="Arial" w:cs="Arial"/>
          <w:b/>
          <w:bCs/>
          <w:sz w:val="36"/>
          <w:szCs w:val="36"/>
        </w:rPr>
        <w:t>References</w:t>
      </w:r>
    </w:p>
    <w:p w14:paraId="7860BF95" w14:textId="77777777" w:rsidR="00256BDC" w:rsidRDefault="00256BDC" w:rsidP="00256BDC">
      <w:pPr>
        <w:pStyle w:val="Paragraph"/>
      </w:pPr>
      <w:r>
        <w:t xml:space="preserve">ACRE- Advisory Committee on Releases to the Environment (2005). Advice on a notification for marketing of carnation "Florigene Moonlite". Department for Food, Environment and Rural Affairs, UK. </w:t>
      </w:r>
      <w:r w:rsidRPr="00FD30B3">
        <w:t>http://www.defra.gov.uk/ENVIRONMENT/acre/advice/pdf/acre_advice66.pdf#search=%22ACRE%20Moonlite%22</w:t>
      </w:r>
    </w:p>
    <w:p w14:paraId="32A2BAA1" w14:textId="77777777" w:rsidR="00256BDC" w:rsidRDefault="00256BDC" w:rsidP="00256BDC">
      <w:pPr>
        <w:pStyle w:val="Paragraph"/>
      </w:pPr>
      <w:r>
        <w:t>Ames, B.N., Durston, W.E., Yamasaki, E., Lee, F.D. (1973). Carcinogens are mutagens: a simple test system combining liver homogenates for activation and bacteria for detection. Proceedings of the National Academy of Sciences, USA 70: 2281 - 2285.</w:t>
      </w:r>
    </w:p>
    <w:p w14:paraId="27DE83F0" w14:textId="77777777" w:rsidR="00256BDC" w:rsidRDefault="00256BDC" w:rsidP="00256BDC">
      <w:pPr>
        <w:pStyle w:val="Paragraph"/>
      </w:pPr>
      <w:r>
        <w:t xml:space="preserve">BCH - Biosafety Clearing House (2006). Database entry #4954 relating to GM carnations. </w:t>
      </w:r>
      <w:r w:rsidRPr="00BE50D4">
        <w:t>http://bch.biodiv.org/database/record.shtml?id=4954</w:t>
      </w:r>
    </w:p>
    <w:p w14:paraId="1E7852AD" w14:textId="77777777" w:rsidR="00256BDC" w:rsidRPr="006C02B4" w:rsidRDefault="00256BDC" w:rsidP="00256BDC">
      <w:pPr>
        <w:tabs>
          <w:tab w:val="left" w:pos="0"/>
        </w:tabs>
        <w:spacing w:before="120" w:after="120"/>
        <w:rPr>
          <w:snapToGrid w:val="0"/>
        </w:rPr>
      </w:pPr>
      <w:r w:rsidRPr="006C02B4">
        <w:rPr>
          <w:snapToGrid w:val="0"/>
        </w:rPr>
        <w:t xml:space="preserve">COGEM </w:t>
      </w:r>
      <w:r>
        <w:rPr>
          <w:snapToGrid w:val="0"/>
        </w:rPr>
        <w:t xml:space="preserve">- Dutch Commission on Genetic Modification </w:t>
      </w:r>
      <w:r w:rsidRPr="006C02B4">
        <w:rPr>
          <w:snapToGrid w:val="0"/>
        </w:rPr>
        <w:t>(2005). Import of cut flowers of the genetically modified carnation variety 'Florigen Moolite' (C/NL/04/02). COGEM advice: CGM/050207-01.</w:t>
      </w:r>
      <w:r>
        <w:rPr>
          <w:snapToGrid w:val="0"/>
        </w:rPr>
        <w:t xml:space="preserve"> </w:t>
      </w:r>
      <w:r w:rsidRPr="006C02B4">
        <w:rPr>
          <w:snapToGrid w:val="0"/>
        </w:rPr>
        <w:t>http://www.cogem.net/ContentFiles/CGM%20050207-01.pdf</w:t>
      </w:r>
    </w:p>
    <w:p w14:paraId="09086B14" w14:textId="77777777" w:rsidR="00256BDC" w:rsidRDefault="00256BDC" w:rsidP="00256BDC">
      <w:pPr>
        <w:pStyle w:val="Paragraph"/>
        <w:spacing w:before="0" w:after="0"/>
      </w:pPr>
      <w:r>
        <w:t xml:space="preserve">EFSA - European Food Safety Authority (2006). Opinion of the Scientific panel on Genetically Modified Organisms on a request from the Commission related to the notification (reference C/NL/04/02) for the placing on the market of the genetically modified carnation Moonlite 123.2.38 with a modified colour, for the import of cut flowers for ornamental use, under Part C of Directive 2001/18/EC from Florigene. The EFSA Journal 362: 1-19. </w:t>
      </w:r>
      <w:r w:rsidRPr="00AA0011">
        <w:t>http://www.efsa.europa.eu/etc/medialib/efsa/science/gmo/gmo_opinions/1559.Par.0001.File.dat/gmo_op_ej362_carnation_moonlite_en1.pdf</w:t>
      </w:r>
    </w:p>
    <w:p w14:paraId="23008288" w14:textId="77777777" w:rsidR="00256BDC" w:rsidRDefault="00256BDC" w:rsidP="00256BDC">
      <w:pPr>
        <w:pStyle w:val="Paragraph"/>
        <w:tabs>
          <w:tab w:val="left" w:pos="567"/>
        </w:tabs>
      </w:pPr>
      <w:r>
        <w:t>Florigene (unpublished, a). Additional information for OGTR, September 2005.</w:t>
      </w:r>
    </w:p>
    <w:p w14:paraId="659C71F2" w14:textId="77777777" w:rsidR="00256BDC" w:rsidRDefault="00256BDC" w:rsidP="00256BDC">
      <w:pPr>
        <w:pStyle w:val="Paragraph"/>
        <w:tabs>
          <w:tab w:val="left" w:pos="567"/>
        </w:tabs>
      </w:pPr>
      <w:r>
        <w:t>Florigene (unpublished, b). Additional Information 030/2002, prepared by Florigene for the OGTR Nov 27 2005.</w:t>
      </w:r>
    </w:p>
    <w:p w14:paraId="3DCC4940" w14:textId="77777777" w:rsidR="00256BDC" w:rsidRDefault="00256BDC" w:rsidP="00256BDC">
      <w:pPr>
        <w:pStyle w:val="Paragraph"/>
        <w:tabs>
          <w:tab w:val="left" w:pos="567"/>
        </w:tabs>
      </w:pPr>
      <w:r>
        <w:t>Florigene (unpublished, c). Additional information for OGTR, February 2006.</w:t>
      </w:r>
    </w:p>
    <w:p w14:paraId="6122EB26" w14:textId="77777777" w:rsidR="00256BDC" w:rsidRPr="00D37171" w:rsidRDefault="00256BDC" w:rsidP="00256BDC">
      <w:pPr>
        <w:pStyle w:val="Paragraph"/>
      </w:pPr>
      <w:r>
        <w:t xml:space="preserve">J-BCH - Japan Biosafety Clearing House </w:t>
      </w:r>
      <w:r w:rsidRPr="00D37171">
        <w:t>(2004)</w:t>
      </w:r>
      <w:r>
        <w:t xml:space="preserve">. Database entries for 2004. </w:t>
      </w:r>
      <w:r w:rsidRPr="00D37171">
        <w:t>http://www.bch.biodic.go.jp/english/lmo_2004.html</w:t>
      </w:r>
    </w:p>
    <w:p w14:paraId="13A3F4E9" w14:textId="77777777" w:rsidR="00256BDC" w:rsidRDefault="00256BDC" w:rsidP="00256BDC">
      <w:pPr>
        <w:pStyle w:val="Paragraph"/>
        <w:tabs>
          <w:tab w:val="left" w:pos="567"/>
          <w:tab w:val="left" w:pos="4111"/>
        </w:tabs>
        <w:spacing w:before="0" w:after="0"/>
      </w:pPr>
      <w:r>
        <w:t xml:space="preserve">Netherlands Competent Authority (2005). Assessment Report of the Netherlands Competent Authority in Accordance with Directive 2001/18/EC. </w:t>
      </w:r>
    </w:p>
    <w:p w14:paraId="13F75BE6" w14:textId="77777777" w:rsidR="00256BDC" w:rsidRDefault="00256BDC" w:rsidP="00256BDC">
      <w:pPr>
        <w:pStyle w:val="Paragraph"/>
        <w:tabs>
          <w:tab w:val="left" w:pos="567"/>
          <w:tab w:val="left" w:pos="4111"/>
        </w:tabs>
        <w:spacing w:before="0" w:after="0"/>
      </w:pPr>
      <w:r w:rsidRPr="003E63D9">
        <w:t>http:</w:t>
      </w:r>
      <w:r>
        <w:t xml:space="preserve">//gmoinfo.jrc.it/csnifs/C-NL-04- </w:t>
      </w:r>
      <w:r w:rsidRPr="003E63D9">
        <w:t>02_AssessmentReport.pdf#search=%22Netherlands%20Competent%20Authority%20C%2FNL%2F04%2F02%22</w:t>
      </w:r>
    </w:p>
    <w:p w14:paraId="138D4473" w14:textId="77777777" w:rsidR="00256BDC" w:rsidRPr="001754AB" w:rsidRDefault="00256BDC" w:rsidP="00256BDC">
      <w:pPr>
        <w:tabs>
          <w:tab w:val="left" w:pos="567"/>
        </w:tabs>
        <w:autoSpaceDE w:val="0"/>
        <w:autoSpaceDN w:val="0"/>
        <w:adjustRightInd w:val="0"/>
        <w:spacing w:before="120" w:after="120"/>
        <w:rPr>
          <w:sz w:val="22"/>
          <w:szCs w:val="22"/>
        </w:rPr>
      </w:pPr>
      <w:r>
        <w:t>OECD - Organisation for Economic Co-operation and Development (2001). OECD Guideline for the Testing of Chemicals. Chemical testing Guideline 420 (</w:t>
      </w:r>
      <w:r>
        <w:rPr>
          <w:sz w:val="22"/>
          <w:szCs w:val="22"/>
        </w:rPr>
        <w:t>Acute Oral toxicity – Acute Toxic Class Method). Updated 17</w:t>
      </w:r>
      <w:r w:rsidRPr="001754AB">
        <w:rPr>
          <w:sz w:val="22"/>
          <w:szCs w:val="22"/>
          <w:vertAlign w:val="superscript"/>
        </w:rPr>
        <w:t>th</w:t>
      </w:r>
      <w:r>
        <w:rPr>
          <w:sz w:val="22"/>
          <w:szCs w:val="22"/>
        </w:rPr>
        <w:t xml:space="preserve"> December 2001.</w:t>
      </w:r>
    </w:p>
    <w:p w14:paraId="2D87A49A" w14:textId="77777777" w:rsidR="00256BDC" w:rsidRPr="001B774A" w:rsidRDefault="00256BDC" w:rsidP="00256BDC">
      <w:pPr>
        <w:pStyle w:val="Paragraph"/>
        <w:tabs>
          <w:tab w:val="left" w:pos="567"/>
        </w:tabs>
      </w:pPr>
      <w:r>
        <w:t xml:space="preserve">OGTR - Office of the Gene Technology Regulator (2003). Risk Assessment  and Risk Management Plan for DIR 030/2002: Commercial release of colour modified carnations (replacement of deemed licence GR-2). </w:t>
      </w:r>
      <w:r w:rsidRPr="001B774A">
        <w:t>http://www.ogtr.gov.au/ir/dir030.htm</w:t>
      </w:r>
    </w:p>
    <w:p w14:paraId="47C283F5" w14:textId="77777777" w:rsidR="00256BDC" w:rsidRDefault="00256BDC" w:rsidP="00256BDC">
      <w:pPr>
        <w:pStyle w:val="Paragraph"/>
        <w:tabs>
          <w:tab w:val="left" w:pos="567"/>
        </w:tabs>
      </w:pPr>
      <w:r>
        <w:t xml:space="preserve">OGTR - Office of the Gene Technology Regulator (2006a). </w:t>
      </w:r>
      <w:r w:rsidRPr="001B774A">
        <w:t xml:space="preserve">Biology and Ecology of </w:t>
      </w:r>
      <w:r w:rsidRPr="001B774A">
        <w:rPr>
          <w:i/>
          <w:iCs/>
        </w:rPr>
        <w:t>Dianthus caryophyllus</w:t>
      </w:r>
      <w:r w:rsidRPr="001B774A">
        <w:t xml:space="preserve"> L. (Carnation)</w:t>
      </w:r>
      <w:r>
        <w:t xml:space="preserve">. </w:t>
      </w:r>
      <w:r w:rsidRPr="0058667D">
        <w:t>http://www.ogtr.gov.au/reg/reg001.htm</w:t>
      </w:r>
    </w:p>
    <w:p w14:paraId="0C4D29F2" w14:textId="77777777" w:rsidR="00256BDC" w:rsidRPr="009C5E93" w:rsidRDefault="00256BDC" w:rsidP="00256BDC">
      <w:pPr>
        <w:pStyle w:val="Paragraph"/>
        <w:tabs>
          <w:tab w:val="left" w:pos="567"/>
        </w:tabs>
      </w:pPr>
      <w:r>
        <w:t xml:space="preserve">OGTR - Office of the Gene Technology Regulator (2006b). Invitation to comment on proposal to include dealings with GM carnations on the GMO Register. </w:t>
      </w:r>
      <w:r w:rsidRPr="009C5E93">
        <w:t>http://www.ogtr.gov.au/reg/reg001.htm</w:t>
      </w:r>
    </w:p>
    <w:p w14:paraId="074ED786" w14:textId="77777777" w:rsidR="00256BDC" w:rsidRDefault="00256BDC" w:rsidP="00256BDC">
      <w:pPr>
        <w:pStyle w:val="NormalWeb"/>
        <w:tabs>
          <w:tab w:val="left" w:pos="567"/>
        </w:tabs>
        <w:spacing w:before="0" w:after="0"/>
      </w:pPr>
      <w:r w:rsidRPr="003E63D9">
        <w:t xml:space="preserve">SNIF </w:t>
      </w:r>
      <w:r>
        <w:t xml:space="preserve">- Summary Notification Information Format </w:t>
      </w:r>
      <w:r w:rsidRPr="003E63D9">
        <w:t xml:space="preserve">(2004). Modified version of the </w:t>
      </w:r>
      <w:r>
        <w:t>SNIF</w:t>
      </w:r>
      <w:r w:rsidRPr="003E63D9">
        <w:t xml:space="preserve"> for application </w:t>
      </w:r>
      <w:r w:rsidRPr="003E63D9">
        <w:rPr>
          <w:b/>
          <w:bCs/>
        </w:rPr>
        <w:t xml:space="preserve">C/NL/04/02 </w:t>
      </w:r>
      <w:r w:rsidRPr="003E63D9">
        <w:t xml:space="preserve">submittted by Florigene concerning the carnation with modified colour. </w:t>
      </w:r>
    </w:p>
    <w:p w14:paraId="76AEE267" w14:textId="77777777" w:rsidR="00256BDC" w:rsidRDefault="00256BDC" w:rsidP="00256BDC">
      <w:pPr>
        <w:pStyle w:val="NormalWeb"/>
        <w:tabs>
          <w:tab w:val="left" w:pos="567"/>
        </w:tabs>
        <w:spacing w:before="0" w:after="0"/>
      </w:pPr>
      <w:r w:rsidRPr="003E63D9">
        <w:t>http:</w:t>
      </w:r>
      <w:r>
        <w:t>//gmoinfo.jrc.it/csnifs/C-NL-04-</w:t>
      </w:r>
      <w:r w:rsidRPr="003E63D9">
        <w:t>02_revised.pdf#search=%22Netherlands%20Competent%20Authority%20C%2FNL%2F04%2F02%22</w:t>
      </w:r>
    </w:p>
    <w:p w14:paraId="2E30887F" w14:textId="77777777" w:rsidR="00256BDC" w:rsidRDefault="00256BDC" w:rsidP="00256BDC">
      <w:pPr>
        <w:pStyle w:val="NormalWeb"/>
        <w:tabs>
          <w:tab w:val="left" w:pos="567"/>
        </w:tabs>
        <w:spacing w:before="120" w:after="120"/>
      </w:pPr>
      <w:r w:rsidRPr="00D31122">
        <w:t>Yamaguchi</w:t>
      </w:r>
      <w:r>
        <w:t>,</w:t>
      </w:r>
      <w:r w:rsidRPr="00D31122">
        <w:t xml:space="preserve"> A</w:t>
      </w:r>
      <w:r>
        <w:t>.</w:t>
      </w:r>
      <w:r w:rsidRPr="00D31122">
        <w:t>, Someya</w:t>
      </w:r>
      <w:r>
        <w:t>,</w:t>
      </w:r>
      <w:r w:rsidRPr="00D31122">
        <w:t xml:space="preserve"> Y</w:t>
      </w:r>
      <w:r>
        <w:t>.</w:t>
      </w:r>
      <w:r w:rsidRPr="00D31122">
        <w:t>, Sawai</w:t>
      </w:r>
      <w:r>
        <w:t>,</w:t>
      </w:r>
      <w:r w:rsidRPr="00D31122">
        <w:t xml:space="preserve"> T</w:t>
      </w:r>
      <w:r>
        <w:t>.</w:t>
      </w:r>
      <w:r w:rsidRPr="00D31122">
        <w:t xml:space="preserve"> (1993)</w:t>
      </w:r>
      <w:r>
        <w:t>.</w:t>
      </w:r>
      <w:r w:rsidRPr="00D31122">
        <w:t xml:space="preserve"> The</w:t>
      </w:r>
      <w:r w:rsidRPr="00DF73C4">
        <w:rPr>
          <w:i/>
          <w:iCs/>
        </w:rPr>
        <w:t xml:space="preserve"> in vivo</w:t>
      </w:r>
      <w:r w:rsidRPr="00D31122">
        <w:t xml:space="preserve"> assembly and function of the N- and C- terminal halves of the Tn10-encoded TetA protein in</w:t>
      </w:r>
      <w:r w:rsidRPr="00DF73C4">
        <w:rPr>
          <w:i/>
          <w:iCs/>
        </w:rPr>
        <w:t xml:space="preserve"> Escherichia coli</w:t>
      </w:r>
      <w:r w:rsidRPr="00D31122">
        <w:t xml:space="preserve">. </w:t>
      </w:r>
      <w:r w:rsidRPr="00D31122">
        <w:rPr>
          <w:i/>
          <w:iCs/>
        </w:rPr>
        <w:t>FEBS Letters</w:t>
      </w:r>
      <w:r w:rsidRPr="00D31122">
        <w:t xml:space="preserve"> </w:t>
      </w:r>
      <w:r w:rsidRPr="00D31122">
        <w:rPr>
          <w:b/>
          <w:bCs/>
        </w:rPr>
        <w:t>324</w:t>
      </w:r>
      <w:r>
        <w:rPr>
          <w:b/>
          <w:bCs/>
        </w:rPr>
        <w:t>:</w:t>
      </w:r>
      <w:r>
        <w:t xml:space="preserve"> 131-135.</w:t>
      </w:r>
    </w:p>
    <w:p w14:paraId="16F14C60" w14:textId="77777777" w:rsidR="00256BDC" w:rsidRPr="003649A0" w:rsidRDefault="00256BDC" w:rsidP="00256BDC"/>
    <w:p w14:paraId="420BC95B" w14:textId="77777777" w:rsidR="00256BDC" w:rsidRPr="00845085" w:rsidRDefault="00256BDC" w:rsidP="00256BDC">
      <w:pPr>
        <w:pStyle w:val="Heading1"/>
        <w:tabs>
          <w:tab w:val="left" w:pos="1843"/>
        </w:tabs>
        <w:spacing w:before="120" w:after="120"/>
        <w:ind w:left="1843" w:hanging="1843"/>
        <w:rPr>
          <w:rFonts w:ascii="Arial Narrow" w:hAnsi="Arial Narrow"/>
          <w:caps/>
          <w:color w:val="000000"/>
          <w:sz w:val="28"/>
          <w:szCs w:val="28"/>
          <w:lang w:eastAsia="en-US"/>
        </w:rPr>
      </w:pPr>
      <w:r>
        <w:br w:type="page"/>
      </w:r>
      <w:r w:rsidRPr="00845085">
        <w:rPr>
          <w:rFonts w:ascii="Arial Narrow" w:hAnsi="Arial Narrow"/>
          <w:color w:val="000000"/>
          <w:sz w:val="28"/>
          <w:szCs w:val="28"/>
          <w:lang w:eastAsia="en-US"/>
        </w:rPr>
        <w:t xml:space="preserve">Appendix A: </w:t>
      </w:r>
      <w:r w:rsidRPr="00845085">
        <w:rPr>
          <w:rFonts w:ascii="Arial Narrow" w:hAnsi="Arial Narrow"/>
          <w:caps/>
          <w:color w:val="000000"/>
          <w:sz w:val="28"/>
          <w:szCs w:val="28"/>
          <w:lang w:eastAsia="en-US"/>
        </w:rPr>
        <w:tab/>
      </w:r>
      <w:r>
        <w:rPr>
          <w:rFonts w:ascii="Arial Narrow" w:hAnsi="Arial Narrow"/>
          <w:color w:val="000000"/>
          <w:sz w:val="28"/>
          <w:szCs w:val="28"/>
          <w:lang w:eastAsia="en-US"/>
        </w:rPr>
        <w:t xml:space="preserve">Summary of submissions </w:t>
      </w:r>
      <w:r w:rsidRPr="00845085">
        <w:rPr>
          <w:rFonts w:ascii="Arial Narrow" w:hAnsi="Arial Narrow"/>
          <w:color w:val="000000"/>
          <w:sz w:val="28"/>
          <w:szCs w:val="28"/>
          <w:lang w:eastAsia="en-US"/>
        </w:rPr>
        <w:t>received from experts, agencies and authorities for Register 001/2004</w:t>
      </w:r>
    </w:p>
    <w:p w14:paraId="593870AA" w14:textId="77777777" w:rsidR="00256BDC" w:rsidRPr="00B64741" w:rsidRDefault="00256BDC" w:rsidP="00256BDC">
      <w:pPr>
        <w:pStyle w:val="Normal-nospace"/>
        <w:tabs>
          <w:tab w:val="left" w:pos="1425"/>
        </w:tabs>
        <w:spacing w:before="40" w:after="40"/>
        <w:rPr>
          <w:b/>
          <w:bCs/>
          <w:color w:val="000000"/>
          <w:sz w:val="24"/>
          <w:szCs w:val="24"/>
          <w:lang w:val="en-AU"/>
        </w:rPr>
      </w:pPr>
      <w:r w:rsidRPr="00B64741">
        <w:rPr>
          <w:b/>
          <w:bCs/>
          <w:color w:val="000000"/>
          <w:sz w:val="24"/>
          <w:szCs w:val="24"/>
          <w:lang w:val="en-AU"/>
        </w:rPr>
        <w:t>GMO:</w:t>
      </w:r>
      <w:r w:rsidRPr="00B64741">
        <w:rPr>
          <w:b/>
          <w:bCs/>
          <w:color w:val="000000"/>
          <w:sz w:val="24"/>
          <w:szCs w:val="24"/>
          <w:lang w:val="en-AU"/>
        </w:rPr>
        <w:tab/>
      </w:r>
      <w:r>
        <w:rPr>
          <w:b/>
          <w:bCs/>
          <w:color w:val="000000"/>
          <w:sz w:val="24"/>
          <w:szCs w:val="24"/>
          <w:lang w:val="en-AU"/>
        </w:rPr>
        <w:t>4 lines of GM carnations modified for flower colour</w:t>
      </w:r>
    </w:p>
    <w:p w14:paraId="654703F8" w14:textId="77777777" w:rsidR="00256BDC" w:rsidRPr="00B64741" w:rsidRDefault="00256BDC" w:rsidP="00256BDC">
      <w:pPr>
        <w:pStyle w:val="Normal-nospace"/>
        <w:tabs>
          <w:tab w:val="left" w:pos="1425"/>
        </w:tabs>
        <w:spacing w:before="40" w:after="40"/>
        <w:rPr>
          <w:b/>
          <w:bCs/>
          <w:color w:val="000000"/>
          <w:sz w:val="24"/>
          <w:szCs w:val="24"/>
          <w:lang w:val="en-AU"/>
        </w:rPr>
      </w:pPr>
      <w:r w:rsidRPr="00B64741">
        <w:rPr>
          <w:b/>
          <w:bCs/>
          <w:color w:val="000000"/>
          <w:sz w:val="24"/>
          <w:szCs w:val="24"/>
          <w:lang w:val="en-AU"/>
        </w:rPr>
        <w:t>Applicant:</w:t>
      </w:r>
      <w:r w:rsidRPr="00B64741">
        <w:rPr>
          <w:b/>
          <w:bCs/>
          <w:color w:val="000000"/>
          <w:sz w:val="24"/>
          <w:szCs w:val="24"/>
          <w:lang w:val="en-AU"/>
        </w:rPr>
        <w:tab/>
        <w:t>Florigene</w:t>
      </w:r>
      <w:r>
        <w:rPr>
          <w:b/>
          <w:bCs/>
          <w:color w:val="000000"/>
          <w:sz w:val="24"/>
          <w:szCs w:val="24"/>
          <w:lang w:val="en-AU"/>
        </w:rPr>
        <w:t xml:space="preserve"> Pty Ltd</w:t>
      </w:r>
    </w:p>
    <w:p w14:paraId="7070359B" w14:textId="77777777" w:rsidR="00256BDC" w:rsidRPr="00C414B4" w:rsidRDefault="00256BDC" w:rsidP="00256BDC">
      <w:pPr>
        <w:pStyle w:val="Normal-nospace"/>
        <w:spacing w:before="40" w:after="40"/>
        <w:rPr>
          <w:rFonts w:ascii="Times New Roman" w:hAnsi="Times New Roman" w:cs="Times New Roman"/>
          <w:b/>
          <w:bCs/>
          <w:color w:val="000000"/>
          <w:sz w:val="24"/>
          <w:szCs w:val="24"/>
          <w:lang w:val="en-AU"/>
        </w:rPr>
      </w:pPr>
    </w:p>
    <w:p w14:paraId="1BC56675" w14:textId="77777777" w:rsidR="00256BDC" w:rsidRDefault="00256BDC" w:rsidP="00256BDC"/>
    <w:p w14:paraId="7EF866C0" w14:textId="77777777" w:rsidR="00256BDC" w:rsidRDefault="00256BDC" w:rsidP="00256BDC">
      <w:r>
        <w:t>None of the experts, agencies and authorities consulted on application Register 001/2004 identified any risks to human health and safety or the environment that required further analysis or consideration, and all were supportive of the dealings being placed on the GMO Register.</w:t>
      </w:r>
    </w:p>
    <w:p w14:paraId="1A8AC232" w14:textId="77777777" w:rsidR="00256BDC" w:rsidRPr="00845085" w:rsidRDefault="00256BDC" w:rsidP="00256BDC">
      <w:pPr>
        <w:pStyle w:val="Heading1"/>
        <w:tabs>
          <w:tab w:val="left" w:pos="1843"/>
        </w:tabs>
        <w:spacing w:before="120" w:after="120"/>
        <w:ind w:left="1843" w:hanging="1843"/>
        <w:rPr>
          <w:rFonts w:ascii="Arial Narrow" w:hAnsi="Arial Narrow"/>
          <w:caps/>
          <w:color w:val="000000"/>
          <w:sz w:val="28"/>
          <w:szCs w:val="28"/>
          <w:lang w:eastAsia="en-US"/>
        </w:rPr>
      </w:pPr>
      <w:r>
        <w:br w:type="page"/>
      </w:r>
      <w:r w:rsidRPr="00845085">
        <w:rPr>
          <w:rFonts w:ascii="Arial Narrow" w:hAnsi="Arial Narrow"/>
          <w:color w:val="000000"/>
          <w:sz w:val="28"/>
          <w:szCs w:val="28"/>
          <w:lang w:eastAsia="en-US"/>
        </w:rPr>
        <w:t xml:space="preserve">Appendix B: </w:t>
      </w:r>
      <w:r w:rsidRPr="00845085">
        <w:rPr>
          <w:rFonts w:ascii="Arial Narrow" w:hAnsi="Arial Narrow"/>
          <w:caps/>
          <w:color w:val="000000"/>
          <w:sz w:val="28"/>
          <w:szCs w:val="28"/>
          <w:lang w:eastAsia="en-US"/>
        </w:rPr>
        <w:tab/>
      </w:r>
      <w:r w:rsidRPr="00845085">
        <w:rPr>
          <w:rFonts w:ascii="Arial Narrow" w:hAnsi="Arial Narrow"/>
          <w:color w:val="000000"/>
          <w:sz w:val="28"/>
          <w:szCs w:val="28"/>
          <w:lang w:eastAsia="en-US"/>
        </w:rPr>
        <w:t>Summary of submissions</w:t>
      </w:r>
      <w:r>
        <w:rPr>
          <w:rFonts w:ascii="Arial Narrow" w:hAnsi="Arial Narrow"/>
          <w:color w:val="000000"/>
          <w:sz w:val="28"/>
          <w:szCs w:val="28"/>
          <w:lang w:eastAsia="en-US"/>
        </w:rPr>
        <w:t xml:space="preserve"> </w:t>
      </w:r>
      <w:r w:rsidRPr="00845085">
        <w:rPr>
          <w:rFonts w:ascii="Arial Narrow" w:hAnsi="Arial Narrow"/>
          <w:color w:val="000000"/>
          <w:sz w:val="28"/>
          <w:szCs w:val="28"/>
          <w:lang w:eastAsia="en-US"/>
        </w:rPr>
        <w:t>received from the public for Register 001/2004</w:t>
      </w:r>
    </w:p>
    <w:p w14:paraId="5848C81D" w14:textId="77777777" w:rsidR="00256BDC" w:rsidRPr="00B64741" w:rsidRDefault="00256BDC" w:rsidP="00256BDC">
      <w:pPr>
        <w:pStyle w:val="Normal-nospace"/>
        <w:tabs>
          <w:tab w:val="left" w:pos="1425"/>
        </w:tabs>
        <w:spacing w:before="40" w:after="40"/>
        <w:rPr>
          <w:b/>
          <w:bCs/>
          <w:color w:val="000000"/>
          <w:sz w:val="24"/>
          <w:szCs w:val="24"/>
          <w:lang w:val="en-AU"/>
        </w:rPr>
      </w:pPr>
      <w:r w:rsidRPr="00B64741">
        <w:rPr>
          <w:b/>
          <w:bCs/>
          <w:color w:val="000000"/>
          <w:sz w:val="24"/>
          <w:szCs w:val="24"/>
          <w:lang w:val="en-AU"/>
        </w:rPr>
        <w:t>GMO:</w:t>
      </w:r>
      <w:r w:rsidRPr="00B64741">
        <w:rPr>
          <w:b/>
          <w:bCs/>
          <w:color w:val="000000"/>
          <w:sz w:val="24"/>
          <w:szCs w:val="24"/>
          <w:lang w:val="en-AU"/>
        </w:rPr>
        <w:tab/>
      </w:r>
      <w:r>
        <w:rPr>
          <w:b/>
          <w:bCs/>
          <w:color w:val="000000"/>
          <w:sz w:val="24"/>
          <w:szCs w:val="24"/>
          <w:lang w:val="en-AU"/>
        </w:rPr>
        <w:t>4 lines of GM carnations modified for flower colour</w:t>
      </w:r>
    </w:p>
    <w:p w14:paraId="7B31D31A" w14:textId="77777777" w:rsidR="00256BDC" w:rsidRPr="00B64741" w:rsidRDefault="00256BDC" w:rsidP="00256BDC">
      <w:pPr>
        <w:pStyle w:val="Normal-nospace"/>
        <w:tabs>
          <w:tab w:val="left" w:pos="1425"/>
        </w:tabs>
        <w:spacing w:before="40" w:after="40"/>
        <w:rPr>
          <w:b/>
          <w:bCs/>
          <w:color w:val="000000"/>
          <w:sz w:val="24"/>
          <w:szCs w:val="24"/>
          <w:lang w:val="en-AU"/>
        </w:rPr>
      </w:pPr>
      <w:r w:rsidRPr="00B64741">
        <w:rPr>
          <w:b/>
          <w:bCs/>
          <w:color w:val="000000"/>
          <w:sz w:val="24"/>
          <w:szCs w:val="24"/>
          <w:lang w:val="en-AU"/>
        </w:rPr>
        <w:t>Applicant:</w:t>
      </w:r>
      <w:r w:rsidRPr="00B64741">
        <w:rPr>
          <w:b/>
          <w:bCs/>
          <w:color w:val="000000"/>
          <w:sz w:val="24"/>
          <w:szCs w:val="24"/>
          <w:lang w:val="en-AU"/>
        </w:rPr>
        <w:tab/>
        <w:t>Florigene</w:t>
      </w:r>
      <w:r>
        <w:rPr>
          <w:b/>
          <w:bCs/>
          <w:color w:val="000000"/>
          <w:sz w:val="24"/>
          <w:szCs w:val="24"/>
          <w:lang w:val="en-AU"/>
        </w:rPr>
        <w:t xml:space="preserve"> Pty Ltd</w:t>
      </w:r>
    </w:p>
    <w:p w14:paraId="417C9317" w14:textId="77777777" w:rsidR="00256BDC" w:rsidRPr="00C414B4" w:rsidRDefault="00256BDC" w:rsidP="00256BDC">
      <w:pPr>
        <w:pStyle w:val="Normal-nospace"/>
        <w:spacing w:before="40" w:after="40"/>
        <w:rPr>
          <w:rFonts w:ascii="Times New Roman" w:hAnsi="Times New Roman" w:cs="Times New Roman"/>
          <w:b/>
          <w:bCs/>
          <w:color w:val="000000"/>
          <w:sz w:val="24"/>
          <w:szCs w:val="24"/>
          <w:lang w:val="en-AU"/>
        </w:rPr>
      </w:pPr>
    </w:p>
    <w:p w14:paraId="6323C2ED" w14:textId="77777777" w:rsidR="00256BDC" w:rsidRPr="00B64741" w:rsidRDefault="00256BDC" w:rsidP="00256BDC">
      <w:pPr>
        <w:pStyle w:val="Normal-nospace"/>
        <w:spacing w:before="40" w:after="40"/>
        <w:outlineLvl w:val="0"/>
        <w:rPr>
          <w:b/>
          <w:bCs/>
          <w:color w:val="000000"/>
          <w:sz w:val="20"/>
          <w:szCs w:val="20"/>
          <w:lang w:val="en-AU"/>
        </w:rPr>
      </w:pPr>
      <w:r w:rsidRPr="00B64741">
        <w:rPr>
          <w:b/>
          <w:bCs/>
          <w:color w:val="000000"/>
          <w:sz w:val="20"/>
          <w:szCs w:val="20"/>
          <w:lang w:val="en-AU"/>
        </w:rPr>
        <w:t>Abbreviations:</w:t>
      </w:r>
    </w:p>
    <w:p w14:paraId="6DF9FBAD" w14:textId="77777777" w:rsidR="00256BDC" w:rsidRPr="00B64741" w:rsidRDefault="00256BDC" w:rsidP="00256BDC">
      <w:pPr>
        <w:pStyle w:val="Normal-nospace"/>
        <w:spacing w:before="40" w:after="40"/>
        <w:rPr>
          <w:sz w:val="20"/>
          <w:szCs w:val="20"/>
        </w:rPr>
      </w:pPr>
      <w:r w:rsidRPr="00B64741">
        <w:rPr>
          <w:b/>
          <w:bCs/>
          <w:color w:val="000000"/>
          <w:sz w:val="20"/>
          <w:szCs w:val="20"/>
          <w:lang w:val="en-AU"/>
        </w:rPr>
        <w:t>Issues raised</w:t>
      </w:r>
      <w:r w:rsidRPr="00B64741">
        <w:rPr>
          <w:color w:val="000000"/>
          <w:sz w:val="20"/>
          <w:szCs w:val="20"/>
        </w:rPr>
        <w:t xml:space="preserve">:  </w:t>
      </w:r>
      <w:r w:rsidRPr="00B64741">
        <w:rPr>
          <w:b/>
          <w:sz w:val="20"/>
          <w:szCs w:val="20"/>
        </w:rPr>
        <w:t>EN</w:t>
      </w:r>
      <w:r w:rsidRPr="00B64741">
        <w:rPr>
          <w:sz w:val="20"/>
          <w:szCs w:val="20"/>
        </w:rPr>
        <w:t xml:space="preserve">: environmental risks, </w:t>
      </w:r>
      <w:r w:rsidRPr="00B64741">
        <w:rPr>
          <w:b/>
          <w:sz w:val="20"/>
          <w:szCs w:val="20"/>
        </w:rPr>
        <w:t>H</w:t>
      </w:r>
      <w:r w:rsidRPr="00B64741">
        <w:rPr>
          <w:sz w:val="20"/>
          <w:szCs w:val="20"/>
        </w:rPr>
        <w:t xml:space="preserve">: human health and safety, </w:t>
      </w:r>
      <w:r w:rsidRPr="00B64741">
        <w:rPr>
          <w:b/>
          <w:sz w:val="20"/>
          <w:szCs w:val="20"/>
        </w:rPr>
        <w:t>OSA</w:t>
      </w:r>
      <w:r w:rsidRPr="00B64741">
        <w:rPr>
          <w:sz w:val="20"/>
          <w:szCs w:val="20"/>
        </w:rPr>
        <w:t>: outside the scope of assessment.</w:t>
      </w:r>
    </w:p>
    <w:p w14:paraId="2A39062C" w14:textId="77777777" w:rsidR="00256BDC" w:rsidRPr="00C414B4" w:rsidRDefault="00256BDC" w:rsidP="00256BDC">
      <w:pPr>
        <w:pStyle w:val="Normal-nospace"/>
        <w:spacing w:before="40" w:after="40"/>
        <w:rPr>
          <w:rFonts w:ascii="Times New Roman" w:hAnsi="Times New Roman" w:cs="Times New Roman"/>
          <w:color w:val="000000"/>
          <w:sz w:val="24"/>
          <w:szCs w:val="24"/>
          <w:lang w:val="en-AU"/>
        </w:rPr>
      </w:pPr>
    </w:p>
    <w:tbl>
      <w:tblPr>
        <w:tblStyle w:val="TableGrid"/>
        <w:tblW w:w="10399" w:type="dxa"/>
        <w:tblInd w:w="-6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Caption w:val="Summary of submissions received from the public for Register 001/2004"/>
      </w:tblPr>
      <w:tblGrid>
        <w:gridCol w:w="1560"/>
        <w:gridCol w:w="3424"/>
        <w:gridCol w:w="855"/>
        <w:gridCol w:w="4560"/>
      </w:tblGrid>
      <w:tr w:rsidR="00256BDC" w:rsidRPr="00C414B4" w14:paraId="34A6FFBB" w14:textId="77777777" w:rsidTr="00450C66">
        <w:trPr>
          <w:tblHeader/>
        </w:trPr>
        <w:tc>
          <w:tcPr>
            <w:tcW w:w="1560" w:type="dxa"/>
            <w:shd w:val="clear" w:color="auto" w:fill="D9D9D9"/>
          </w:tcPr>
          <w:p w14:paraId="68AE963B" w14:textId="77777777" w:rsidR="00256BDC" w:rsidRPr="00C414B4" w:rsidRDefault="00256BDC" w:rsidP="00450C66">
            <w:pPr>
              <w:jc w:val="center"/>
              <w:rPr>
                <w:rFonts w:ascii="Arial" w:hAnsi="Arial" w:cs="Arial"/>
                <w:b/>
                <w:bCs/>
                <w:sz w:val="20"/>
                <w:szCs w:val="20"/>
              </w:rPr>
            </w:pPr>
            <w:r>
              <w:rPr>
                <w:rFonts w:ascii="Arial" w:hAnsi="Arial" w:cs="Arial"/>
                <w:b/>
                <w:bCs/>
                <w:sz w:val="20"/>
                <w:szCs w:val="20"/>
              </w:rPr>
              <w:t>Submission number</w:t>
            </w:r>
          </w:p>
        </w:tc>
        <w:tc>
          <w:tcPr>
            <w:tcW w:w="3424" w:type="dxa"/>
            <w:shd w:val="clear" w:color="auto" w:fill="D9D9D9"/>
          </w:tcPr>
          <w:p w14:paraId="0CC643E2" w14:textId="77777777" w:rsidR="00256BDC" w:rsidRPr="00C414B4" w:rsidRDefault="00256BDC" w:rsidP="00450C66">
            <w:pPr>
              <w:jc w:val="center"/>
              <w:rPr>
                <w:rFonts w:ascii="Arial" w:hAnsi="Arial" w:cs="Arial"/>
                <w:b/>
                <w:bCs/>
                <w:sz w:val="20"/>
                <w:szCs w:val="20"/>
              </w:rPr>
            </w:pPr>
            <w:r w:rsidRPr="00C414B4">
              <w:rPr>
                <w:rFonts w:ascii="Arial" w:hAnsi="Arial" w:cs="Arial"/>
                <w:b/>
                <w:bCs/>
                <w:sz w:val="20"/>
                <w:szCs w:val="20"/>
              </w:rPr>
              <w:t>Summary of issues raised</w:t>
            </w:r>
          </w:p>
        </w:tc>
        <w:tc>
          <w:tcPr>
            <w:tcW w:w="855" w:type="dxa"/>
            <w:shd w:val="clear" w:color="auto" w:fill="D9D9D9"/>
          </w:tcPr>
          <w:p w14:paraId="2D26DE8A" w14:textId="77777777" w:rsidR="00256BDC" w:rsidRPr="00C414B4" w:rsidRDefault="00256BDC" w:rsidP="00450C66">
            <w:pPr>
              <w:jc w:val="center"/>
              <w:rPr>
                <w:rFonts w:ascii="Arial" w:hAnsi="Arial" w:cs="Arial"/>
                <w:b/>
                <w:bCs/>
                <w:sz w:val="20"/>
                <w:szCs w:val="20"/>
              </w:rPr>
            </w:pPr>
            <w:r>
              <w:rPr>
                <w:rFonts w:ascii="Arial" w:hAnsi="Arial" w:cs="Arial"/>
                <w:b/>
                <w:bCs/>
                <w:sz w:val="20"/>
                <w:szCs w:val="20"/>
              </w:rPr>
              <w:t xml:space="preserve">Type of </w:t>
            </w:r>
            <w:r w:rsidRPr="00C414B4">
              <w:rPr>
                <w:rFonts w:ascii="Arial" w:hAnsi="Arial" w:cs="Arial"/>
                <w:b/>
                <w:bCs/>
                <w:sz w:val="20"/>
                <w:szCs w:val="20"/>
              </w:rPr>
              <w:t>Issue</w:t>
            </w:r>
          </w:p>
        </w:tc>
        <w:tc>
          <w:tcPr>
            <w:tcW w:w="4560" w:type="dxa"/>
            <w:shd w:val="clear" w:color="auto" w:fill="D9D9D9"/>
          </w:tcPr>
          <w:p w14:paraId="473418C4" w14:textId="77777777" w:rsidR="00256BDC" w:rsidRPr="00904743" w:rsidRDefault="00256BDC" w:rsidP="00450C66">
            <w:pPr>
              <w:ind w:right="804"/>
              <w:jc w:val="center"/>
              <w:rPr>
                <w:rFonts w:ascii="Arial" w:hAnsi="Arial" w:cs="Arial"/>
                <w:b/>
                <w:bCs/>
                <w:sz w:val="18"/>
                <w:szCs w:val="18"/>
              </w:rPr>
            </w:pPr>
            <w:r>
              <w:rPr>
                <w:rFonts w:ascii="Arial" w:hAnsi="Arial" w:cs="Arial"/>
                <w:b/>
                <w:bCs/>
                <w:sz w:val="18"/>
                <w:szCs w:val="18"/>
              </w:rPr>
              <w:t>Consideration of issue</w:t>
            </w:r>
          </w:p>
        </w:tc>
      </w:tr>
      <w:tr w:rsidR="00256BDC" w:rsidRPr="00C414B4" w14:paraId="2E93AEF9" w14:textId="77777777" w:rsidTr="00450C66">
        <w:tc>
          <w:tcPr>
            <w:tcW w:w="1560" w:type="dxa"/>
            <w:vMerge w:val="restart"/>
          </w:tcPr>
          <w:p w14:paraId="05AD6B53" w14:textId="77777777" w:rsidR="00256BDC" w:rsidRDefault="00256BDC" w:rsidP="00450C66">
            <w:pPr>
              <w:jc w:val="center"/>
              <w:rPr>
                <w:rFonts w:ascii="Arial" w:hAnsi="Arial" w:cs="Arial"/>
                <w:sz w:val="20"/>
                <w:szCs w:val="20"/>
              </w:rPr>
            </w:pPr>
            <w:r>
              <w:rPr>
                <w:rFonts w:ascii="Arial" w:hAnsi="Arial" w:cs="Arial"/>
                <w:sz w:val="20"/>
                <w:szCs w:val="20"/>
              </w:rPr>
              <w:t>1</w:t>
            </w:r>
          </w:p>
          <w:p w14:paraId="68FB0014" w14:textId="77777777" w:rsidR="00256BDC" w:rsidRDefault="00256BDC" w:rsidP="00450C66">
            <w:pPr>
              <w:jc w:val="center"/>
              <w:rPr>
                <w:rFonts w:ascii="Arial" w:hAnsi="Arial" w:cs="Arial"/>
                <w:sz w:val="20"/>
                <w:szCs w:val="20"/>
              </w:rPr>
            </w:pPr>
          </w:p>
        </w:tc>
        <w:tc>
          <w:tcPr>
            <w:tcW w:w="3424" w:type="dxa"/>
          </w:tcPr>
          <w:p w14:paraId="003EF090" w14:textId="77777777" w:rsidR="00256BDC" w:rsidRDefault="00256BDC" w:rsidP="00450C66">
            <w:pPr>
              <w:numPr>
                <w:ilvl w:val="0"/>
                <w:numId w:val="21"/>
              </w:numPr>
              <w:rPr>
                <w:rFonts w:ascii="Arial" w:hAnsi="Arial" w:cs="Arial"/>
                <w:sz w:val="20"/>
                <w:szCs w:val="20"/>
              </w:rPr>
            </w:pPr>
            <w:r>
              <w:rPr>
                <w:rFonts w:ascii="Arial" w:hAnsi="Arial" w:cs="Arial"/>
                <w:sz w:val="20"/>
                <w:szCs w:val="20"/>
              </w:rPr>
              <w:t>Pollen flow</w:t>
            </w:r>
          </w:p>
        </w:tc>
        <w:tc>
          <w:tcPr>
            <w:tcW w:w="855" w:type="dxa"/>
            <w:vAlign w:val="center"/>
          </w:tcPr>
          <w:p w14:paraId="099F6A01" w14:textId="77777777" w:rsidR="00256BDC" w:rsidRDefault="00256BDC" w:rsidP="00450C66">
            <w:pPr>
              <w:jc w:val="center"/>
              <w:rPr>
                <w:rFonts w:ascii="Arial" w:hAnsi="Arial" w:cs="Arial"/>
                <w:sz w:val="20"/>
                <w:szCs w:val="20"/>
              </w:rPr>
            </w:pPr>
            <w:r>
              <w:rPr>
                <w:rFonts w:ascii="Arial" w:hAnsi="Arial" w:cs="Arial"/>
                <w:sz w:val="20"/>
                <w:szCs w:val="20"/>
              </w:rPr>
              <w:t>EN</w:t>
            </w:r>
          </w:p>
        </w:tc>
        <w:tc>
          <w:tcPr>
            <w:tcW w:w="4560" w:type="dxa"/>
          </w:tcPr>
          <w:p w14:paraId="43B269DA" w14:textId="77777777" w:rsidR="00256BDC" w:rsidRDefault="00256BDC" w:rsidP="00450C66">
            <w:pPr>
              <w:rPr>
                <w:rFonts w:ascii="Arial" w:hAnsi="Arial" w:cs="Arial"/>
                <w:sz w:val="18"/>
                <w:szCs w:val="18"/>
              </w:rPr>
            </w:pPr>
            <w:r>
              <w:rPr>
                <w:rFonts w:ascii="Arial" w:hAnsi="Arial" w:cs="Arial"/>
                <w:sz w:val="18"/>
                <w:szCs w:val="18"/>
              </w:rPr>
              <w:t xml:space="preserve">Both GM and non-GM carnations produce little viable pollen. No risks to human health and safety or the environment were previously identified in the RARMP prepared for the commercial release of GM carnation lines (application DIR 030/2002). </w:t>
            </w:r>
          </w:p>
        </w:tc>
      </w:tr>
      <w:tr w:rsidR="00256BDC" w:rsidRPr="00C414B4" w14:paraId="292FDC6A" w14:textId="77777777" w:rsidTr="00450C66">
        <w:tc>
          <w:tcPr>
            <w:tcW w:w="1560" w:type="dxa"/>
            <w:vMerge/>
          </w:tcPr>
          <w:p w14:paraId="72AC4864" w14:textId="77777777" w:rsidR="00256BDC" w:rsidRDefault="00256BDC" w:rsidP="00450C66">
            <w:pPr>
              <w:jc w:val="center"/>
              <w:rPr>
                <w:rFonts w:ascii="Arial" w:hAnsi="Arial" w:cs="Arial"/>
                <w:sz w:val="20"/>
                <w:szCs w:val="20"/>
              </w:rPr>
            </w:pPr>
          </w:p>
        </w:tc>
        <w:tc>
          <w:tcPr>
            <w:tcW w:w="3424" w:type="dxa"/>
          </w:tcPr>
          <w:p w14:paraId="56621E89" w14:textId="77777777" w:rsidR="00256BDC" w:rsidRDefault="00256BDC" w:rsidP="00450C66">
            <w:pPr>
              <w:numPr>
                <w:ilvl w:val="0"/>
                <w:numId w:val="21"/>
              </w:numPr>
              <w:rPr>
                <w:rFonts w:ascii="Arial" w:hAnsi="Arial" w:cs="Arial"/>
                <w:sz w:val="20"/>
                <w:szCs w:val="20"/>
              </w:rPr>
            </w:pPr>
            <w:r>
              <w:rPr>
                <w:rFonts w:ascii="Arial" w:hAnsi="Arial" w:cs="Arial"/>
                <w:sz w:val="20"/>
                <w:szCs w:val="20"/>
              </w:rPr>
              <w:t>Health concerns</w:t>
            </w:r>
          </w:p>
        </w:tc>
        <w:tc>
          <w:tcPr>
            <w:tcW w:w="855" w:type="dxa"/>
            <w:vAlign w:val="center"/>
          </w:tcPr>
          <w:p w14:paraId="0D3A5181" w14:textId="77777777" w:rsidR="00256BDC" w:rsidRDefault="00256BDC" w:rsidP="00450C66">
            <w:pPr>
              <w:jc w:val="center"/>
              <w:rPr>
                <w:rFonts w:ascii="Arial" w:hAnsi="Arial" w:cs="Arial"/>
                <w:sz w:val="20"/>
                <w:szCs w:val="20"/>
              </w:rPr>
            </w:pPr>
            <w:r>
              <w:rPr>
                <w:rFonts w:ascii="Arial" w:hAnsi="Arial" w:cs="Arial"/>
                <w:sz w:val="20"/>
                <w:szCs w:val="20"/>
              </w:rPr>
              <w:t>H</w:t>
            </w:r>
          </w:p>
        </w:tc>
        <w:tc>
          <w:tcPr>
            <w:tcW w:w="4560" w:type="dxa"/>
          </w:tcPr>
          <w:p w14:paraId="11556C47" w14:textId="77777777" w:rsidR="00256BDC" w:rsidRDefault="00256BDC" w:rsidP="00450C66">
            <w:pPr>
              <w:rPr>
                <w:rFonts w:ascii="Arial" w:hAnsi="Arial" w:cs="Arial"/>
                <w:sz w:val="18"/>
                <w:szCs w:val="18"/>
              </w:rPr>
            </w:pPr>
            <w:r>
              <w:rPr>
                <w:rFonts w:ascii="Arial" w:hAnsi="Arial" w:cs="Arial"/>
                <w:sz w:val="18"/>
                <w:szCs w:val="18"/>
              </w:rPr>
              <w:t>The introduced genes are prevalent in many other plants, including edible fruits and vegetables, and the proteins they produce are not known to be toxic.</w:t>
            </w:r>
          </w:p>
          <w:p w14:paraId="15278BEE" w14:textId="77777777" w:rsidR="00256BDC" w:rsidRDefault="00256BDC" w:rsidP="00450C66">
            <w:pPr>
              <w:rPr>
                <w:rFonts w:ascii="Arial" w:hAnsi="Arial" w:cs="Arial"/>
                <w:sz w:val="18"/>
                <w:szCs w:val="18"/>
              </w:rPr>
            </w:pPr>
            <w:r>
              <w:rPr>
                <w:rFonts w:ascii="Arial" w:hAnsi="Arial" w:cs="Arial"/>
                <w:sz w:val="18"/>
                <w:szCs w:val="18"/>
              </w:rPr>
              <w:t xml:space="preserve">No risks to human health and safety or the environment were previously identified in the RARMP prepared for the commercial release of GM carnation lines (application DIR 030/2002). </w:t>
            </w:r>
          </w:p>
        </w:tc>
      </w:tr>
      <w:tr w:rsidR="00256BDC" w:rsidRPr="00C414B4" w14:paraId="453FEAD9" w14:textId="77777777" w:rsidTr="00450C66">
        <w:tc>
          <w:tcPr>
            <w:tcW w:w="1560" w:type="dxa"/>
            <w:vMerge/>
          </w:tcPr>
          <w:p w14:paraId="2C2795C4" w14:textId="77777777" w:rsidR="00256BDC" w:rsidRDefault="00256BDC" w:rsidP="00450C66">
            <w:pPr>
              <w:jc w:val="center"/>
              <w:rPr>
                <w:rFonts w:ascii="Arial" w:hAnsi="Arial" w:cs="Arial"/>
                <w:sz w:val="20"/>
                <w:szCs w:val="20"/>
              </w:rPr>
            </w:pPr>
          </w:p>
        </w:tc>
        <w:tc>
          <w:tcPr>
            <w:tcW w:w="3424" w:type="dxa"/>
          </w:tcPr>
          <w:p w14:paraId="05A95015" w14:textId="77777777" w:rsidR="00256BDC" w:rsidRDefault="00256BDC" w:rsidP="00450C66">
            <w:pPr>
              <w:numPr>
                <w:ilvl w:val="0"/>
                <w:numId w:val="21"/>
              </w:numPr>
              <w:rPr>
                <w:rFonts w:ascii="Arial" w:hAnsi="Arial" w:cs="Arial"/>
                <w:sz w:val="20"/>
                <w:szCs w:val="20"/>
              </w:rPr>
            </w:pPr>
            <w:r>
              <w:rPr>
                <w:rFonts w:ascii="Arial" w:hAnsi="Arial" w:cs="Arial"/>
                <w:sz w:val="20"/>
                <w:szCs w:val="20"/>
              </w:rPr>
              <w:t>Pesticide resistance</w:t>
            </w:r>
          </w:p>
        </w:tc>
        <w:tc>
          <w:tcPr>
            <w:tcW w:w="855" w:type="dxa"/>
            <w:vAlign w:val="center"/>
          </w:tcPr>
          <w:p w14:paraId="4B71DADE" w14:textId="77777777" w:rsidR="00256BDC" w:rsidRDefault="00256BDC" w:rsidP="00450C66">
            <w:pPr>
              <w:jc w:val="center"/>
              <w:rPr>
                <w:rFonts w:ascii="Arial" w:hAnsi="Arial" w:cs="Arial"/>
                <w:sz w:val="20"/>
                <w:szCs w:val="20"/>
              </w:rPr>
            </w:pPr>
            <w:r>
              <w:rPr>
                <w:rFonts w:ascii="Arial" w:hAnsi="Arial" w:cs="Arial"/>
                <w:sz w:val="20"/>
                <w:szCs w:val="20"/>
              </w:rPr>
              <w:t>OSA</w:t>
            </w:r>
          </w:p>
        </w:tc>
        <w:tc>
          <w:tcPr>
            <w:tcW w:w="4560" w:type="dxa"/>
          </w:tcPr>
          <w:p w14:paraId="69E65B0D" w14:textId="77777777" w:rsidR="00256BDC" w:rsidRDefault="00256BDC" w:rsidP="00450C66">
            <w:pPr>
              <w:ind w:right="804"/>
              <w:rPr>
                <w:rFonts w:ascii="Arial" w:hAnsi="Arial" w:cs="Arial"/>
                <w:sz w:val="18"/>
                <w:szCs w:val="18"/>
              </w:rPr>
            </w:pPr>
            <w:r>
              <w:rPr>
                <w:rFonts w:ascii="Arial" w:hAnsi="Arial" w:cs="Arial"/>
                <w:sz w:val="18"/>
                <w:szCs w:val="18"/>
              </w:rPr>
              <w:t>The GM carnation lines do not contain inserted genes for pesticide resistance.</w:t>
            </w:r>
          </w:p>
        </w:tc>
      </w:tr>
      <w:tr w:rsidR="00256BDC" w:rsidRPr="00C414B4" w14:paraId="5C154A4E" w14:textId="77777777" w:rsidTr="00450C66">
        <w:tc>
          <w:tcPr>
            <w:tcW w:w="1560" w:type="dxa"/>
            <w:vMerge/>
          </w:tcPr>
          <w:p w14:paraId="40215A9A" w14:textId="77777777" w:rsidR="00256BDC" w:rsidRDefault="00256BDC" w:rsidP="00450C66">
            <w:pPr>
              <w:jc w:val="center"/>
              <w:rPr>
                <w:rFonts w:ascii="Arial" w:hAnsi="Arial" w:cs="Arial"/>
                <w:sz w:val="20"/>
                <w:szCs w:val="20"/>
              </w:rPr>
            </w:pPr>
          </w:p>
        </w:tc>
        <w:tc>
          <w:tcPr>
            <w:tcW w:w="3424" w:type="dxa"/>
          </w:tcPr>
          <w:p w14:paraId="5A9DA2A1" w14:textId="77777777" w:rsidR="00256BDC" w:rsidRDefault="00256BDC" w:rsidP="00450C66">
            <w:pPr>
              <w:numPr>
                <w:ilvl w:val="0"/>
                <w:numId w:val="21"/>
              </w:numPr>
              <w:rPr>
                <w:rFonts w:ascii="Arial" w:hAnsi="Arial" w:cs="Arial"/>
                <w:sz w:val="20"/>
                <w:szCs w:val="20"/>
              </w:rPr>
            </w:pPr>
            <w:r>
              <w:rPr>
                <w:rFonts w:ascii="Arial" w:hAnsi="Arial" w:cs="Arial"/>
                <w:sz w:val="20"/>
                <w:szCs w:val="20"/>
              </w:rPr>
              <w:t>Crop contamination</w:t>
            </w:r>
          </w:p>
        </w:tc>
        <w:tc>
          <w:tcPr>
            <w:tcW w:w="855" w:type="dxa"/>
            <w:vAlign w:val="center"/>
          </w:tcPr>
          <w:p w14:paraId="6C74EEC6" w14:textId="77777777" w:rsidR="00256BDC" w:rsidRDefault="00256BDC" w:rsidP="00450C66">
            <w:pPr>
              <w:jc w:val="center"/>
              <w:rPr>
                <w:rFonts w:ascii="Arial" w:hAnsi="Arial" w:cs="Arial"/>
                <w:sz w:val="20"/>
                <w:szCs w:val="20"/>
              </w:rPr>
            </w:pPr>
            <w:r>
              <w:rPr>
                <w:rFonts w:ascii="Arial" w:hAnsi="Arial" w:cs="Arial"/>
                <w:sz w:val="20"/>
                <w:szCs w:val="20"/>
              </w:rPr>
              <w:t>OSA</w:t>
            </w:r>
          </w:p>
        </w:tc>
        <w:tc>
          <w:tcPr>
            <w:tcW w:w="4560" w:type="dxa"/>
          </w:tcPr>
          <w:p w14:paraId="5CF91E89" w14:textId="77777777" w:rsidR="00256BDC" w:rsidRPr="00756D0A" w:rsidRDefault="00256BDC" w:rsidP="00450C66">
            <w:pPr>
              <w:rPr>
                <w:rFonts w:ascii="Arial" w:hAnsi="Arial" w:cs="Arial"/>
                <w:i/>
                <w:sz w:val="18"/>
                <w:szCs w:val="18"/>
              </w:rPr>
            </w:pPr>
            <w:r>
              <w:rPr>
                <w:rFonts w:ascii="Arial" w:hAnsi="Arial" w:cs="Arial"/>
                <w:sz w:val="18"/>
                <w:szCs w:val="18"/>
              </w:rPr>
              <w:t xml:space="preserve">Issues concerned with marketing of crops contaminated with GM products are outside the scope of risk assessments conducted under the </w:t>
            </w:r>
            <w:r w:rsidRPr="00841DCC">
              <w:rPr>
                <w:rFonts w:ascii="Arial" w:hAnsi="Arial" w:cs="Arial"/>
                <w:i/>
                <w:sz w:val="18"/>
                <w:szCs w:val="18"/>
              </w:rPr>
              <w:t>Gene Technology Act 2000</w:t>
            </w:r>
            <w:r>
              <w:rPr>
                <w:rFonts w:ascii="Arial" w:hAnsi="Arial" w:cs="Arial"/>
                <w:i/>
                <w:sz w:val="18"/>
                <w:szCs w:val="18"/>
              </w:rPr>
              <w:t>.</w:t>
            </w:r>
          </w:p>
        </w:tc>
      </w:tr>
      <w:tr w:rsidR="00256BDC" w:rsidRPr="00C414B4" w14:paraId="340F390F" w14:textId="77777777" w:rsidTr="00450C66">
        <w:tc>
          <w:tcPr>
            <w:tcW w:w="1560" w:type="dxa"/>
            <w:vMerge/>
          </w:tcPr>
          <w:p w14:paraId="37D078B0" w14:textId="77777777" w:rsidR="00256BDC" w:rsidRDefault="00256BDC" w:rsidP="00450C66">
            <w:pPr>
              <w:jc w:val="center"/>
              <w:rPr>
                <w:rFonts w:ascii="Arial" w:hAnsi="Arial" w:cs="Arial"/>
                <w:sz w:val="20"/>
                <w:szCs w:val="20"/>
              </w:rPr>
            </w:pPr>
          </w:p>
        </w:tc>
        <w:tc>
          <w:tcPr>
            <w:tcW w:w="3424" w:type="dxa"/>
          </w:tcPr>
          <w:p w14:paraId="53B2D66C" w14:textId="77777777" w:rsidR="00256BDC" w:rsidRDefault="00256BDC" w:rsidP="00450C66">
            <w:pPr>
              <w:numPr>
                <w:ilvl w:val="0"/>
                <w:numId w:val="21"/>
              </w:numPr>
              <w:rPr>
                <w:rFonts w:ascii="Arial" w:hAnsi="Arial" w:cs="Arial"/>
                <w:sz w:val="20"/>
                <w:szCs w:val="20"/>
              </w:rPr>
            </w:pPr>
            <w:r>
              <w:rPr>
                <w:rFonts w:ascii="Arial" w:hAnsi="Arial" w:cs="Arial"/>
                <w:sz w:val="20"/>
                <w:szCs w:val="20"/>
              </w:rPr>
              <w:t>Ethical issues associated with biotechnology yet to be addressed</w:t>
            </w:r>
          </w:p>
        </w:tc>
        <w:tc>
          <w:tcPr>
            <w:tcW w:w="855" w:type="dxa"/>
            <w:vAlign w:val="center"/>
          </w:tcPr>
          <w:p w14:paraId="0ED8C8F3" w14:textId="77777777" w:rsidR="00256BDC" w:rsidRDefault="00256BDC" w:rsidP="00450C66">
            <w:pPr>
              <w:jc w:val="center"/>
              <w:rPr>
                <w:rFonts w:ascii="Arial" w:hAnsi="Arial" w:cs="Arial"/>
                <w:sz w:val="20"/>
                <w:szCs w:val="20"/>
              </w:rPr>
            </w:pPr>
            <w:r>
              <w:rPr>
                <w:rFonts w:ascii="Arial" w:hAnsi="Arial" w:cs="Arial"/>
                <w:sz w:val="20"/>
                <w:szCs w:val="20"/>
              </w:rPr>
              <w:t>OSA</w:t>
            </w:r>
          </w:p>
        </w:tc>
        <w:tc>
          <w:tcPr>
            <w:tcW w:w="4560" w:type="dxa"/>
          </w:tcPr>
          <w:p w14:paraId="2DA1D258" w14:textId="77777777" w:rsidR="00256BDC" w:rsidRDefault="00256BDC" w:rsidP="00450C66">
            <w:pPr>
              <w:ind w:right="804"/>
              <w:rPr>
                <w:rFonts w:ascii="Arial" w:hAnsi="Arial" w:cs="Arial"/>
                <w:sz w:val="18"/>
                <w:szCs w:val="18"/>
              </w:rPr>
            </w:pPr>
            <w:r>
              <w:rPr>
                <w:rFonts w:ascii="Arial" w:hAnsi="Arial" w:cs="Arial"/>
                <w:sz w:val="18"/>
                <w:szCs w:val="18"/>
              </w:rPr>
              <w:t>The Regulator can seek advice on ethical issues relating to gene technology from the Gene Technology Ethics Committee. However, none are identified in relation to this proposed dealing.</w:t>
            </w:r>
          </w:p>
        </w:tc>
      </w:tr>
      <w:tr w:rsidR="00256BDC" w:rsidRPr="00C414B4" w14:paraId="602F420B" w14:textId="77777777" w:rsidTr="00450C66">
        <w:tc>
          <w:tcPr>
            <w:tcW w:w="1560" w:type="dxa"/>
          </w:tcPr>
          <w:p w14:paraId="470CCC0A" w14:textId="77777777" w:rsidR="00256BDC" w:rsidRDefault="00256BDC" w:rsidP="00450C66">
            <w:pPr>
              <w:jc w:val="center"/>
              <w:rPr>
                <w:rFonts w:ascii="Arial" w:hAnsi="Arial" w:cs="Arial"/>
                <w:sz w:val="20"/>
                <w:szCs w:val="20"/>
              </w:rPr>
            </w:pPr>
            <w:r>
              <w:rPr>
                <w:rFonts w:ascii="Arial" w:hAnsi="Arial" w:cs="Arial"/>
                <w:sz w:val="20"/>
                <w:szCs w:val="20"/>
              </w:rPr>
              <w:t>2</w:t>
            </w:r>
          </w:p>
        </w:tc>
        <w:tc>
          <w:tcPr>
            <w:tcW w:w="3424" w:type="dxa"/>
          </w:tcPr>
          <w:p w14:paraId="50FC826F" w14:textId="77777777" w:rsidR="00256BDC" w:rsidRDefault="00256BDC" w:rsidP="00450C66">
            <w:pPr>
              <w:numPr>
                <w:ilvl w:val="0"/>
                <w:numId w:val="21"/>
              </w:numPr>
              <w:rPr>
                <w:rFonts w:ascii="Arial" w:hAnsi="Arial" w:cs="Arial"/>
                <w:sz w:val="20"/>
                <w:szCs w:val="20"/>
              </w:rPr>
            </w:pPr>
            <w:r>
              <w:rPr>
                <w:rFonts w:ascii="Arial" w:hAnsi="Arial" w:cs="Arial"/>
                <w:sz w:val="20"/>
                <w:szCs w:val="20"/>
              </w:rPr>
              <w:t>Blue carnations are not natural</w:t>
            </w:r>
          </w:p>
        </w:tc>
        <w:tc>
          <w:tcPr>
            <w:tcW w:w="855" w:type="dxa"/>
            <w:vAlign w:val="center"/>
          </w:tcPr>
          <w:p w14:paraId="0224BE42" w14:textId="77777777" w:rsidR="00256BDC" w:rsidRPr="00C414B4" w:rsidRDefault="00256BDC" w:rsidP="00450C66">
            <w:pPr>
              <w:jc w:val="center"/>
              <w:rPr>
                <w:rFonts w:ascii="Arial" w:hAnsi="Arial" w:cs="Arial"/>
                <w:sz w:val="20"/>
                <w:szCs w:val="20"/>
              </w:rPr>
            </w:pPr>
            <w:r>
              <w:rPr>
                <w:rFonts w:ascii="Arial" w:hAnsi="Arial" w:cs="Arial"/>
                <w:sz w:val="20"/>
                <w:szCs w:val="20"/>
              </w:rPr>
              <w:t>OSA</w:t>
            </w:r>
          </w:p>
        </w:tc>
        <w:tc>
          <w:tcPr>
            <w:tcW w:w="4560" w:type="dxa"/>
          </w:tcPr>
          <w:p w14:paraId="56A3ACF6" w14:textId="77777777" w:rsidR="00256BDC" w:rsidRPr="00904743" w:rsidRDefault="00256BDC" w:rsidP="00450C66">
            <w:pPr>
              <w:ind w:right="804"/>
              <w:rPr>
                <w:rFonts w:ascii="Arial" w:hAnsi="Arial" w:cs="Arial"/>
                <w:sz w:val="18"/>
                <w:szCs w:val="18"/>
              </w:rPr>
            </w:pPr>
            <w:r>
              <w:rPr>
                <w:rFonts w:ascii="Arial" w:hAnsi="Arial" w:cs="Arial"/>
                <w:sz w:val="18"/>
                <w:szCs w:val="18"/>
              </w:rPr>
              <w:t>noted</w:t>
            </w:r>
          </w:p>
        </w:tc>
      </w:tr>
      <w:tr w:rsidR="00256BDC" w:rsidRPr="00C414B4" w14:paraId="47A94ED4" w14:textId="77777777" w:rsidTr="00450C66">
        <w:tc>
          <w:tcPr>
            <w:tcW w:w="1560" w:type="dxa"/>
            <w:vMerge w:val="restart"/>
          </w:tcPr>
          <w:p w14:paraId="10058753" w14:textId="77777777" w:rsidR="00256BDC" w:rsidRDefault="00256BDC" w:rsidP="00450C66">
            <w:pPr>
              <w:jc w:val="center"/>
              <w:rPr>
                <w:rFonts w:ascii="Arial" w:hAnsi="Arial" w:cs="Arial"/>
                <w:sz w:val="20"/>
                <w:szCs w:val="20"/>
              </w:rPr>
            </w:pPr>
            <w:r>
              <w:rPr>
                <w:rFonts w:ascii="Arial" w:hAnsi="Arial" w:cs="Arial"/>
                <w:sz w:val="20"/>
                <w:szCs w:val="20"/>
              </w:rPr>
              <w:t>3</w:t>
            </w:r>
          </w:p>
        </w:tc>
        <w:tc>
          <w:tcPr>
            <w:tcW w:w="3424" w:type="dxa"/>
          </w:tcPr>
          <w:p w14:paraId="3F254123" w14:textId="77777777" w:rsidR="00256BDC" w:rsidRDefault="00256BDC" w:rsidP="00450C66">
            <w:pPr>
              <w:numPr>
                <w:ilvl w:val="0"/>
                <w:numId w:val="21"/>
              </w:numPr>
              <w:rPr>
                <w:rFonts w:ascii="Arial" w:hAnsi="Arial" w:cs="Arial"/>
                <w:sz w:val="20"/>
                <w:szCs w:val="20"/>
              </w:rPr>
            </w:pPr>
            <w:r>
              <w:rPr>
                <w:rFonts w:ascii="Arial" w:hAnsi="Arial" w:cs="Arial"/>
                <w:sz w:val="20"/>
                <w:szCs w:val="20"/>
              </w:rPr>
              <w:t>Not prepared to accept unidentified risks to human health and environment</w:t>
            </w:r>
          </w:p>
        </w:tc>
        <w:tc>
          <w:tcPr>
            <w:tcW w:w="855" w:type="dxa"/>
            <w:vAlign w:val="center"/>
          </w:tcPr>
          <w:p w14:paraId="1340A838" w14:textId="77777777" w:rsidR="00256BDC" w:rsidRPr="00C414B4" w:rsidRDefault="00256BDC" w:rsidP="00450C66">
            <w:pPr>
              <w:jc w:val="center"/>
              <w:rPr>
                <w:rFonts w:ascii="Arial" w:hAnsi="Arial" w:cs="Arial"/>
                <w:sz w:val="20"/>
                <w:szCs w:val="20"/>
              </w:rPr>
            </w:pPr>
            <w:r>
              <w:rPr>
                <w:rFonts w:ascii="Arial" w:hAnsi="Arial" w:cs="Arial"/>
                <w:sz w:val="20"/>
                <w:szCs w:val="20"/>
              </w:rPr>
              <w:t>H, EN</w:t>
            </w:r>
          </w:p>
        </w:tc>
        <w:tc>
          <w:tcPr>
            <w:tcW w:w="4560" w:type="dxa"/>
          </w:tcPr>
          <w:p w14:paraId="32823147" w14:textId="77777777" w:rsidR="00256BDC" w:rsidRDefault="00256BDC" w:rsidP="00450C66">
            <w:pPr>
              <w:ind w:right="804"/>
              <w:rPr>
                <w:rFonts w:ascii="Arial" w:hAnsi="Arial" w:cs="Arial"/>
                <w:sz w:val="18"/>
                <w:szCs w:val="18"/>
              </w:rPr>
            </w:pPr>
            <w:r>
              <w:rPr>
                <w:rFonts w:ascii="Arial" w:hAnsi="Arial" w:cs="Arial"/>
                <w:sz w:val="18"/>
                <w:szCs w:val="18"/>
              </w:rPr>
              <w:t>noted</w:t>
            </w:r>
          </w:p>
        </w:tc>
      </w:tr>
      <w:tr w:rsidR="00256BDC" w:rsidRPr="00C414B4" w14:paraId="02B2FAB8" w14:textId="77777777" w:rsidTr="00450C66">
        <w:trPr>
          <w:trHeight w:val="1533"/>
        </w:trPr>
        <w:tc>
          <w:tcPr>
            <w:tcW w:w="1560" w:type="dxa"/>
            <w:vMerge/>
          </w:tcPr>
          <w:p w14:paraId="4541F348" w14:textId="77777777" w:rsidR="00256BDC" w:rsidRDefault="00256BDC" w:rsidP="00450C66">
            <w:pPr>
              <w:jc w:val="center"/>
              <w:rPr>
                <w:rFonts w:ascii="Arial" w:hAnsi="Arial" w:cs="Arial"/>
                <w:sz w:val="20"/>
                <w:szCs w:val="20"/>
              </w:rPr>
            </w:pPr>
          </w:p>
        </w:tc>
        <w:tc>
          <w:tcPr>
            <w:tcW w:w="3424" w:type="dxa"/>
          </w:tcPr>
          <w:p w14:paraId="0E1EE9F3" w14:textId="77777777" w:rsidR="00256BDC" w:rsidRDefault="00256BDC" w:rsidP="00450C66">
            <w:pPr>
              <w:numPr>
                <w:ilvl w:val="0"/>
                <w:numId w:val="21"/>
              </w:numPr>
              <w:rPr>
                <w:rFonts w:ascii="Arial" w:hAnsi="Arial" w:cs="Arial"/>
                <w:sz w:val="20"/>
                <w:szCs w:val="20"/>
              </w:rPr>
            </w:pPr>
            <w:r>
              <w:rPr>
                <w:rFonts w:ascii="Arial" w:hAnsi="Arial" w:cs="Arial"/>
                <w:sz w:val="20"/>
                <w:szCs w:val="20"/>
              </w:rPr>
              <w:t>Future risks to human health and environment cannot be identified</w:t>
            </w:r>
          </w:p>
          <w:p w14:paraId="5301CC1E" w14:textId="77777777" w:rsidR="00256BDC" w:rsidRDefault="00256BDC" w:rsidP="00450C66">
            <w:pPr>
              <w:rPr>
                <w:rFonts w:ascii="Arial" w:hAnsi="Arial" w:cs="Arial"/>
                <w:sz w:val="20"/>
                <w:szCs w:val="20"/>
              </w:rPr>
            </w:pPr>
          </w:p>
        </w:tc>
        <w:tc>
          <w:tcPr>
            <w:tcW w:w="855" w:type="dxa"/>
            <w:vAlign w:val="center"/>
          </w:tcPr>
          <w:p w14:paraId="070087A0" w14:textId="77777777" w:rsidR="00256BDC" w:rsidRPr="00C414B4" w:rsidRDefault="00256BDC" w:rsidP="00450C66">
            <w:pPr>
              <w:jc w:val="center"/>
              <w:rPr>
                <w:rFonts w:ascii="Arial" w:hAnsi="Arial" w:cs="Arial"/>
                <w:sz w:val="20"/>
                <w:szCs w:val="20"/>
              </w:rPr>
            </w:pPr>
            <w:r>
              <w:rPr>
                <w:rFonts w:ascii="Arial" w:hAnsi="Arial" w:cs="Arial"/>
                <w:sz w:val="20"/>
                <w:szCs w:val="20"/>
              </w:rPr>
              <w:t>H, EN</w:t>
            </w:r>
          </w:p>
        </w:tc>
        <w:tc>
          <w:tcPr>
            <w:tcW w:w="4560" w:type="dxa"/>
          </w:tcPr>
          <w:p w14:paraId="3A5FA7BE" w14:textId="77777777" w:rsidR="00256BDC" w:rsidRPr="00904743" w:rsidRDefault="00256BDC" w:rsidP="00450C66">
            <w:pPr>
              <w:ind w:right="804"/>
              <w:rPr>
                <w:rFonts w:ascii="Arial" w:hAnsi="Arial" w:cs="Arial"/>
                <w:sz w:val="18"/>
                <w:szCs w:val="18"/>
              </w:rPr>
            </w:pPr>
            <w:r>
              <w:rPr>
                <w:rFonts w:ascii="Arial" w:hAnsi="Arial" w:cs="Arial"/>
                <w:sz w:val="18"/>
                <w:szCs w:val="18"/>
              </w:rPr>
              <w:t>The introduced genes are prevalent in many other plants, including edible fruits and vegetables, and the proteins they produce are not known to be toxic. There have been no reports of adverse impacts after ten years of commercial cultivation of the GM carnation lines in Australia or from overseas.</w:t>
            </w:r>
          </w:p>
        </w:tc>
      </w:tr>
      <w:tr w:rsidR="00256BDC" w:rsidRPr="00904743" w14:paraId="7F086D2D" w14:textId="77777777" w:rsidTr="00450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Pr>
          <w:p w14:paraId="27491E64" w14:textId="77777777" w:rsidR="00256BDC" w:rsidRDefault="00256BDC" w:rsidP="00450C66">
            <w:pPr>
              <w:jc w:val="center"/>
              <w:rPr>
                <w:rFonts w:ascii="Arial" w:hAnsi="Arial" w:cs="Arial"/>
                <w:sz w:val="20"/>
                <w:szCs w:val="20"/>
              </w:rPr>
            </w:pPr>
            <w:r>
              <w:rPr>
                <w:rFonts w:ascii="Arial" w:hAnsi="Arial" w:cs="Arial"/>
                <w:sz w:val="20"/>
                <w:szCs w:val="20"/>
              </w:rPr>
              <w:t>4 - 6</w:t>
            </w:r>
          </w:p>
        </w:tc>
        <w:tc>
          <w:tcPr>
            <w:tcW w:w="3424" w:type="dxa"/>
          </w:tcPr>
          <w:p w14:paraId="3B1FA8FD" w14:textId="77777777" w:rsidR="00256BDC" w:rsidRDefault="00256BDC" w:rsidP="00450C66">
            <w:pPr>
              <w:numPr>
                <w:ilvl w:val="0"/>
                <w:numId w:val="21"/>
              </w:numPr>
              <w:rPr>
                <w:rFonts w:ascii="Arial" w:hAnsi="Arial" w:cs="Arial"/>
                <w:sz w:val="20"/>
                <w:szCs w:val="20"/>
              </w:rPr>
            </w:pPr>
            <w:r>
              <w:rPr>
                <w:rFonts w:ascii="Arial" w:hAnsi="Arial" w:cs="Arial"/>
                <w:sz w:val="20"/>
                <w:szCs w:val="20"/>
              </w:rPr>
              <w:t>Extensive period of commercial release demonstrates no risk to human health and environment and, therefore, dealings with GM carnations are suitable for inclusion on the GMO Register.</w:t>
            </w:r>
          </w:p>
        </w:tc>
        <w:tc>
          <w:tcPr>
            <w:tcW w:w="855" w:type="dxa"/>
          </w:tcPr>
          <w:p w14:paraId="48A2C767" w14:textId="77777777" w:rsidR="00256BDC" w:rsidRPr="00C414B4" w:rsidRDefault="00256BDC" w:rsidP="00450C66">
            <w:pPr>
              <w:jc w:val="center"/>
              <w:rPr>
                <w:rFonts w:ascii="Arial" w:hAnsi="Arial" w:cs="Arial"/>
                <w:sz w:val="20"/>
                <w:szCs w:val="20"/>
              </w:rPr>
            </w:pPr>
          </w:p>
        </w:tc>
        <w:tc>
          <w:tcPr>
            <w:tcW w:w="4560" w:type="dxa"/>
          </w:tcPr>
          <w:p w14:paraId="27C89DED" w14:textId="77777777" w:rsidR="00256BDC" w:rsidRDefault="00256BDC" w:rsidP="00450C66">
            <w:pPr>
              <w:ind w:right="804"/>
              <w:rPr>
                <w:rFonts w:ascii="Arial" w:hAnsi="Arial" w:cs="Arial"/>
                <w:sz w:val="18"/>
                <w:szCs w:val="18"/>
              </w:rPr>
            </w:pPr>
          </w:p>
          <w:p w14:paraId="565F48F7" w14:textId="77777777" w:rsidR="00256BDC" w:rsidRDefault="00256BDC" w:rsidP="00450C66">
            <w:pPr>
              <w:ind w:right="804"/>
              <w:rPr>
                <w:rFonts w:ascii="Arial" w:hAnsi="Arial" w:cs="Arial"/>
                <w:sz w:val="18"/>
                <w:szCs w:val="18"/>
              </w:rPr>
            </w:pPr>
          </w:p>
          <w:p w14:paraId="207F0A98" w14:textId="77777777" w:rsidR="00256BDC" w:rsidRDefault="00256BDC" w:rsidP="00450C66">
            <w:pPr>
              <w:ind w:right="804"/>
              <w:rPr>
                <w:rFonts w:ascii="Arial" w:hAnsi="Arial" w:cs="Arial"/>
                <w:sz w:val="18"/>
                <w:szCs w:val="18"/>
              </w:rPr>
            </w:pPr>
          </w:p>
          <w:p w14:paraId="44C61B0C" w14:textId="77777777" w:rsidR="00256BDC" w:rsidRPr="00904743" w:rsidRDefault="00256BDC" w:rsidP="00450C66">
            <w:pPr>
              <w:ind w:right="804"/>
              <w:rPr>
                <w:rFonts w:ascii="Arial" w:hAnsi="Arial" w:cs="Arial"/>
                <w:sz w:val="18"/>
                <w:szCs w:val="18"/>
              </w:rPr>
            </w:pPr>
            <w:r>
              <w:rPr>
                <w:rFonts w:ascii="Arial" w:hAnsi="Arial" w:cs="Arial"/>
                <w:sz w:val="18"/>
                <w:szCs w:val="18"/>
              </w:rPr>
              <w:t>noted</w:t>
            </w:r>
          </w:p>
        </w:tc>
      </w:tr>
    </w:tbl>
    <w:p w14:paraId="0151650B" w14:textId="77777777" w:rsidR="00256BDC" w:rsidRPr="009D4830" w:rsidRDefault="00256BDC" w:rsidP="00256BDC">
      <w:pPr>
        <w:pStyle w:val="Default"/>
      </w:pPr>
    </w:p>
    <w:p w14:paraId="2A9DF6B1" w14:textId="77777777" w:rsidR="00256BDC" w:rsidRDefault="00256BDC" w:rsidP="00256BDC">
      <w:pPr>
        <w:pStyle w:val="Paranonumbers"/>
      </w:pPr>
      <w:r w:rsidRPr="000B26AE">
        <w:rPr>
          <w:rFonts w:ascii="Arial" w:hAnsi="Arial" w:cs="Arial"/>
          <w:b/>
          <w:bCs/>
          <w:sz w:val="36"/>
          <w:szCs w:val="36"/>
        </w:rPr>
        <w:fldChar w:fldCharType="end"/>
      </w:r>
    </w:p>
    <w:p w14:paraId="090DB7C7" w14:textId="77777777" w:rsidR="00256BDC" w:rsidRPr="009C1F74" w:rsidRDefault="00256BDC" w:rsidP="00256BDC">
      <w:pPr>
        <w:pStyle w:val="Paragraph"/>
        <w:tabs>
          <w:tab w:val="left" w:pos="0"/>
        </w:tabs>
        <w:rPr>
          <w:color w:val="0000FF"/>
        </w:rPr>
      </w:pPr>
    </w:p>
    <w:p w14:paraId="6E4FF33E" w14:textId="77777777" w:rsidR="00327DC6" w:rsidRDefault="00327DC6"/>
    <w:sectPr w:rsidR="00327DC6" w:rsidSect="006C5D94">
      <w:pgSz w:w="11906" w:h="16838" w:code="9"/>
      <w:pgMar w:top="1440" w:right="1418" w:bottom="1440" w:left="1418"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F52DE" w14:textId="77777777" w:rsidR="00256BDC" w:rsidRDefault="00256BDC" w:rsidP="00256BDC">
      <w:r>
        <w:separator/>
      </w:r>
    </w:p>
  </w:endnote>
  <w:endnote w:type="continuationSeparator" w:id="0">
    <w:p w14:paraId="7DE2BD78" w14:textId="77777777" w:rsidR="00256BDC" w:rsidRDefault="00256BDC" w:rsidP="0025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20002A87" w:usb1="80000000" w:usb2="00000008"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BE1F9" w14:textId="77777777" w:rsidR="00256BDC" w:rsidRDefault="00256BDC" w:rsidP="006C5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B8DCE1" w14:textId="77777777" w:rsidR="00256BDC" w:rsidRDefault="00256BDC" w:rsidP="006C5D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DC4BE" w14:textId="77777777" w:rsidR="00256BDC" w:rsidRDefault="00256BDC" w:rsidP="006C5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7B193E6" w14:textId="77777777" w:rsidR="00256BDC" w:rsidRDefault="00256BDC" w:rsidP="006C5D9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7E96" w14:textId="77777777" w:rsidR="00256BDC" w:rsidRDefault="00256BDC" w:rsidP="00256BDC">
      <w:r>
        <w:separator/>
      </w:r>
    </w:p>
  </w:footnote>
  <w:footnote w:type="continuationSeparator" w:id="0">
    <w:p w14:paraId="49690AC9" w14:textId="77777777" w:rsidR="00256BDC" w:rsidRDefault="00256BDC" w:rsidP="00256BDC">
      <w:r>
        <w:continuationSeparator/>
      </w:r>
    </w:p>
  </w:footnote>
  <w:footnote w:id="1">
    <w:p w14:paraId="30070934" w14:textId="77777777" w:rsidR="00256BDC" w:rsidRPr="005A2ECB" w:rsidRDefault="00256BDC" w:rsidP="00256BDC">
      <w:pPr>
        <w:pStyle w:val="FootnoteText"/>
      </w:pPr>
      <w:r>
        <w:rPr>
          <w:rStyle w:val="FootnoteReference"/>
        </w:rPr>
        <w:footnoteRef/>
      </w:r>
      <w:r>
        <w:t xml:space="preserve"> Several </w:t>
      </w:r>
      <w:r w:rsidRPr="005A2ECB">
        <w:t xml:space="preserve">databases </w:t>
      </w:r>
      <w:r>
        <w:t xml:space="preserve"> </w:t>
      </w:r>
      <w:r w:rsidRPr="005A2ECB">
        <w:t>and search engi</w:t>
      </w:r>
      <w:r>
        <w:t>nes (Google Advanced, PubMed, Agricola, Biosis) were accessed using ‘carnation’</w:t>
      </w:r>
      <w:r w:rsidRPr="005A2ECB">
        <w:t xml:space="preserve"> </w:t>
      </w:r>
      <w:r>
        <w:t xml:space="preserve">or ‘Dianthus caryophyllus’ </w:t>
      </w:r>
      <w:r w:rsidRPr="005A2ECB">
        <w:t xml:space="preserve">as the </w:t>
      </w:r>
      <w:r>
        <w:t xml:space="preserve">main search term. </w:t>
      </w:r>
      <w:r w:rsidRPr="005A2ECB">
        <w:t xml:space="preserve">The search was then refined using </w:t>
      </w:r>
      <w:r>
        <w:t xml:space="preserve">a number of descriptors (e.g.‘transgenic’, ‘environmental impact’, ‘allergy’, ‘pollinators’). </w:t>
      </w:r>
    </w:p>
    <w:p w14:paraId="18F8CD56" w14:textId="77777777" w:rsidR="00256BDC" w:rsidRDefault="00256BDC" w:rsidP="00256B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F4168" w14:textId="77777777" w:rsidR="00256BDC" w:rsidRPr="00531955" w:rsidRDefault="00256BDC" w:rsidP="000C11F2">
    <w:pPr>
      <w:pStyle w:val="Header"/>
      <w:pBdr>
        <w:bottom w:val="single" w:sz="4" w:space="1" w:color="auto"/>
      </w:pBdr>
      <w:tabs>
        <w:tab w:val="clear" w:pos="8306"/>
        <w:tab w:val="right" w:pos="9072"/>
      </w:tabs>
      <w:rPr>
        <w:rFonts w:ascii="Comic Sans MS" w:hAnsi="Comic Sans MS" w:cs="Comic Sans MS"/>
        <w:sz w:val="16"/>
        <w:szCs w:val="16"/>
      </w:rPr>
    </w:pPr>
    <w:r>
      <w:rPr>
        <w:rFonts w:ascii="Comic Sans MS" w:hAnsi="Comic Sans MS" w:cs="Comic Sans MS"/>
        <w:sz w:val="16"/>
        <w:szCs w:val="16"/>
      </w:rPr>
      <w:t>Register 001/2004</w:t>
    </w:r>
    <w:r w:rsidRPr="00531955">
      <w:rPr>
        <w:rFonts w:ascii="Comic Sans MS" w:hAnsi="Comic Sans MS" w:cs="Comic Sans MS"/>
        <w:sz w:val="16"/>
        <w:szCs w:val="16"/>
      </w:rPr>
      <w:t>—Risk</w:t>
    </w:r>
    <w:r>
      <w:rPr>
        <w:rFonts w:ascii="Comic Sans MS" w:hAnsi="Comic Sans MS" w:cs="Comic Sans MS"/>
        <w:sz w:val="16"/>
        <w:szCs w:val="16"/>
      </w:rPr>
      <w:t xml:space="preserve"> Assessment</w:t>
    </w:r>
    <w:r w:rsidRPr="00531955">
      <w:rPr>
        <w:rFonts w:ascii="Comic Sans MS" w:hAnsi="Comic Sans MS" w:cs="Comic Sans MS"/>
        <w:sz w:val="16"/>
        <w:szCs w:val="16"/>
      </w:rPr>
      <w:tab/>
    </w:r>
    <w:r>
      <w:rPr>
        <w:rFonts w:ascii="Comic Sans MS" w:hAnsi="Comic Sans MS" w:cs="Comic Sans MS"/>
        <w:sz w:val="16"/>
        <w:szCs w:val="16"/>
      </w:rPr>
      <w:tab/>
    </w:r>
    <w:r w:rsidRPr="00531955">
      <w:rPr>
        <w:rFonts w:ascii="Comic Sans MS" w:hAnsi="Comic Sans MS" w:cs="Comic Sans MS"/>
        <w:b/>
        <w:bCs/>
        <w:sz w:val="16"/>
        <w:szCs w:val="16"/>
      </w:rPr>
      <w:t>Office of the Gene Technology Regulator</w:t>
    </w:r>
  </w:p>
  <w:p w14:paraId="3FED1C35" w14:textId="77777777" w:rsidR="00256BDC" w:rsidRDefault="00256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52D879F6"/>
    <w:lvl w:ilvl="0">
      <w:start w:val="1"/>
      <w:numFmt w:val="decimal"/>
      <w:pStyle w:val="RIGHTLIST"/>
      <w:lvlText w:val="%1."/>
      <w:lvlJc w:val="left"/>
      <w:pPr>
        <w:tabs>
          <w:tab w:val="num" w:pos="360"/>
        </w:tabs>
        <w:ind w:left="360" w:hanging="360"/>
      </w:pPr>
    </w:lvl>
    <w:lvl w:ilvl="1">
      <w:start w:val="2"/>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97D2899"/>
    <w:multiLevelType w:val="multilevel"/>
    <w:tmpl w:val="0C09001F"/>
    <w:styleLink w:val="111111"/>
    <w:lvl w:ilvl="0">
      <w:start w:val="2"/>
      <w:numFmt w:val="decimal"/>
      <w:pStyle w:val="PAR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D57F8F"/>
    <w:multiLevelType w:val="multilevel"/>
    <w:tmpl w:val="27068C6E"/>
    <w:lvl w:ilvl="0">
      <w:numFmt w:val="bullet"/>
      <w:lvlText w:val="-"/>
      <w:lvlJc w:val="left"/>
      <w:pPr>
        <w:tabs>
          <w:tab w:val="num" w:pos="930"/>
        </w:tabs>
        <w:ind w:left="93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85FD1"/>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4C4E82"/>
    <w:multiLevelType w:val="hybridMultilevel"/>
    <w:tmpl w:val="2D3CC5C2"/>
    <w:lvl w:ilvl="0" w:tplc="B4222814">
      <w:start w:val="1"/>
      <w:numFmt w:val="bullet"/>
      <w:lvlText w:val=""/>
      <w:lvlJc w:val="left"/>
      <w:pPr>
        <w:tabs>
          <w:tab w:val="num" w:pos="360"/>
        </w:tabs>
        <w:ind w:left="360" w:hanging="360"/>
      </w:pPr>
      <w:rPr>
        <w:rFonts w:ascii="Wingdings" w:hAnsi="Wingdings" w:cs="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B627828"/>
    <w:multiLevelType w:val="hybridMultilevel"/>
    <w:tmpl w:val="276CA2C0"/>
    <w:lvl w:ilvl="0" w:tplc="3060228A">
      <w:start w:val="1"/>
      <w:numFmt w:val="bullet"/>
      <w:lvlText w:val=""/>
      <w:lvlJc w:val="left"/>
      <w:pPr>
        <w:tabs>
          <w:tab w:val="num" w:pos="0"/>
        </w:tabs>
        <w:ind w:left="0" w:firstLine="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810B7"/>
    <w:multiLevelType w:val="hybridMultilevel"/>
    <w:tmpl w:val="C46CDA6A"/>
    <w:lvl w:ilvl="0" w:tplc="B4222814">
      <w:start w:val="1"/>
      <w:numFmt w:val="bullet"/>
      <w:lvlText w:val=""/>
      <w:lvlJc w:val="left"/>
      <w:pPr>
        <w:tabs>
          <w:tab w:val="num" w:pos="360"/>
        </w:tabs>
        <w:ind w:left="360" w:hanging="360"/>
      </w:pPr>
      <w:rPr>
        <w:rFonts w:ascii="Wingdings" w:hAnsi="Wingdings" w:cs="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2214B81"/>
    <w:multiLevelType w:val="hybridMultilevel"/>
    <w:tmpl w:val="59740A22"/>
    <w:lvl w:ilvl="0" w:tplc="FFFFFFFF">
      <w:start w:val="1"/>
      <w:numFmt w:val="bullet"/>
      <w:pStyle w:val="Arrow"/>
      <w:lvlText w:val=""/>
      <w:lvlJc w:val="left"/>
      <w:pPr>
        <w:tabs>
          <w:tab w:val="num" w:pos="737"/>
        </w:tabs>
        <w:ind w:left="737" w:hanging="397"/>
      </w:pPr>
      <w:rPr>
        <w:rFonts w:ascii="Wingdings" w:hAnsi="Wingdings" w:cs="Wingdings" w:hint="default"/>
        <w:color w:val="auto"/>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8" w15:restartNumberingAfterBreak="0">
    <w:nsid w:val="33BD291B"/>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7433CA"/>
    <w:multiLevelType w:val="hybridMultilevel"/>
    <w:tmpl w:val="C38C4D80"/>
    <w:lvl w:ilvl="0" w:tplc="4EFA4C28">
      <w:start w:val="1"/>
      <w:numFmt w:val="bullet"/>
      <w:lvlText w:val=""/>
      <w:lvlJc w:val="left"/>
      <w:pPr>
        <w:tabs>
          <w:tab w:val="num" w:pos="360"/>
        </w:tabs>
        <w:ind w:left="357" w:hanging="357"/>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E6ABF"/>
    <w:multiLevelType w:val="multilevel"/>
    <w:tmpl w:val="22F22734"/>
    <w:lvl w:ilvl="0">
      <w:start w:val="1"/>
      <w:numFmt w:val="decimal"/>
      <w:pStyle w:val="1RARMP"/>
      <w:lvlText w:val="Chapter %1"/>
      <w:lvlJc w:val="left"/>
      <w:pPr>
        <w:tabs>
          <w:tab w:val="num" w:pos="284"/>
        </w:tabs>
      </w:pPr>
      <w:rPr>
        <w:rFonts w:ascii="Arial" w:hAnsi="Arial" w:cs="Arial" w:hint="default"/>
        <w:b/>
        <w:bCs/>
        <w:i w:val="0"/>
        <w:iCs w:val="0"/>
        <w:color w:val="000000"/>
        <w:sz w:val="36"/>
        <w:szCs w:val="36"/>
        <w:u w:val="none"/>
      </w:rPr>
    </w:lvl>
    <w:lvl w:ilvl="1">
      <w:start w:val="1"/>
      <w:numFmt w:val="decimal"/>
      <w:lvlText w:val="Section %2"/>
      <w:lvlJc w:val="left"/>
      <w:pPr>
        <w:tabs>
          <w:tab w:val="num" w:pos="1531"/>
        </w:tabs>
        <w:ind w:left="1531" w:hanging="1531"/>
      </w:pPr>
      <w:rPr>
        <w:rFonts w:ascii="Arial" w:hAnsi="Arial" w:cs="Arial" w:hint="default"/>
        <w:b/>
        <w:bCs/>
        <w:i/>
        <w:iCs/>
        <w:sz w:val="28"/>
        <w:szCs w:val="28"/>
        <w:u w:val="none"/>
      </w:rPr>
    </w:lvl>
    <w:lvl w:ilvl="2">
      <w:start w:val="1"/>
      <w:numFmt w:val="decimal"/>
      <w:pStyle w:val="3RARMP"/>
      <w:lvlText w:val="%2.%3"/>
      <w:lvlJc w:val="left"/>
      <w:pPr>
        <w:tabs>
          <w:tab w:val="num" w:pos="284"/>
        </w:tabs>
      </w:pPr>
      <w:rPr>
        <w:rFonts w:ascii="Arial" w:hAnsi="Arial" w:cs="Arial" w:hint="default"/>
        <w:b/>
        <w:bCs/>
        <w:i w:val="0"/>
        <w:iCs w:val="0"/>
        <w:sz w:val="24"/>
        <w:szCs w:val="24"/>
        <w:u w:val="none"/>
      </w:rPr>
    </w:lvl>
    <w:lvl w:ilvl="3">
      <w:start w:val="1"/>
      <w:numFmt w:val="decimal"/>
      <w:pStyle w:val="4RARMP"/>
      <w:lvlText w:val="%2.%3.%4"/>
      <w:lvlJc w:val="left"/>
      <w:pPr>
        <w:tabs>
          <w:tab w:val="num" w:pos="284"/>
        </w:tabs>
      </w:pPr>
      <w:rPr>
        <w:rFonts w:ascii="Arial" w:hAnsi="Arial" w:cs="Arial" w:hint="default"/>
        <w:b/>
        <w:bCs/>
        <w:i/>
        <w:iCs/>
        <w:sz w:val="22"/>
        <w:szCs w:val="22"/>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7A50422"/>
    <w:multiLevelType w:val="hybridMultilevel"/>
    <w:tmpl w:val="8850F9CC"/>
    <w:lvl w:ilvl="0" w:tplc="FFFFFFFF">
      <w:start w:val="1"/>
      <w:numFmt w:val="lowerLetter"/>
      <w:lvlText w:val="%1)"/>
      <w:lvlJc w:val="left"/>
      <w:pPr>
        <w:tabs>
          <w:tab w:val="num" w:pos="1004"/>
        </w:tabs>
        <w:ind w:left="1004" w:hanging="360"/>
      </w:pPr>
      <w:rPr>
        <w:rFont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cs="Wingdings" w:hint="default"/>
      </w:rPr>
    </w:lvl>
    <w:lvl w:ilvl="3" w:tplc="FFFFFFFF">
      <w:start w:val="1"/>
      <w:numFmt w:val="bullet"/>
      <w:lvlText w:val=""/>
      <w:lvlJc w:val="left"/>
      <w:pPr>
        <w:tabs>
          <w:tab w:val="num" w:pos="3164"/>
        </w:tabs>
        <w:ind w:left="3164" w:hanging="360"/>
      </w:pPr>
      <w:rPr>
        <w:rFonts w:ascii="Symbol" w:hAnsi="Symbol" w:cs="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Wingdings" w:hint="default"/>
      </w:rPr>
    </w:lvl>
    <w:lvl w:ilvl="6" w:tplc="FFFFFFFF">
      <w:start w:val="1"/>
      <w:numFmt w:val="bullet"/>
      <w:lvlText w:val=""/>
      <w:lvlJc w:val="left"/>
      <w:pPr>
        <w:tabs>
          <w:tab w:val="num" w:pos="5324"/>
        </w:tabs>
        <w:ind w:left="5324" w:hanging="360"/>
      </w:pPr>
      <w:rPr>
        <w:rFonts w:ascii="Symbol" w:hAnsi="Symbol" w:cs="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Wingdings" w:hint="default"/>
      </w:rPr>
    </w:lvl>
  </w:abstractNum>
  <w:abstractNum w:abstractNumId="12" w15:restartNumberingAfterBreak="0">
    <w:nsid w:val="3A7E3E4E"/>
    <w:multiLevelType w:val="hybridMultilevel"/>
    <w:tmpl w:val="57AE3550"/>
    <w:lvl w:ilvl="0" w:tplc="B4222814">
      <w:start w:val="1"/>
      <w:numFmt w:val="bullet"/>
      <w:lvlText w:val=""/>
      <w:lvlJc w:val="left"/>
      <w:pPr>
        <w:tabs>
          <w:tab w:val="num" w:pos="720"/>
        </w:tabs>
        <w:ind w:left="720" w:hanging="360"/>
      </w:pPr>
      <w:rPr>
        <w:rFonts w:ascii="Wingdings" w:hAnsi="Wingdings" w:cs="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14A6F0C"/>
    <w:multiLevelType w:val="hybridMultilevel"/>
    <w:tmpl w:val="B46C244C"/>
    <w:lvl w:ilvl="0" w:tplc="BAF85602">
      <w:start w:val="1"/>
      <w:numFmt w:val="bullet"/>
      <w:pStyle w:val="BulletedRARMP"/>
      <w:lvlText w:val=""/>
      <w:lvlJc w:val="left"/>
      <w:pPr>
        <w:tabs>
          <w:tab w:val="num" w:pos="567"/>
        </w:tabs>
        <w:ind w:left="567" w:hanging="567"/>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1BA2D0B"/>
    <w:multiLevelType w:val="hybridMultilevel"/>
    <w:tmpl w:val="823A907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4302AE7"/>
    <w:multiLevelType w:val="hybridMultilevel"/>
    <w:tmpl w:val="27068C6E"/>
    <w:lvl w:ilvl="0" w:tplc="0C090017">
      <w:numFmt w:val="bullet"/>
      <w:lvlText w:val="-"/>
      <w:lvlJc w:val="left"/>
      <w:pPr>
        <w:tabs>
          <w:tab w:val="num" w:pos="930"/>
        </w:tabs>
        <w:ind w:left="93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914F7B"/>
    <w:multiLevelType w:val="hybridMultilevel"/>
    <w:tmpl w:val="015CA880"/>
    <w:lvl w:ilvl="0" w:tplc="A00EEBB4">
      <w:start w:val="1"/>
      <w:numFmt w:val="decimal"/>
      <w:pStyle w:val="Para7section2"/>
      <w:lvlText w:val="%1."/>
      <w:lvlJc w:val="left"/>
      <w:pPr>
        <w:tabs>
          <w:tab w:val="num" w:pos="567"/>
        </w:tabs>
        <w:ind w:left="567" w:hanging="567"/>
      </w:pPr>
      <w:rPr>
        <w:rFonts w:ascii="Times New Roman" w:hAnsi="Times New Roman" w:cs="Times New Roman" w:hint="default"/>
        <w:b w:val="0"/>
        <w:bCs w:val="0"/>
        <w:i w:val="0"/>
        <w:iCs w:val="0"/>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15:restartNumberingAfterBreak="0">
    <w:nsid w:val="51847988"/>
    <w:multiLevelType w:val="hybridMultilevel"/>
    <w:tmpl w:val="5A361C56"/>
    <w:lvl w:ilvl="0" w:tplc="B4222814">
      <w:start w:val="1"/>
      <w:numFmt w:val="bullet"/>
      <w:lvlText w:val=""/>
      <w:lvlJc w:val="left"/>
      <w:pPr>
        <w:tabs>
          <w:tab w:val="num" w:pos="360"/>
        </w:tabs>
        <w:ind w:left="360" w:hanging="360"/>
      </w:pPr>
      <w:rPr>
        <w:rFonts w:ascii="Wingdings" w:hAnsi="Wingdings" w:cs="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39B1D95"/>
    <w:multiLevelType w:val="hybridMultilevel"/>
    <w:tmpl w:val="20663774"/>
    <w:lvl w:ilvl="0" w:tplc="0C090019">
      <w:start w:val="1"/>
      <w:numFmt w:val="lowerRoman"/>
      <w:lvlText w:val="(%1)"/>
      <w:lvlJc w:val="left"/>
      <w:pPr>
        <w:tabs>
          <w:tab w:val="num" w:pos="1146"/>
        </w:tabs>
        <w:ind w:left="1146" w:hanging="720"/>
      </w:pPr>
      <w:rPr>
        <w:rFonts w:hint="default"/>
      </w:rPr>
    </w:lvl>
    <w:lvl w:ilvl="1" w:tplc="0C090019">
      <w:start w:val="1"/>
      <w:numFmt w:val="lowerLetter"/>
      <w:lvlText w:val="%2."/>
      <w:lvlJc w:val="left"/>
      <w:pPr>
        <w:tabs>
          <w:tab w:val="num" w:pos="1506"/>
        </w:tabs>
        <w:ind w:left="1506" w:hanging="360"/>
      </w:pPr>
    </w:lvl>
    <w:lvl w:ilvl="2" w:tplc="0C09001B">
      <w:start w:val="1"/>
      <w:numFmt w:val="lowerRoman"/>
      <w:lvlText w:val="%3."/>
      <w:lvlJc w:val="right"/>
      <w:pPr>
        <w:tabs>
          <w:tab w:val="num" w:pos="2226"/>
        </w:tabs>
        <w:ind w:left="2226" w:hanging="180"/>
      </w:pPr>
    </w:lvl>
    <w:lvl w:ilvl="3" w:tplc="0C09000F">
      <w:start w:val="1"/>
      <w:numFmt w:val="decimal"/>
      <w:lvlText w:val="%4."/>
      <w:lvlJc w:val="left"/>
      <w:pPr>
        <w:tabs>
          <w:tab w:val="num" w:pos="2946"/>
        </w:tabs>
        <w:ind w:left="2946" w:hanging="360"/>
      </w:pPr>
    </w:lvl>
    <w:lvl w:ilvl="4" w:tplc="0C090019">
      <w:start w:val="1"/>
      <w:numFmt w:val="lowerLetter"/>
      <w:lvlText w:val="%5."/>
      <w:lvlJc w:val="left"/>
      <w:pPr>
        <w:tabs>
          <w:tab w:val="num" w:pos="3666"/>
        </w:tabs>
        <w:ind w:left="3666" w:hanging="360"/>
      </w:pPr>
    </w:lvl>
    <w:lvl w:ilvl="5" w:tplc="0C09001B">
      <w:start w:val="1"/>
      <w:numFmt w:val="lowerRoman"/>
      <w:lvlText w:val="%6."/>
      <w:lvlJc w:val="right"/>
      <w:pPr>
        <w:tabs>
          <w:tab w:val="num" w:pos="4386"/>
        </w:tabs>
        <w:ind w:left="4386" w:hanging="180"/>
      </w:pPr>
    </w:lvl>
    <w:lvl w:ilvl="6" w:tplc="0C09000F">
      <w:start w:val="1"/>
      <w:numFmt w:val="decimal"/>
      <w:lvlText w:val="%7."/>
      <w:lvlJc w:val="left"/>
      <w:pPr>
        <w:tabs>
          <w:tab w:val="num" w:pos="5106"/>
        </w:tabs>
        <w:ind w:left="5106" w:hanging="360"/>
      </w:pPr>
    </w:lvl>
    <w:lvl w:ilvl="7" w:tplc="0C090019">
      <w:start w:val="1"/>
      <w:numFmt w:val="lowerLetter"/>
      <w:lvlText w:val="%8."/>
      <w:lvlJc w:val="left"/>
      <w:pPr>
        <w:tabs>
          <w:tab w:val="num" w:pos="5826"/>
        </w:tabs>
        <w:ind w:left="5826" w:hanging="360"/>
      </w:pPr>
    </w:lvl>
    <w:lvl w:ilvl="8" w:tplc="0C09001B">
      <w:start w:val="1"/>
      <w:numFmt w:val="lowerRoman"/>
      <w:lvlText w:val="%9."/>
      <w:lvlJc w:val="right"/>
      <w:pPr>
        <w:tabs>
          <w:tab w:val="num" w:pos="6546"/>
        </w:tabs>
        <w:ind w:left="6546" w:hanging="180"/>
      </w:pPr>
    </w:lvl>
  </w:abstractNum>
  <w:abstractNum w:abstractNumId="19" w15:restartNumberingAfterBreak="0">
    <w:nsid w:val="586D1FAA"/>
    <w:multiLevelType w:val="multilevel"/>
    <w:tmpl w:val="00C2875C"/>
    <w:lvl w:ilvl="0">
      <w:start w:val="1"/>
      <w:numFmt w:val="upperLetter"/>
      <w:lvlText w:val="Appendix %1"/>
      <w:lvlJc w:val="left"/>
      <w:pPr>
        <w:tabs>
          <w:tab w:val="num" w:pos="284"/>
        </w:tabs>
      </w:pPr>
      <w:rPr>
        <w:rFonts w:ascii="Arial" w:hAnsi="Arial" w:cs="Arial" w:hint="default"/>
        <w:b/>
        <w:bCs/>
        <w:i w:val="0"/>
        <w:iCs w:val="0"/>
        <w:sz w:val="36"/>
        <w:szCs w:val="36"/>
      </w:rPr>
    </w:lvl>
    <w:lvl w:ilvl="1">
      <w:start w:val="1"/>
      <w:numFmt w:val="upperLetter"/>
      <w:lvlText w:val="%2."/>
      <w:lvlJc w:val="left"/>
      <w:pPr>
        <w:tabs>
          <w:tab w:val="num" w:pos="1080"/>
        </w:tabs>
        <w:ind w:left="720"/>
      </w:pPr>
      <w:rPr>
        <w:rFonts w:hint="default"/>
      </w:rPr>
    </w:lvl>
    <w:lvl w:ilvl="2">
      <w:start w:val="1"/>
      <w:numFmt w:val="decimal"/>
      <w:lvlText w:val="%3."/>
      <w:lvlJc w:val="left"/>
      <w:pPr>
        <w:tabs>
          <w:tab w:val="num" w:pos="1800"/>
        </w:tabs>
        <w:ind w:left="1440"/>
      </w:pPr>
      <w:rPr>
        <w:rFonts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15:restartNumberingAfterBreak="0">
    <w:nsid w:val="5A094481"/>
    <w:multiLevelType w:val="hybridMultilevel"/>
    <w:tmpl w:val="A1B0658C"/>
    <w:lvl w:ilvl="0" w:tplc="B4222814">
      <w:start w:val="1"/>
      <w:numFmt w:val="bullet"/>
      <w:lvlText w:val=""/>
      <w:lvlJc w:val="left"/>
      <w:pPr>
        <w:tabs>
          <w:tab w:val="num" w:pos="360"/>
        </w:tabs>
        <w:ind w:left="360" w:hanging="360"/>
      </w:pPr>
      <w:rPr>
        <w:rFonts w:ascii="Wingdings" w:hAnsi="Wingdings" w:cs="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1DB53EE"/>
    <w:multiLevelType w:val="hybridMultilevel"/>
    <w:tmpl w:val="99C46C46"/>
    <w:lvl w:ilvl="0" w:tplc="4EFA4C28">
      <w:start w:val="1"/>
      <w:numFmt w:val="bullet"/>
      <w:lvlText w:val=""/>
      <w:lvlJc w:val="left"/>
      <w:pPr>
        <w:tabs>
          <w:tab w:val="num" w:pos="360"/>
        </w:tabs>
        <w:ind w:left="357" w:hanging="357"/>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E015E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2643A04"/>
    <w:multiLevelType w:val="hybridMultilevel"/>
    <w:tmpl w:val="E3A4B08A"/>
    <w:lvl w:ilvl="0" w:tplc="54C2EC84">
      <w:start w:val="1"/>
      <w:numFmt w:val="bullet"/>
      <w:lvlText w:val=""/>
      <w:lvlJc w:val="left"/>
      <w:pPr>
        <w:tabs>
          <w:tab w:val="num" w:pos="930"/>
        </w:tabs>
        <w:ind w:left="93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9F67A8"/>
    <w:multiLevelType w:val="singleLevel"/>
    <w:tmpl w:val="6D027BE0"/>
    <w:lvl w:ilvl="0">
      <w:start w:val="1"/>
      <w:numFmt w:val="decimal"/>
      <w:pStyle w:val="Bibliography1"/>
      <w:lvlText w:val="%1."/>
      <w:lvlJc w:val="left"/>
      <w:pPr>
        <w:tabs>
          <w:tab w:val="num" w:pos="360"/>
        </w:tabs>
        <w:ind w:left="360" w:hanging="360"/>
      </w:pPr>
    </w:lvl>
  </w:abstractNum>
  <w:num w:numId="1">
    <w:abstractNumId w:val="1"/>
  </w:num>
  <w:num w:numId="2">
    <w:abstractNumId w:val="11"/>
  </w:num>
  <w:num w:numId="3">
    <w:abstractNumId w:val="18"/>
  </w:num>
  <w:num w:numId="4">
    <w:abstractNumId w:val="7"/>
  </w:num>
  <w:num w:numId="5">
    <w:abstractNumId w:val="14"/>
  </w:num>
  <w:num w:numId="6">
    <w:abstractNumId w:val="10"/>
  </w:num>
  <w:num w:numId="7">
    <w:abstractNumId w:val="0"/>
  </w:num>
  <w:num w:numId="8">
    <w:abstractNumId w:val="22"/>
  </w:num>
  <w:num w:numId="9">
    <w:abstractNumId w:val="3"/>
  </w:num>
  <w:num w:numId="10">
    <w:abstractNumId w:val="8"/>
  </w:num>
  <w:num w:numId="11">
    <w:abstractNumId w:val="15"/>
  </w:num>
  <w:num w:numId="12">
    <w:abstractNumId w:val="2"/>
  </w:num>
  <w:num w:numId="13">
    <w:abstractNumId w:val="23"/>
  </w:num>
  <w:num w:numId="14">
    <w:abstractNumId w:val="24"/>
  </w:num>
  <w:num w:numId="15">
    <w:abstractNumId w:val="5"/>
  </w:num>
  <w:num w:numId="16">
    <w:abstractNumId w:val="19"/>
  </w:num>
  <w:num w:numId="17">
    <w:abstractNumId w:val="13"/>
  </w:num>
  <w:num w:numId="18">
    <w:abstractNumId w:val="16"/>
  </w:num>
  <w:num w:numId="19">
    <w:abstractNumId w:val="9"/>
  </w:num>
  <w:num w:numId="20">
    <w:abstractNumId w:val="12"/>
  </w:num>
  <w:num w:numId="21">
    <w:abstractNumId w:val="21"/>
  </w:num>
  <w:num w:numId="22">
    <w:abstractNumId w:val="20"/>
  </w:num>
  <w:num w:numId="23">
    <w:abstractNumId w:val="4"/>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DC"/>
    <w:rsid w:val="00256BDC"/>
    <w:rsid w:val="00327DC6"/>
    <w:rsid w:val="003904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2767"/>
  <w15:chartTrackingRefBased/>
  <w15:docId w15:val="{DF5B1DD1-6B2C-48A7-B191-C3F0F702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DC"/>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256BDC"/>
    <w:pPr>
      <w:keepNext/>
      <w:outlineLvl w:val="0"/>
    </w:pPr>
    <w:rPr>
      <w:b/>
      <w:bCs/>
    </w:rPr>
  </w:style>
  <w:style w:type="paragraph" w:styleId="Heading2">
    <w:name w:val="heading 2"/>
    <w:basedOn w:val="Normal"/>
    <w:next w:val="Normal"/>
    <w:link w:val="Heading2Char"/>
    <w:qFormat/>
    <w:rsid w:val="00256BDC"/>
    <w:pPr>
      <w:keepNext/>
      <w:outlineLvl w:val="1"/>
    </w:pPr>
    <w:rPr>
      <w:b/>
      <w:bCs/>
    </w:rPr>
  </w:style>
  <w:style w:type="paragraph" w:styleId="Heading3">
    <w:name w:val="heading 3"/>
    <w:basedOn w:val="Normal"/>
    <w:next w:val="Normal"/>
    <w:link w:val="Heading3Char"/>
    <w:qFormat/>
    <w:rsid w:val="00256BDC"/>
    <w:pPr>
      <w:keepNext/>
      <w:outlineLvl w:val="2"/>
    </w:pPr>
    <w:rPr>
      <w:b/>
      <w:bCs/>
      <w:i/>
      <w:iCs/>
    </w:rPr>
  </w:style>
  <w:style w:type="paragraph" w:styleId="Heading4">
    <w:name w:val="heading 4"/>
    <w:basedOn w:val="Normal"/>
    <w:next w:val="Normal"/>
    <w:link w:val="Heading4Char"/>
    <w:qFormat/>
    <w:rsid w:val="00256BDC"/>
    <w:pPr>
      <w:keepNext/>
      <w:jc w:val="center"/>
      <w:outlineLvl w:val="3"/>
    </w:pPr>
    <w:rPr>
      <w:b/>
      <w:bCs/>
      <w:sz w:val="80"/>
      <w:szCs w:val="80"/>
    </w:rPr>
  </w:style>
  <w:style w:type="paragraph" w:styleId="Heading6">
    <w:name w:val="heading 6"/>
    <w:basedOn w:val="Normal"/>
    <w:next w:val="Normal"/>
    <w:link w:val="Heading6Char"/>
    <w:qFormat/>
    <w:rsid w:val="00256BDC"/>
    <w:pPr>
      <w:spacing w:before="240" w:after="60"/>
      <w:outlineLvl w:val="5"/>
    </w:pPr>
    <w:rPr>
      <w:b/>
      <w:bCs/>
      <w:sz w:val="22"/>
      <w:szCs w:val="22"/>
    </w:rPr>
  </w:style>
  <w:style w:type="paragraph" w:styleId="Heading7">
    <w:name w:val="heading 7"/>
    <w:basedOn w:val="Normal"/>
    <w:next w:val="Normal"/>
    <w:link w:val="Heading7Char"/>
    <w:qFormat/>
    <w:rsid w:val="00256BDC"/>
    <w:pPr>
      <w:numPr>
        <w:ilvl w:val="6"/>
        <w:numId w:val="6"/>
      </w:numPr>
      <w:spacing w:before="240" w:after="60"/>
      <w:outlineLvl w:val="6"/>
    </w:pPr>
  </w:style>
  <w:style w:type="paragraph" w:styleId="Heading8">
    <w:name w:val="heading 8"/>
    <w:basedOn w:val="Normal"/>
    <w:next w:val="Normal"/>
    <w:link w:val="Heading8Char"/>
    <w:qFormat/>
    <w:rsid w:val="00256BDC"/>
    <w:pPr>
      <w:numPr>
        <w:ilvl w:val="7"/>
        <w:numId w:val="6"/>
      </w:numPr>
      <w:spacing w:before="240" w:after="60"/>
      <w:outlineLvl w:val="7"/>
    </w:pPr>
    <w:rPr>
      <w:i/>
      <w:iCs/>
    </w:rPr>
  </w:style>
  <w:style w:type="paragraph" w:styleId="Heading9">
    <w:name w:val="heading 9"/>
    <w:basedOn w:val="Normal"/>
    <w:next w:val="Normal"/>
    <w:link w:val="Heading9Char"/>
    <w:qFormat/>
    <w:rsid w:val="00256BDC"/>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6BDC"/>
    <w:rPr>
      <w:rFonts w:ascii="Times New Roman" w:eastAsia="Times New Roman" w:hAnsi="Times New Roman" w:cs="Times New Roman"/>
      <w:b/>
      <w:bCs/>
      <w:sz w:val="24"/>
      <w:szCs w:val="24"/>
      <w:lang w:eastAsia="en-AU"/>
    </w:rPr>
  </w:style>
  <w:style w:type="character" w:customStyle="1" w:styleId="Heading2Char">
    <w:name w:val="Heading 2 Char"/>
    <w:basedOn w:val="DefaultParagraphFont"/>
    <w:link w:val="Heading2"/>
    <w:rsid w:val="00256BDC"/>
    <w:rPr>
      <w:rFonts w:ascii="Times New Roman" w:eastAsia="Times New Roman" w:hAnsi="Times New Roman" w:cs="Times New Roman"/>
      <w:b/>
      <w:bCs/>
      <w:sz w:val="24"/>
      <w:szCs w:val="24"/>
      <w:lang w:eastAsia="en-AU"/>
    </w:rPr>
  </w:style>
  <w:style w:type="character" w:customStyle="1" w:styleId="Heading3Char">
    <w:name w:val="Heading 3 Char"/>
    <w:basedOn w:val="DefaultParagraphFont"/>
    <w:link w:val="Heading3"/>
    <w:rsid w:val="00256BDC"/>
    <w:rPr>
      <w:rFonts w:ascii="Times New Roman" w:eastAsia="Times New Roman" w:hAnsi="Times New Roman" w:cs="Times New Roman"/>
      <w:b/>
      <w:bCs/>
      <w:i/>
      <w:iCs/>
      <w:sz w:val="24"/>
      <w:szCs w:val="24"/>
      <w:lang w:eastAsia="en-AU"/>
    </w:rPr>
  </w:style>
  <w:style w:type="character" w:customStyle="1" w:styleId="Heading4Char">
    <w:name w:val="Heading 4 Char"/>
    <w:basedOn w:val="DefaultParagraphFont"/>
    <w:link w:val="Heading4"/>
    <w:rsid w:val="00256BDC"/>
    <w:rPr>
      <w:rFonts w:ascii="Times New Roman" w:eastAsia="Times New Roman" w:hAnsi="Times New Roman" w:cs="Times New Roman"/>
      <w:b/>
      <w:bCs/>
      <w:sz w:val="80"/>
      <w:szCs w:val="80"/>
      <w:lang w:eastAsia="en-AU"/>
    </w:rPr>
  </w:style>
  <w:style w:type="character" w:customStyle="1" w:styleId="Heading6Char">
    <w:name w:val="Heading 6 Char"/>
    <w:basedOn w:val="DefaultParagraphFont"/>
    <w:link w:val="Heading6"/>
    <w:rsid w:val="00256BDC"/>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256BDC"/>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256BDC"/>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256BDC"/>
    <w:rPr>
      <w:rFonts w:ascii="Arial" w:eastAsia="Times New Roman" w:hAnsi="Arial" w:cs="Arial"/>
      <w:lang w:eastAsia="en-AU"/>
    </w:rPr>
  </w:style>
  <w:style w:type="paragraph" w:styleId="Header">
    <w:name w:val="header"/>
    <w:basedOn w:val="Normal"/>
    <w:link w:val="HeaderChar"/>
    <w:rsid w:val="00256BDC"/>
    <w:pPr>
      <w:tabs>
        <w:tab w:val="center" w:pos="4153"/>
        <w:tab w:val="right" w:pos="8306"/>
      </w:tabs>
    </w:pPr>
  </w:style>
  <w:style w:type="character" w:customStyle="1" w:styleId="HeaderChar">
    <w:name w:val="Header Char"/>
    <w:basedOn w:val="DefaultParagraphFont"/>
    <w:link w:val="Header"/>
    <w:rsid w:val="00256BDC"/>
    <w:rPr>
      <w:rFonts w:ascii="Times New Roman" w:eastAsia="Times New Roman" w:hAnsi="Times New Roman" w:cs="Times New Roman"/>
      <w:sz w:val="24"/>
      <w:szCs w:val="24"/>
      <w:lang w:eastAsia="en-AU"/>
    </w:rPr>
  </w:style>
  <w:style w:type="paragraph" w:styleId="Footer">
    <w:name w:val="footer"/>
    <w:basedOn w:val="Normal"/>
    <w:link w:val="FooterChar"/>
    <w:rsid w:val="00256BDC"/>
    <w:pPr>
      <w:tabs>
        <w:tab w:val="center" w:pos="4153"/>
        <w:tab w:val="right" w:pos="8306"/>
      </w:tabs>
    </w:pPr>
  </w:style>
  <w:style w:type="character" w:customStyle="1" w:styleId="FooterChar">
    <w:name w:val="Footer Char"/>
    <w:basedOn w:val="DefaultParagraphFont"/>
    <w:link w:val="Footer"/>
    <w:rsid w:val="00256BDC"/>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256BDC"/>
    <w:pPr>
      <w:widowControl w:val="0"/>
      <w:tabs>
        <w:tab w:val="left" w:pos="-1440"/>
      </w:tabs>
      <w:ind w:left="720" w:hanging="720"/>
      <w:jc w:val="both"/>
    </w:pPr>
    <w:rPr>
      <w:rFonts w:ascii="CG Times" w:hAnsi="CG Times" w:cs="CG Times"/>
      <w:lang w:eastAsia="en-US"/>
    </w:rPr>
  </w:style>
  <w:style w:type="character" w:customStyle="1" w:styleId="BodyTextIndent3Char">
    <w:name w:val="Body Text Indent 3 Char"/>
    <w:basedOn w:val="DefaultParagraphFont"/>
    <w:link w:val="BodyTextIndent3"/>
    <w:rsid w:val="00256BDC"/>
    <w:rPr>
      <w:rFonts w:ascii="CG Times" w:eastAsia="Times New Roman" w:hAnsi="CG Times" w:cs="CG Times"/>
      <w:sz w:val="24"/>
      <w:szCs w:val="24"/>
    </w:rPr>
  </w:style>
  <w:style w:type="paragraph" w:styleId="BodyText">
    <w:name w:val="Body Text"/>
    <w:basedOn w:val="Normal"/>
    <w:link w:val="BodyTextChar"/>
    <w:rsid w:val="00256BDC"/>
    <w:rPr>
      <w:color w:val="0000FF"/>
    </w:rPr>
  </w:style>
  <w:style w:type="character" w:customStyle="1" w:styleId="BodyTextChar">
    <w:name w:val="Body Text Char"/>
    <w:basedOn w:val="DefaultParagraphFont"/>
    <w:link w:val="BodyText"/>
    <w:rsid w:val="00256BDC"/>
    <w:rPr>
      <w:rFonts w:ascii="Times New Roman" w:eastAsia="Times New Roman" w:hAnsi="Times New Roman" w:cs="Times New Roman"/>
      <w:color w:val="0000FF"/>
      <w:sz w:val="24"/>
      <w:szCs w:val="24"/>
      <w:lang w:eastAsia="en-AU"/>
    </w:rPr>
  </w:style>
  <w:style w:type="paragraph" w:styleId="BodyText2">
    <w:name w:val="Body Text 2"/>
    <w:basedOn w:val="Normal"/>
    <w:link w:val="BodyText2Char"/>
    <w:rsid w:val="00256BDC"/>
    <w:rPr>
      <w:color w:val="000000"/>
    </w:rPr>
  </w:style>
  <w:style w:type="character" w:customStyle="1" w:styleId="BodyText2Char">
    <w:name w:val="Body Text 2 Char"/>
    <w:basedOn w:val="DefaultParagraphFont"/>
    <w:link w:val="BodyText2"/>
    <w:rsid w:val="00256BDC"/>
    <w:rPr>
      <w:rFonts w:ascii="Times New Roman" w:eastAsia="Times New Roman" w:hAnsi="Times New Roman" w:cs="Times New Roman"/>
      <w:color w:val="000000"/>
      <w:sz w:val="24"/>
      <w:szCs w:val="24"/>
      <w:lang w:eastAsia="en-AU"/>
    </w:rPr>
  </w:style>
  <w:style w:type="paragraph" w:styleId="BodyText3">
    <w:name w:val="Body Text 3"/>
    <w:basedOn w:val="Normal"/>
    <w:link w:val="BodyText3Char"/>
    <w:rsid w:val="00256BDC"/>
    <w:rPr>
      <w:b/>
      <w:bCs/>
    </w:rPr>
  </w:style>
  <w:style w:type="character" w:customStyle="1" w:styleId="BodyText3Char">
    <w:name w:val="Body Text 3 Char"/>
    <w:basedOn w:val="DefaultParagraphFont"/>
    <w:link w:val="BodyText3"/>
    <w:rsid w:val="00256BDC"/>
    <w:rPr>
      <w:rFonts w:ascii="Times New Roman" w:eastAsia="Times New Roman" w:hAnsi="Times New Roman" w:cs="Times New Roman"/>
      <w:b/>
      <w:bCs/>
      <w:sz w:val="24"/>
      <w:szCs w:val="24"/>
      <w:lang w:eastAsia="en-AU"/>
    </w:rPr>
  </w:style>
  <w:style w:type="paragraph" w:customStyle="1" w:styleId="Paragraph">
    <w:name w:val="Paragraph"/>
    <w:link w:val="ParagraphChar"/>
    <w:rsid w:val="00256BDC"/>
    <w:pPr>
      <w:spacing w:before="120" w:after="120" w:line="240" w:lineRule="auto"/>
    </w:pPr>
    <w:rPr>
      <w:rFonts w:ascii="Times New Roman" w:eastAsia="Times New Roman" w:hAnsi="Times New Roman" w:cs="Times New Roman"/>
      <w:sz w:val="24"/>
      <w:szCs w:val="24"/>
      <w:lang w:eastAsia="en-AU"/>
    </w:rPr>
  </w:style>
  <w:style w:type="paragraph" w:customStyle="1" w:styleId="cond">
    <w:name w:val="cond"/>
    <w:basedOn w:val="Normal"/>
    <w:autoRedefine/>
    <w:rsid w:val="00256BDC"/>
    <w:pPr>
      <w:tabs>
        <w:tab w:val="left" w:pos="709"/>
      </w:tabs>
      <w:autoSpaceDE w:val="0"/>
      <w:autoSpaceDN w:val="0"/>
      <w:spacing w:after="120"/>
      <w:ind w:left="709" w:hanging="709"/>
    </w:pPr>
    <w:rPr>
      <w:color w:val="000000"/>
    </w:rPr>
  </w:style>
  <w:style w:type="paragraph" w:customStyle="1" w:styleId="WebTextList">
    <w:name w:val="Web Text List"/>
    <w:basedOn w:val="Normal"/>
    <w:rsid w:val="00256BDC"/>
    <w:pPr>
      <w:autoSpaceDE w:val="0"/>
      <w:autoSpaceDN w:val="0"/>
    </w:pPr>
  </w:style>
  <w:style w:type="table" w:styleId="TableGrid">
    <w:name w:val="Table Grid"/>
    <w:basedOn w:val="TableNormal"/>
    <w:rsid w:val="00256BDC"/>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ext">
    <w:name w:val="Title text"/>
    <w:basedOn w:val="Normal"/>
    <w:rsid w:val="00256BDC"/>
  </w:style>
  <w:style w:type="character" w:customStyle="1" w:styleId="ParagraphChar">
    <w:name w:val="Paragraph Char"/>
    <w:basedOn w:val="DefaultParagraphFont"/>
    <w:link w:val="Paragraph"/>
    <w:locked/>
    <w:rsid w:val="00256BDC"/>
    <w:rPr>
      <w:rFonts w:ascii="Times New Roman" w:eastAsia="Times New Roman" w:hAnsi="Times New Roman" w:cs="Times New Roman"/>
      <w:sz w:val="24"/>
      <w:szCs w:val="24"/>
      <w:lang w:eastAsia="en-AU"/>
    </w:rPr>
  </w:style>
  <w:style w:type="paragraph" w:customStyle="1" w:styleId="Default">
    <w:name w:val="Default"/>
    <w:rsid w:val="00256BDC"/>
    <w:pPr>
      <w:autoSpaceDE w:val="0"/>
      <w:autoSpaceDN w:val="0"/>
      <w:adjustRightInd w:val="0"/>
      <w:spacing w:after="0" w:line="240" w:lineRule="auto"/>
    </w:pPr>
    <w:rPr>
      <w:rFonts w:ascii="Franklin Gothic Medium" w:eastAsia="Times New Roman" w:hAnsi="Franklin Gothic Medium" w:cs="Franklin Gothic Medium"/>
      <w:color w:val="000000"/>
      <w:sz w:val="24"/>
      <w:szCs w:val="24"/>
      <w:lang w:eastAsia="en-AU"/>
    </w:rPr>
  </w:style>
  <w:style w:type="paragraph" w:styleId="BalloonText">
    <w:name w:val="Balloon Text"/>
    <w:basedOn w:val="Normal"/>
    <w:link w:val="BalloonTextChar"/>
    <w:semiHidden/>
    <w:rsid w:val="00256BDC"/>
    <w:rPr>
      <w:rFonts w:ascii="Tahoma" w:hAnsi="Tahoma" w:cs="Tahoma"/>
      <w:sz w:val="16"/>
      <w:szCs w:val="16"/>
    </w:rPr>
  </w:style>
  <w:style w:type="character" w:customStyle="1" w:styleId="BalloonTextChar">
    <w:name w:val="Balloon Text Char"/>
    <w:basedOn w:val="DefaultParagraphFont"/>
    <w:link w:val="BalloonText"/>
    <w:semiHidden/>
    <w:rsid w:val="00256BDC"/>
    <w:rPr>
      <w:rFonts w:ascii="Tahoma" w:eastAsia="Times New Roman" w:hAnsi="Tahoma" w:cs="Tahoma"/>
      <w:sz w:val="16"/>
      <w:szCs w:val="16"/>
      <w:lang w:eastAsia="en-AU"/>
    </w:rPr>
  </w:style>
  <w:style w:type="paragraph" w:customStyle="1" w:styleId="PARA">
    <w:name w:val="PARA"/>
    <w:basedOn w:val="Normal"/>
    <w:rsid w:val="00256BDC"/>
    <w:pPr>
      <w:numPr>
        <w:numId w:val="1"/>
      </w:numPr>
      <w:tabs>
        <w:tab w:val="left" w:pos="567"/>
      </w:tabs>
      <w:spacing w:before="120" w:after="120"/>
    </w:pPr>
    <w:rPr>
      <w:lang w:eastAsia="en-US"/>
    </w:rPr>
  </w:style>
  <w:style w:type="paragraph" w:styleId="HTMLPreformatted">
    <w:name w:val="HTML Preformatted"/>
    <w:basedOn w:val="Normal"/>
    <w:link w:val="HTMLPreformattedChar"/>
    <w:rsid w:val="002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56BDC"/>
    <w:rPr>
      <w:rFonts w:ascii="Courier New" w:eastAsia="Times New Roman" w:hAnsi="Courier New" w:cs="Courier New"/>
      <w:sz w:val="20"/>
      <w:szCs w:val="20"/>
      <w:lang w:eastAsia="en-AU"/>
    </w:rPr>
  </w:style>
  <w:style w:type="character" w:styleId="PageNumber">
    <w:name w:val="page number"/>
    <w:basedOn w:val="DefaultParagraphFont"/>
    <w:rsid w:val="00256BDC"/>
  </w:style>
  <w:style w:type="paragraph" w:styleId="FootnoteText">
    <w:name w:val="footnote text"/>
    <w:basedOn w:val="Normal"/>
    <w:link w:val="FootnoteTextChar"/>
    <w:semiHidden/>
    <w:rsid w:val="00256BDC"/>
    <w:rPr>
      <w:sz w:val="20"/>
      <w:szCs w:val="20"/>
    </w:rPr>
  </w:style>
  <w:style w:type="character" w:customStyle="1" w:styleId="FootnoteTextChar">
    <w:name w:val="Footnote Text Char"/>
    <w:basedOn w:val="DefaultParagraphFont"/>
    <w:link w:val="FootnoteText"/>
    <w:semiHidden/>
    <w:rsid w:val="00256BDC"/>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rsid w:val="00256BDC"/>
    <w:rPr>
      <w:vertAlign w:val="superscript"/>
    </w:rPr>
  </w:style>
  <w:style w:type="paragraph" w:styleId="NormalWeb">
    <w:name w:val="Normal (Web)"/>
    <w:basedOn w:val="Default"/>
    <w:next w:val="Default"/>
    <w:rsid w:val="00256BDC"/>
    <w:pPr>
      <w:spacing w:before="100" w:after="100"/>
    </w:pPr>
    <w:rPr>
      <w:rFonts w:ascii="Times New Roman" w:hAnsi="Times New Roman" w:cs="Times New Roman"/>
      <w:color w:val="auto"/>
    </w:rPr>
  </w:style>
  <w:style w:type="character" w:styleId="Hyperlink">
    <w:name w:val="Hyperlink"/>
    <w:basedOn w:val="DefaultParagraphFont"/>
    <w:rsid w:val="00256BDC"/>
    <w:rPr>
      <w:color w:val="0000FF"/>
      <w:u w:val="single"/>
    </w:rPr>
  </w:style>
  <w:style w:type="paragraph" w:customStyle="1" w:styleId="Arrow">
    <w:name w:val="Arrow"/>
    <w:basedOn w:val="Normal"/>
    <w:rsid w:val="00256BDC"/>
    <w:pPr>
      <w:numPr>
        <w:numId w:val="4"/>
      </w:numPr>
      <w:spacing w:before="120" w:after="120"/>
    </w:pPr>
  </w:style>
  <w:style w:type="character" w:styleId="FollowedHyperlink">
    <w:name w:val="FollowedHyperlink"/>
    <w:basedOn w:val="DefaultParagraphFont"/>
    <w:rsid w:val="00256BDC"/>
    <w:rPr>
      <w:color w:val="008080"/>
      <w:u w:val="single"/>
    </w:rPr>
  </w:style>
  <w:style w:type="paragraph" w:customStyle="1" w:styleId="1RARMP">
    <w:name w:val="1 RARMP"/>
    <w:basedOn w:val="Normal"/>
    <w:rsid w:val="00256BDC"/>
    <w:pPr>
      <w:numPr>
        <w:numId w:val="6"/>
      </w:numPr>
      <w:spacing w:before="240" w:after="120"/>
      <w:outlineLvl w:val="0"/>
    </w:pPr>
    <w:rPr>
      <w:rFonts w:ascii="Arial" w:hAnsi="Arial" w:cs="Arial"/>
      <w:b/>
      <w:bCs/>
      <w:color w:val="000000"/>
      <w:sz w:val="36"/>
      <w:szCs w:val="36"/>
    </w:rPr>
  </w:style>
  <w:style w:type="paragraph" w:customStyle="1" w:styleId="3RARMP">
    <w:name w:val="3 RARMP"/>
    <w:basedOn w:val="Normal"/>
    <w:rsid w:val="00256BDC"/>
    <w:pPr>
      <w:keepNext/>
      <w:numPr>
        <w:ilvl w:val="2"/>
        <w:numId w:val="6"/>
      </w:numPr>
      <w:spacing w:before="120" w:after="120"/>
      <w:outlineLvl w:val="2"/>
    </w:pPr>
    <w:rPr>
      <w:rFonts w:ascii="Arial" w:hAnsi="Arial" w:cs="Arial"/>
      <w:b/>
      <w:bCs/>
    </w:rPr>
  </w:style>
  <w:style w:type="paragraph" w:customStyle="1" w:styleId="4RARMP">
    <w:name w:val="4 RARMP"/>
    <w:basedOn w:val="Normal"/>
    <w:rsid w:val="00256BDC"/>
    <w:pPr>
      <w:keepNext/>
      <w:keepLines/>
      <w:numPr>
        <w:ilvl w:val="3"/>
        <w:numId w:val="6"/>
      </w:numPr>
      <w:spacing w:before="120" w:after="120"/>
      <w:outlineLvl w:val="3"/>
    </w:pPr>
    <w:rPr>
      <w:rFonts w:ascii="Arial" w:hAnsi="Arial" w:cs="Arial"/>
      <w:b/>
      <w:bCs/>
      <w:i/>
      <w:iCs/>
      <w:sz w:val="22"/>
      <w:szCs w:val="22"/>
    </w:rPr>
  </w:style>
  <w:style w:type="paragraph" w:customStyle="1" w:styleId="Paranonumbers">
    <w:name w:val="Para no numbers"/>
    <w:basedOn w:val="Normal"/>
    <w:link w:val="ParanonumbersChar"/>
    <w:rsid w:val="00256BDC"/>
    <w:pPr>
      <w:spacing w:before="120" w:after="120"/>
    </w:pPr>
  </w:style>
  <w:style w:type="character" w:customStyle="1" w:styleId="ParanonumbersChar">
    <w:name w:val="Para no numbers Char"/>
    <w:basedOn w:val="DefaultParagraphFont"/>
    <w:link w:val="Paranonumbers"/>
    <w:locked/>
    <w:rsid w:val="00256BDC"/>
    <w:rPr>
      <w:rFonts w:ascii="Times New Roman" w:eastAsia="Times New Roman" w:hAnsi="Times New Roman" w:cs="Times New Roman"/>
      <w:sz w:val="24"/>
      <w:szCs w:val="24"/>
      <w:lang w:eastAsia="en-AU"/>
    </w:rPr>
  </w:style>
  <w:style w:type="paragraph" w:customStyle="1" w:styleId="RIGHTLIST">
    <w:name w:val="RIGHTLIST"/>
    <w:basedOn w:val="Normal"/>
    <w:rsid w:val="00256BDC"/>
    <w:pPr>
      <w:keepNext/>
      <w:numPr>
        <w:numId w:val="7"/>
      </w:numPr>
      <w:tabs>
        <w:tab w:val="right" w:leader="dot" w:pos="9356"/>
      </w:tabs>
      <w:autoSpaceDE w:val="0"/>
      <w:autoSpaceDN w:val="0"/>
      <w:spacing w:before="80" w:after="40"/>
    </w:pPr>
    <w:rPr>
      <w:sz w:val="22"/>
      <w:szCs w:val="22"/>
    </w:rPr>
  </w:style>
  <w:style w:type="numbering" w:styleId="111111">
    <w:name w:val="Outline List 2"/>
    <w:basedOn w:val="NoList"/>
    <w:rsid w:val="00256BDC"/>
    <w:pPr>
      <w:numPr>
        <w:numId w:val="1"/>
      </w:numPr>
    </w:pPr>
  </w:style>
  <w:style w:type="paragraph" w:customStyle="1" w:styleId="Bibliography1">
    <w:name w:val="Bibliography1"/>
    <w:basedOn w:val="Normal"/>
    <w:rsid w:val="00256BDC"/>
    <w:pPr>
      <w:numPr>
        <w:numId w:val="14"/>
      </w:numPr>
      <w:tabs>
        <w:tab w:val="left" w:pos="540"/>
      </w:tabs>
      <w:spacing w:after="240"/>
    </w:pPr>
    <w:rPr>
      <w:b/>
      <w:snapToGrid w:val="0"/>
      <w:szCs w:val="20"/>
      <w:lang w:eastAsia="en-US"/>
    </w:rPr>
  </w:style>
  <w:style w:type="character" w:customStyle="1" w:styleId="text1">
    <w:name w:val="text1"/>
    <w:basedOn w:val="DefaultParagraphFont"/>
    <w:rsid w:val="00256BDC"/>
    <w:rPr>
      <w:rFonts w:ascii="Arial" w:hAnsi="Arial" w:cs="Arial" w:hint="default"/>
      <w:b w:val="0"/>
      <w:bCs w:val="0"/>
      <w:i w:val="0"/>
      <w:iCs w:val="0"/>
      <w:strike w:val="0"/>
      <w:dstrike w:val="0"/>
      <w:color w:val="333333"/>
      <w:sz w:val="17"/>
      <w:szCs w:val="17"/>
      <w:u w:val="none"/>
      <w:effect w:val="none"/>
    </w:rPr>
  </w:style>
  <w:style w:type="paragraph" w:customStyle="1" w:styleId="RARMP">
    <w:name w:val="RARMP"/>
    <w:basedOn w:val="Normal"/>
    <w:next w:val="Normal"/>
    <w:autoRedefine/>
    <w:rsid w:val="00256BDC"/>
    <w:pPr>
      <w:tabs>
        <w:tab w:val="left" w:pos="993"/>
      </w:tabs>
      <w:spacing w:before="240" w:after="120"/>
      <w:ind w:left="2268" w:hanging="2268"/>
      <w:outlineLvl w:val="0"/>
    </w:pPr>
    <w:rPr>
      <w:rFonts w:ascii="Arial" w:hAnsi="Arial" w:cs="Arial"/>
      <w:bCs/>
      <w:sz w:val="36"/>
      <w:szCs w:val="36"/>
    </w:rPr>
  </w:style>
  <w:style w:type="paragraph" w:customStyle="1" w:styleId="BulletedRARMP">
    <w:name w:val="Bulleted RARMP"/>
    <w:basedOn w:val="Normal"/>
    <w:rsid w:val="00256BDC"/>
    <w:pPr>
      <w:numPr>
        <w:numId w:val="17"/>
      </w:numPr>
      <w:spacing w:after="120"/>
      <w:ind w:left="568" w:hanging="284"/>
    </w:pPr>
  </w:style>
  <w:style w:type="paragraph" w:customStyle="1" w:styleId="Para7section2">
    <w:name w:val="Para 7 section 2"/>
    <w:basedOn w:val="Paranonumbers"/>
    <w:rsid w:val="00256BDC"/>
    <w:pPr>
      <w:numPr>
        <w:numId w:val="18"/>
      </w:numPr>
    </w:pPr>
  </w:style>
  <w:style w:type="paragraph" w:customStyle="1" w:styleId="Normal-nospace">
    <w:name w:val="Normal - no space"/>
    <w:basedOn w:val="Normal"/>
    <w:rsid w:val="00256BDC"/>
    <w:pPr>
      <w:widowControl w:val="0"/>
    </w:pPr>
    <w:rPr>
      <w:rFonts w:ascii="Arial" w:hAnsi="Arial"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gtr.gov.au/pdf/public/raffinal2.2.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gtr.gov.au/pdf/public/raffinal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tr.gov.au/pdf/public/raffinal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gtr.gov.au/internet/ogtr/publishing.nsf/Content/reg001-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OGTR.Voicemail@health.gov.au</dc:creator>
  <cp:keywords/>
  <dc:description/>
  <cp:lastModifiedBy>SMITH, Justine</cp:lastModifiedBy>
  <cp:revision>2</cp:revision>
  <dcterms:created xsi:type="dcterms:W3CDTF">2021-12-20T02:18:00Z</dcterms:created>
  <dcterms:modified xsi:type="dcterms:W3CDTF">2021-12-20T02:18:00Z</dcterms:modified>
</cp:coreProperties>
</file>