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A1006" w14:textId="5416B15D" w:rsidR="00A041F8" w:rsidRPr="002E6DF0" w:rsidRDefault="00A041F8" w:rsidP="00A041F8">
      <w:pPr>
        <w:pStyle w:val="CmqTitle1"/>
        <w:spacing w:before="240"/>
      </w:pPr>
      <w:bookmarkStart w:id="0" w:name="_Toc123029785"/>
      <w:r w:rsidRPr="002E6DF0">
        <w:t>Gene Technology Technical Advisory Committee</w:t>
      </w:r>
      <w:bookmarkEnd w:id="0"/>
    </w:p>
    <w:p w14:paraId="1F357127" w14:textId="16FF42DC" w:rsidR="00A041F8" w:rsidRDefault="004F36DC" w:rsidP="00A041F8">
      <w:pPr>
        <w:pStyle w:val="CmqTitle1"/>
        <w:rPr>
          <w:szCs w:val="24"/>
        </w:rPr>
      </w:pPr>
      <w:r>
        <w:rPr>
          <w:szCs w:val="24"/>
        </w:rPr>
        <w:t>28 September</w:t>
      </w:r>
      <w:r w:rsidR="00006514">
        <w:rPr>
          <w:szCs w:val="24"/>
        </w:rPr>
        <w:t xml:space="preserve"> 2021</w:t>
      </w:r>
    </w:p>
    <w:p w14:paraId="604296C5" w14:textId="77777777" w:rsidR="00A041F8" w:rsidRPr="002E6DF0" w:rsidRDefault="00A041F8" w:rsidP="00A041F8">
      <w:pPr>
        <w:pStyle w:val="CmqTitle1"/>
        <w:spacing w:after="240"/>
        <w:rPr>
          <w:szCs w:val="24"/>
        </w:rPr>
      </w:pPr>
      <w:r w:rsidRPr="002E6DF0">
        <w:rPr>
          <w:szCs w:val="24"/>
        </w:rPr>
        <w:t>Communiqué</w:t>
      </w:r>
    </w:p>
    <w:p w14:paraId="759EE6D8" w14:textId="076A4434" w:rsidR="00A041F8" w:rsidRPr="002E6DF0" w:rsidRDefault="00A041F8" w:rsidP="00A041F8">
      <w:pPr>
        <w:pStyle w:val="CmqTitle2"/>
        <w:ind w:left="0"/>
      </w:pPr>
      <w:r w:rsidRPr="004D6AA0">
        <w:t>This Communiqué co</w:t>
      </w:r>
      <w:r>
        <w:t>v</w:t>
      </w:r>
      <w:r w:rsidR="0039278E">
        <w:t xml:space="preserve">ers matters considered at the </w:t>
      </w:r>
      <w:r w:rsidR="00004DE7">
        <w:t>2</w:t>
      </w:r>
      <w:r w:rsidR="004F36DC">
        <w:t>7</w:t>
      </w:r>
      <w:r w:rsidR="00006514" w:rsidRPr="00006514">
        <w:rPr>
          <w:vertAlign w:val="superscript"/>
        </w:rPr>
        <w:t>th</w:t>
      </w:r>
      <w:r w:rsidR="00006514">
        <w:t xml:space="preserve"> </w:t>
      </w:r>
      <w:r>
        <w:t>videoconference</w:t>
      </w:r>
      <w:r w:rsidRPr="0092725D">
        <w:t xml:space="preserve"> </w:t>
      </w:r>
      <w:r w:rsidRPr="004D6AA0">
        <w:t xml:space="preserve">of the </w:t>
      </w:r>
      <w:r>
        <w:br/>
      </w:r>
      <w:r w:rsidRPr="004D6AA0">
        <w:t>Gene Technology Technical Advisory Committee (</w:t>
      </w:r>
      <w:r w:rsidR="004F36DC">
        <w:t>28 September</w:t>
      </w:r>
      <w:r w:rsidR="00006514">
        <w:t xml:space="preserve"> 2021</w:t>
      </w:r>
      <w:r w:rsidRPr="004D6AA0">
        <w:t>)</w:t>
      </w:r>
    </w:p>
    <w:p w14:paraId="6C0AE028" w14:textId="671ABA9A" w:rsidR="00A041F8" w:rsidRPr="002E6DF0" w:rsidRDefault="00A041F8" w:rsidP="00A041F8">
      <w:pPr>
        <w:pStyle w:val="BodyText"/>
        <w:tabs>
          <w:tab w:val="left" w:pos="2410"/>
        </w:tabs>
        <w:spacing w:before="240"/>
        <w:rPr>
          <w:color w:val="auto"/>
        </w:rPr>
      </w:pPr>
      <w:r w:rsidRPr="002E6DF0">
        <w:rPr>
          <w:color w:val="auto"/>
        </w:rPr>
        <w:t xml:space="preserve">The Gene Technology Technical Advisory Committee (GTTAC) is a statutory advisory committee established under the </w:t>
      </w:r>
      <w:r w:rsidRPr="002E6DF0">
        <w:rPr>
          <w:i/>
          <w:color w:val="auto"/>
        </w:rPr>
        <w:t>Gene Technology Act 2000</w:t>
      </w:r>
      <w:r w:rsidRPr="002E6DF0">
        <w:rPr>
          <w:color w:val="auto"/>
        </w:rPr>
        <w:t xml:space="preserve"> (the Act) to provide scientific and technical advice to the Gene Technology Regulator (the Regulator) and the</w:t>
      </w:r>
      <w:r w:rsidR="00262E5C" w:rsidRPr="00262E5C">
        <w:rPr>
          <w:color w:val="auto"/>
        </w:rPr>
        <w:t xml:space="preserve"> </w:t>
      </w:r>
      <w:r w:rsidR="00262E5C">
        <w:rPr>
          <w:color w:val="auto"/>
        </w:rPr>
        <w:t>Gene Technology Ministers’ Meeting</w:t>
      </w:r>
      <w:r w:rsidR="00262E5C" w:rsidRPr="002E6DF0">
        <w:rPr>
          <w:color w:val="auto"/>
        </w:rPr>
        <w:t>.</w:t>
      </w:r>
      <w:r w:rsidRPr="002E6DF0">
        <w:rPr>
          <w:color w:val="auto"/>
        </w:rPr>
        <w:t xml:space="preserve"> </w:t>
      </w:r>
    </w:p>
    <w:p w14:paraId="784649C0" w14:textId="4C090FA6" w:rsidR="00A041F8" w:rsidRPr="002E6DF0" w:rsidRDefault="00A041F8" w:rsidP="004F36DC">
      <w:pPr>
        <w:pStyle w:val="BodyText"/>
        <w:spacing w:line="264" w:lineRule="auto"/>
        <w:rPr>
          <w:color w:val="auto"/>
        </w:rPr>
      </w:pPr>
      <w:r w:rsidRPr="002E6DF0">
        <w:rPr>
          <w:color w:val="auto"/>
        </w:rPr>
        <w:t xml:space="preserve">The Regulator seeks advice from GTTAC on licence applications to work with </w:t>
      </w:r>
      <w:r w:rsidR="005B573A">
        <w:rPr>
          <w:color w:val="auto"/>
        </w:rPr>
        <w:t>G</w:t>
      </w:r>
      <w:r w:rsidRPr="002E6DF0">
        <w:rPr>
          <w:color w:val="auto"/>
        </w:rPr>
        <w:t>enetically</w:t>
      </w:r>
      <w:r w:rsidR="005B573A">
        <w:rPr>
          <w:color w:val="auto"/>
        </w:rPr>
        <w:t xml:space="preserve"> Modified O</w:t>
      </w:r>
      <w:r w:rsidRPr="002E6DF0">
        <w:rPr>
          <w:color w:val="auto"/>
        </w:rPr>
        <w:t xml:space="preserve">rganisms (GMOs) and on Risk Assessment and Risk Management Plans (RARMPs) prepared for applications. The purpose of this Communiqué is to provide a brief overview of GTTAC’s consideration of </w:t>
      </w:r>
      <w:r w:rsidRPr="004F36DC">
        <w:t>applications</w:t>
      </w:r>
      <w:r w:rsidRPr="002E6DF0">
        <w:rPr>
          <w:color w:val="auto"/>
        </w:rPr>
        <w:t xml:space="preserve"> and RARMPs and, in accordance with the Gene Technology Regulations 2001, to publish </w:t>
      </w:r>
      <w:r>
        <w:rPr>
          <w:color w:val="auto"/>
        </w:rPr>
        <w:t>c</w:t>
      </w:r>
      <w:r w:rsidRPr="002E6DF0">
        <w:rPr>
          <w:color w:val="auto"/>
        </w:rPr>
        <w:t xml:space="preserve">ommittee resolutions given to the Regulator. The Communiqué also provides an overview of any other </w:t>
      </w:r>
      <w:r>
        <w:rPr>
          <w:color w:val="auto"/>
        </w:rPr>
        <w:t>deliberations of the committee.</w:t>
      </w:r>
      <w:r w:rsidR="00FF482B">
        <w:rPr>
          <w:color w:val="auto"/>
        </w:rPr>
        <w:t xml:space="preserve"> </w:t>
      </w:r>
      <w:r w:rsidR="00FF482B" w:rsidRPr="00FF482B">
        <w:rPr>
          <w:color w:val="auto"/>
        </w:rPr>
        <w:t>It does not include i</w:t>
      </w:r>
      <w:r w:rsidR="00FF482B">
        <w:rPr>
          <w:color w:val="auto"/>
        </w:rPr>
        <w:t xml:space="preserve">nformation which is treated as </w:t>
      </w:r>
      <w:r w:rsidR="00E45F01">
        <w:rPr>
          <w:color w:val="auto"/>
        </w:rPr>
        <w:t xml:space="preserve">Confidential </w:t>
      </w:r>
      <w:r w:rsidR="00FF482B">
        <w:rPr>
          <w:color w:val="auto"/>
        </w:rPr>
        <w:t>Commercial I</w:t>
      </w:r>
      <w:r w:rsidR="00FF482B" w:rsidRPr="00FF482B">
        <w:rPr>
          <w:color w:val="auto"/>
        </w:rPr>
        <w:t>nformation in accordance with the</w:t>
      </w:r>
      <w:r w:rsidR="00FF482B">
        <w:rPr>
          <w:color w:val="auto"/>
        </w:rPr>
        <w:t xml:space="preserve"> Act.</w:t>
      </w:r>
    </w:p>
    <w:p w14:paraId="40C49883" w14:textId="77777777" w:rsidR="00DB4A3E" w:rsidRPr="00857464" w:rsidRDefault="00DB4A3E" w:rsidP="00F35D44">
      <w:pPr>
        <w:pStyle w:val="CmqHeading1"/>
      </w:pPr>
      <w:r w:rsidRPr="00857464">
        <w:t>Dealings Involving the Intentional Release of a GMO</w:t>
      </w:r>
    </w:p>
    <w:p w14:paraId="511BB0F5" w14:textId="77777777" w:rsidR="00DB4A3E" w:rsidRPr="00857464" w:rsidRDefault="00DB4A3E" w:rsidP="00DB4A3E">
      <w:pPr>
        <w:pStyle w:val="BodyText"/>
        <w:spacing w:line="264" w:lineRule="auto"/>
        <w:rPr>
          <w:rFonts w:cs="Arial"/>
          <w:color w:val="auto"/>
          <w:szCs w:val="22"/>
        </w:rPr>
      </w:pPr>
      <w:r w:rsidRPr="00857464">
        <w:rPr>
          <w:rFonts w:cs="Arial"/>
          <w:color w:val="auto"/>
          <w:szCs w:val="22"/>
        </w:rPr>
        <w:t xml:space="preserve">Dealings involving the Intentional Release (DIR) of a GMO into the environment can involve a limited and controlled </w:t>
      </w:r>
      <w:r w:rsidRPr="004F36DC">
        <w:t>release</w:t>
      </w:r>
      <w:r w:rsidRPr="00857464">
        <w:rPr>
          <w:rFonts w:cs="Arial"/>
          <w:color w:val="auto"/>
          <w:szCs w:val="22"/>
        </w:rPr>
        <w:t xml:space="preserve"> (clinical trial or field trial) or a commercial (general) release.</w:t>
      </w:r>
    </w:p>
    <w:p w14:paraId="66637597" w14:textId="77777777" w:rsidR="007F3778" w:rsidRPr="007F3778" w:rsidRDefault="007F3778" w:rsidP="004F36DC">
      <w:pPr>
        <w:pStyle w:val="BodyText"/>
        <w:spacing w:line="264" w:lineRule="auto"/>
        <w:rPr>
          <w:color w:val="auto"/>
        </w:rPr>
      </w:pPr>
      <w:r w:rsidRPr="007F3778">
        <w:rPr>
          <w:color w:val="auto"/>
        </w:rPr>
        <w:t xml:space="preserve">For commercial releases, the Regulator must seek GTTAC advice twice. The first consultation is on matters to consider </w:t>
      </w:r>
      <w:r w:rsidRPr="004F36DC">
        <w:t>when</w:t>
      </w:r>
      <w:r w:rsidRPr="007F3778">
        <w:rPr>
          <w:color w:val="auto"/>
        </w:rPr>
        <w:t xml:space="preserve"> preparing the RARMP and the second is on the RARMP itself. For limited and controlled releases, the Regulator must seek GTTAC advice only once on the RARMP.</w:t>
      </w:r>
    </w:p>
    <w:p w14:paraId="497D7625" w14:textId="77777777" w:rsidR="00DB4A3E" w:rsidRPr="00857464" w:rsidRDefault="00DB4A3E" w:rsidP="00DB4A3E">
      <w:pPr>
        <w:pStyle w:val="BodyText"/>
        <w:spacing w:line="264" w:lineRule="auto"/>
        <w:rPr>
          <w:rFonts w:cs="Arial"/>
          <w:color w:val="auto"/>
          <w:szCs w:val="22"/>
        </w:rPr>
      </w:pPr>
      <w:r w:rsidRPr="00857464">
        <w:rPr>
          <w:rFonts w:cs="Arial"/>
          <w:color w:val="auto"/>
          <w:szCs w:val="22"/>
        </w:rPr>
        <w:t xml:space="preserve">The RARMP for every DIR licence application is issued for public consultation. Information on how to obtain copies of </w:t>
      </w:r>
      <w:r w:rsidRPr="004F36DC">
        <w:t>DIR</w:t>
      </w:r>
      <w:r w:rsidRPr="00857464">
        <w:rPr>
          <w:rFonts w:cs="Arial"/>
          <w:color w:val="auto"/>
          <w:szCs w:val="22"/>
        </w:rPr>
        <w:t xml:space="preserve"> applications and RARMPs is provided at the end of this document. </w:t>
      </w:r>
    </w:p>
    <w:p w14:paraId="29D2E5E4" w14:textId="0F1B2C2F" w:rsidR="00F8192B" w:rsidRDefault="00F8192B" w:rsidP="00F8192B">
      <w:pPr>
        <w:pStyle w:val="Cmqheading2"/>
        <w:spacing w:line="264" w:lineRule="auto"/>
      </w:pPr>
      <w:r w:rsidRPr="00E5548A">
        <w:t xml:space="preserve">Advice on </w:t>
      </w:r>
      <w:r>
        <w:t>consultation rarmps</w:t>
      </w:r>
      <w:r w:rsidRPr="00E5548A">
        <w:t xml:space="preserve"> – </w:t>
      </w:r>
      <w:r w:rsidR="004F36DC">
        <w:t>Limited and controlled</w:t>
      </w:r>
      <w:r w:rsidRPr="00E5548A">
        <w:t xml:space="preserve"> release</w:t>
      </w:r>
    </w:p>
    <w:p w14:paraId="22A38A3F" w14:textId="412FE622" w:rsidR="004F36DC" w:rsidRDefault="00C514B5" w:rsidP="00004DE7">
      <w:pPr>
        <w:pStyle w:val="Cmqheading3"/>
        <w:spacing w:line="264" w:lineRule="auto"/>
        <w:ind w:left="1077" w:hanging="1077"/>
      </w:pPr>
      <w:hyperlink r:id="rId8" w:history="1">
        <w:r w:rsidR="004F36DC" w:rsidRPr="004F36DC">
          <w:rPr>
            <w:rStyle w:val="Hyperlink"/>
          </w:rPr>
          <w:t>DIR 185</w:t>
        </w:r>
      </w:hyperlink>
      <w:r w:rsidR="004F36DC">
        <w:t xml:space="preserve"> – </w:t>
      </w:r>
      <w:r w:rsidR="004F36DC" w:rsidRPr="004F36DC">
        <w:t xml:space="preserve">Clinical trial with a genetically modified </w:t>
      </w:r>
      <w:r w:rsidR="004F36DC" w:rsidRPr="004F36DC">
        <w:rPr>
          <w:i/>
          <w:iCs/>
        </w:rPr>
        <w:t>Bordetella pertussis</w:t>
      </w:r>
      <w:r w:rsidR="004F36DC" w:rsidRPr="004F36DC">
        <w:t xml:space="preserve"> for the prevention of whooping cough</w:t>
      </w:r>
    </w:p>
    <w:p w14:paraId="3A6CD9E1" w14:textId="41FB3270" w:rsidR="004F36DC" w:rsidRPr="004F36DC" w:rsidRDefault="00004DE7" w:rsidP="004F36DC">
      <w:pPr>
        <w:pStyle w:val="BodyText"/>
        <w:spacing w:line="264" w:lineRule="auto"/>
      </w:pPr>
      <w:r w:rsidRPr="008D5CB8">
        <w:rPr>
          <w:color w:val="auto"/>
        </w:rPr>
        <w:t>Licence application DIR</w:t>
      </w:r>
      <w:r w:rsidR="003156DF" w:rsidRPr="008D5CB8">
        <w:rPr>
          <w:color w:val="auto"/>
        </w:rPr>
        <w:t xml:space="preserve"> </w:t>
      </w:r>
      <w:r w:rsidR="004F36DC">
        <w:rPr>
          <w:color w:val="auto"/>
        </w:rPr>
        <w:t>185</w:t>
      </w:r>
      <w:r w:rsidR="00512772" w:rsidRPr="008D5CB8">
        <w:rPr>
          <w:color w:val="auto"/>
        </w:rPr>
        <w:t xml:space="preserve"> from </w:t>
      </w:r>
      <w:proofErr w:type="spellStart"/>
      <w:r w:rsidR="004F36DC" w:rsidRPr="004F36DC">
        <w:rPr>
          <w:color w:val="auto"/>
        </w:rPr>
        <w:t>Novotech</w:t>
      </w:r>
      <w:proofErr w:type="spellEnd"/>
      <w:r w:rsidR="004F36DC" w:rsidRPr="004F36DC">
        <w:rPr>
          <w:color w:val="auto"/>
        </w:rPr>
        <w:t xml:space="preserve"> (Australia) Pty Ltd</w:t>
      </w:r>
      <w:r w:rsidR="004F36DC">
        <w:rPr>
          <w:color w:val="auto"/>
        </w:rPr>
        <w:t xml:space="preserve"> is for a </w:t>
      </w:r>
      <w:r w:rsidR="004F36DC" w:rsidRPr="004F36DC">
        <w:rPr>
          <w:color w:val="auto"/>
        </w:rPr>
        <w:t>clinical trial</w:t>
      </w:r>
      <w:r w:rsidR="004F36DC">
        <w:rPr>
          <w:color w:val="auto"/>
        </w:rPr>
        <w:t xml:space="preserve"> </w:t>
      </w:r>
      <w:r w:rsidR="004F36DC" w:rsidRPr="004F36DC">
        <w:rPr>
          <w:color w:val="auto"/>
        </w:rPr>
        <w:t xml:space="preserve">using a </w:t>
      </w:r>
      <w:r w:rsidR="004F36DC" w:rsidRPr="004F36DC">
        <w:t xml:space="preserve">genetically modified (GM) </w:t>
      </w:r>
      <w:r w:rsidR="004F36DC" w:rsidRPr="004F36DC">
        <w:rPr>
          <w:i/>
          <w:iCs/>
        </w:rPr>
        <w:t>Bordetella pertussis</w:t>
      </w:r>
      <w:r w:rsidR="004F36DC" w:rsidRPr="004F36DC">
        <w:t xml:space="preserve"> as an inhaled vaccine for whooping cough. Up to 300 healthy participants would receive the GM vaccine </w:t>
      </w:r>
      <w:r w:rsidR="004F36DC" w:rsidRPr="006011E4">
        <w:rPr>
          <w:color w:val="auto"/>
        </w:rPr>
        <w:t>at</w:t>
      </w:r>
      <w:r w:rsidR="004F36DC" w:rsidRPr="004F36DC">
        <w:t xml:space="preserve"> clinical trial sites and hospitals in Australia.</w:t>
      </w:r>
    </w:p>
    <w:p w14:paraId="10AF35FE" w14:textId="3F69467A" w:rsidR="004F36DC" w:rsidRDefault="008D5CB8" w:rsidP="008C7820">
      <w:pPr>
        <w:pStyle w:val="BodyText"/>
        <w:spacing w:line="264" w:lineRule="auto"/>
      </w:pPr>
      <w:r>
        <w:rPr>
          <w:color w:val="auto"/>
        </w:rPr>
        <w:t xml:space="preserve">GTTAC noted the conclusion of the RARMP that </w:t>
      </w:r>
      <w:r>
        <w:t xml:space="preserve">risks to the health and safety of people or the environment from the proposed </w:t>
      </w:r>
      <w:r w:rsidR="004F36DC">
        <w:t>clinical trial</w:t>
      </w:r>
      <w:r>
        <w:t xml:space="preserve"> are negligible. </w:t>
      </w:r>
      <w:r w:rsidR="00506619">
        <w:t>The Committee discussed</w:t>
      </w:r>
      <w:r w:rsidR="00B13A2C">
        <w:t xml:space="preserve"> </w:t>
      </w:r>
      <w:r w:rsidR="003037BC">
        <w:t>the following key topics:</w:t>
      </w:r>
    </w:p>
    <w:p w14:paraId="014F78C2" w14:textId="5622D46F" w:rsidR="003037BC" w:rsidRDefault="003037BC" w:rsidP="00C1326D">
      <w:pPr>
        <w:pStyle w:val="BodyText"/>
        <w:numPr>
          <w:ilvl w:val="0"/>
          <w:numId w:val="42"/>
        </w:numPr>
        <w:spacing w:line="264" w:lineRule="auto"/>
        <w:ind w:left="533" w:hanging="357"/>
      </w:pPr>
      <w:r>
        <w:t xml:space="preserve">the low likelihood of horizontal gene transfer occurring, noting that if it did occur, </w:t>
      </w:r>
      <w:r w:rsidRPr="00703678">
        <w:t>it would not be expected to confer an advantage</w:t>
      </w:r>
    </w:p>
    <w:p w14:paraId="14162CA3" w14:textId="54CCBE37" w:rsidR="003037BC" w:rsidRDefault="003037BC" w:rsidP="00C1326D">
      <w:pPr>
        <w:pStyle w:val="BodyText"/>
        <w:numPr>
          <w:ilvl w:val="0"/>
          <w:numId w:val="42"/>
        </w:numPr>
        <w:spacing w:line="264" w:lineRule="auto"/>
        <w:ind w:left="533" w:hanging="357"/>
      </w:pPr>
      <w:r>
        <w:lastRenderedPageBreak/>
        <w:t xml:space="preserve">the low likelihood of GMO being able to colonise anyone accidentally exposed to </w:t>
      </w:r>
      <w:r w:rsidR="00AF30A3">
        <w:t>it</w:t>
      </w:r>
    </w:p>
    <w:p w14:paraId="03354365" w14:textId="77777777" w:rsidR="00C1326D" w:rsidRDefault="00C1326D" w:rsidP="00C1326D">
      <w:pPr>
        <w:pStyle w:val="BodyText"/>
        <w:numPr>
          <w:ilvl w:val="0"/>
          <w:numId w:val="42"/>
        </w:numPr>
        <w:spacing w:line="264" w:lineRule="auto"/>
        <w:ind w:left="533" w:hanging="357"/>
      </w:pPr>
      <w:r>
        <w:t xml:space="preserve">the presence of an antibiotic resistance gene, noting this is present in the non-GM parental strain </w:t>
      </w:r>
    </w:p>
    <w:p w14:paraId="11F80DBE" w14:textId="1B4A33DD" w:rsidR="00824A6F" w:rsidRPr="00C1326D" w:rsidRDefault="003037BC" w:rsidP="00755FA0">
      <w:pPr>
        <w:pStyle w:val="BodyText"/>
        <w:numPr>
          <w:ilvl w:val="0"/>
          <w:numId w:val="42"/>
        </w:numPr>
        <w:spacing w:line="264" w:lineRule="auto"/>
        <w:ind w:left="533" w:hanging="357"/>
        <w:rPr>
          <w:lang w:val="en-US"/>
        </w:rPr>
      </w:pPr>
      <w:r w:rsidRPr="00703678">
        <w:t>the potential for exposure by needle-stick injury or aerosolisation of the GMO in the administration room</w:t>
      </w:r>
      <w:r w:rsidR="00B13A2C">
        <w:t xml:space="preserve">.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  <w:tblCaption w:val="Resolutions"/>
      </w:tblPr>
      <w:tblGrid>
        <w:gridCol w:w="9639"/>
      </w:tblGrid>
      <w:tr w:rsidR="00EA3225" w:rsidRPr="00EA3225" w14:paraId="43DBB7C1" w14:textId="77777777" w:rsidTr="000456BB">
        <w:trPr>
          <w:tblHeader/>
        </w:trPr>
        <w:tc>
          <w:tcPr>
            <w:tcW w:w="9639" w:type="dxa"/>
          </w:tcPr>
          <w:p w14:paraId="3FF732D4" w14:textId="77777777" w:rsidR="00334EB6" w:rsidRPr="00EA3225" w:rsidRDefault="00334EB6" w:rsidP="003864BB">
            <w:pPr>
              <w:pStyle w:val="Cmqheading3"/>
              <w:spacing w:before="120" w:line="264" w:lineRule="auto"/>
              <w:ind w:left="0" w:firstLine="0"/>
            </w:pPr>
            <w:r w:rsidRPr="00EA3225">
              <w:t xml:space="preserve">Resolutions </w:t>
            </w:r>
          </w:p>
          <w:p w14:paraId="3A6A33C8" w14:textId="77777777" w:rsidR="003037BC" w:rsidRPr="00C77FAC" w:rsidRDefault="003037BC" w:rsidP="00C1326D">
            <w:pPr>
              <w:pStyle w:val="ListParagraph"/>
              <w:numPr>
                <w:ilvl w:val="0"/>
                <w:numId w:val="26"/>
              </w:numPr>
              <w:ind w:left="425" w:hanging="357"/>
            </w:pPr>
            <w:r w:rsidRPr="00C77FAC">
              <w:t>The committee agrees that the risk of the GMO causing disease from accidental exposure is negligible.</w:t>
            </w:r>
          </w:p>
          <w:p w14:paraId="175165B6" w14:textId="77777777" w:rsidR="003037BC" w:rsidRPr="00C77FAC" w:rsidRDefault="003037BC" w:rsidP="00C1326D">
            <w:pPr>
              <w:pStyle w:val="ListParagraph"/>
              <w:numPr>
                <w:ilvl w:val="0"/>
                <w:numId w:val="26"/>
              </w:numPr>
              <w:ind w:left="425" w:hanging="357"/>
            </w:pPr>
            <w:r w:rsidRPr="00C77FAC">
              <w:t>The risk assessment identifies all plausible risk scenarios by which the proposed dealings could potentially give rise to risks relating to the health and safety of people or the environment.</w:t>
            </w:r>
          </w:p>
          <w:p w14:paraId="28B7B9BB" w14:textId="77777777" w:rsidR="003037BC" w:rsidRPr="00C77FAC" w:rsidRDefault="003037BC" w:rsidP="00C1326D">
            <w:pPr>
              <w:pStyle w:val="ListParagraph"/>
              <w:numPr>
                <w:ilvl w:val="0"/>
                <w:numId w:val="26"/>
              </w:numPr>
              <w:ind w:left="425" w:hanging="357"/>
            </w:pPr>
            <w:r w:rsidRPr="00C77FAC">
              <w:t>The committee agrees that the limits and controls proposed in the draft licence are appropriate for the clinical trial.</w:t>
            </w:r>
          </w:p>
          <w:p w14:paraId="2B5D00C5" w14:textId="77777777" w:rsidR="003037BC" w:rsidRPr="00C77FAC" w:rsidRDefault="003037BC" w:rsidP="00C1326D">
            <w:pPr>
              <w:pStyle w:val="ListParagraph"/>
              <w:numPr>
                <w:ilvl w:val="0"/>
                <w:numId w:val="26"/>
              </w:numPr>
              <w:ind w:left="425" w:hanging="357"/>
            </w:pPr>
            <w:r w:rsidRPr="00C77FAC">
              <w:t>The Regulator should consider clarifying the potential for horizontal gene transfer.</w:t>
            </w:r>
          </w:p>
          <w:p w14:paraId="53FD9F79" w14:textId="6AAF20DF" w:rsidR="00334EB6" w:rsidRPr="00EA3225" w:rsidRDefault="003037BC" w:rsidP="00C1326D">
            <w:pPr>
              <w:pStyle w:val="ListParagraph"/>
              <w:numPr>
                <w:ilvl w:val="0"/>
                <w:numId w:val="26"/>
              </w:numPr>
              <w:ind w:left="425" w:hanging="357"/>
            </w:pPr>
            <w:r w:rsidRPr="00C77FAC">
              <w:t>The committee agrees with the overall conclusion of the RARMP</w:t>
            </w:r>
            <w:r w:rsidR="00334EB6" w:rsidRPr="00EA3225">
              <w:t xml:space="preserve">. </w:t>
            </w:r>
          </w:p>
        </w:tc>
      </w:tr>
    </w:tbl>
    <w:p w14:paraId="52B796DC" w14:textId="77777777" w:rsidR="00B13A2C" w:rsidRDefault="00B13A2C" w:rsidP="00F35D44">
      <w:pPr>
        <w:pStyle w:val="CmqHeading1"/>
      </w:pPr>
      <w:r>
        <w:t>Dealings Not Involving the Intentional Release of a GMO</w:t>
      </w:r>
    </w:p>
    <w:p w14:paraId="682349EA" w14:textId="77777777" w:rsidR="00B13A2C" w:rsidRDefault="00B13A2C" w:rsidP="00D05532">
      <w:pPr>
        <w:pStyle w:val="BodyText"/>
        <w:spacing w:line="264" w:lineRule="auto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 xml:space="preserve">The Regulator may seek GTTAC advice on RARMPs prepared for an application for Dealings Not involving an </w:t>
      </w:r>
      <w:r w:rsidRPr="006011E4">
        <w:rPr>
          <w:color w:val="auto"/>
        </w:rPr>
        <w:t>Intentional</w:t>
      </w:r>
      <w:r>
        <w:rPr>
          <w:rFonts w:cs="Arial"/>
          <w:color w:val="auto"/>
          <w:szCs w:val="22"/>
        </w:rPr>
        <w:t xml:space="preserve"> Release (DNIR) into the environment. DNIR licences include research work with GMOs </w:t>
      </w:r>
      <w:r w:rsidRPr="00D05532">
        <w:t>undertaken</w:t>
      </w:r>
      <w:r>
        <w:rPr>
          <w:rFonts w:cs="Arial"/>
          <w:color w:val="auto"/>
          <w:szCs w:val="22"/>
        </w:rPr>
        <w:t xml:space="preserve"> in physical containment facilities (e.g. certified by the Regulator) or clinical trials undertaken in clinical facilities.</w:t>
      </w:r>
    </w:p>
    <w:p w14:paraId="2CD7879A" w14:textId="2FEFE68B" w:rsidR="00B13A2C" w:rsidRDefault="00B13A2C" w:rsidP="00D05532">
      <w:pPr>
        <w:pStyle w:val="Cmqheading2"/>
        <w:spacing w:line="264" w:lineRule="auto"/>
      </w:pPr>
      <w:r>
        <w:t>Advice on DNIR RARMPS</w:t>
      </w:r>
    </w:p>
    <w:p w14:paraId="70CAC29C" w14:textId="77777777" w:rsidR="0063096B" w:rsidRDefault="00B13A2C" w:rsidP="0063096B">
      <w:pPr>
        <w:pStyle w:val="Cmqheading3"/>
        <w:spacing w:line="264" w:lineRule="auto"/>
        <w:ind w:left="1077" w:hanging="1077"/>
      </w:pPr>
      <w:r w:rsidRPr="00033D5C">
        <w:t>DNIR 6</w:t>
      </w:r>
      <w:r w:rsidR="00D05532">
        <w:t>46</w:t>
      </w:r>
      <w:r w:rsidRPr="00033D5C">
        <w:t xml:space="preserve"> </w:t>
      </w:r>
      <w:r w:rsidR="00D05532">
        <w:t>–</w:t>
      </w:r>
      <w:r w:rsidRPr="00033D5C">
        <w:t xml:space="preserve"> </w:t>
      </w:r>
      <w:r w:rsidR="00D05532" w:rsidRPr="00D05532">
        <w:t xml:space="preserve">Two types of split gene drive for </w:t>
      </w:r>
      <w:r w:rsidR="00D05532" w:rsidRPr="00D05532">
        <w:rPr>
          <w:i/>
          <w:iCs/>
        </w:rPr>
        <w:t>Drosophila melanogaster</w:t>
      </w:r>
      <w:r w:rsidR="00D05532" w:rsidRPr="00D05532">
        <w:t xml:space="preserve"> lab experiments </w:t>
      </w:r>
    </w:p>
    <w:p w14:paraId="650D314E" w14:textId="688D84AA" w:rsidR="00D05532" w:rsidRPr="002533D3" w:rsidRDefault="00D05532" w:rsidP="0063096B">
      <w:pPr>
        <w:pStyle w:val="BodyText"/>
        <w:spacing w:line="264" w:lineRule="auto"/>
        <w:rPr>
          <w:rFonts w:cs="Arial"/>
          <w:color w:val="auto"/>
          <w:szCs w:val="22"/>
        </w:rPr>
      </w:pPr>
      <w:r w:rsidRPr="002533D3">
        <w:rPr>
          <w:rFonts w:cs="Arial"/>
          <w:color w:val="auto"/>
          <w:szCs w:val="22"/>
        </w:rPr>
        <w:t xml:space="preserve">The University of </w:t>
      </w:r>
      <w:r w:rsidRPr="002533D3">
        <w:rPr>
          <w:color w:val="auto"/>
        </w:rPr>
        <w:t>Melbourne</w:t>
      </w:r>
      <w:r w:rsidR="0063096B" w:rsidRPr="002533D3">
        <w:rPr>
          <w:color w:val="auto"/>
        </w:rPr>
        <w:t xml:space="preserve"> has applied</w:t>
      </w:r>
      <w:r w:rsidR="00AF30A3" w:rsidRPr="002533D3">
        <w:rPr>
          <w:color w:val="auto"/>
        </w:rPr>
        <w:t xml:space="preserve"> for a licence to investigate two types of split gene drive for </w:t>
      </w:r>
      <w:r w:rsidR="00AF30A3" w:rsidRPr="002533D3">
        <w:rPr>
          <w:i/>
          <w:iCs/>
          <w:color w:val="auto"/>
        </w:rPr>
        <w:t>D. mela</w:t>
      </w:r>
      <w:r w:rsidR="00A43A41" w:rsidRPr="002533D3">
        <w:rPr>
          <w:i/>
          <w:iCs/>
          <w:color w:val="auto"/>
        </w:rPr>
        <w:t>n</w:t>
      </w:r>
      <w:r w:rsidR="00AF30A3" w:rsidRPr="002533D3">
        <w:rPr>
          <w:i/>
          <w:iCs/>
          <w:color w:val="auto"/>
        </w:rPr>
        <w:t>ogaster</w:t>
      </w:r>
      <w:r w:rsidR="00AF30A3" w:rsidRPr="002533D3">
        <w:rPr>
          <w:color w:val="auto"/>
        </w:rPr>
        <w:t xml:space="preserve"> in a PC2 invertebrate facility.</w:t>
      </w:r>
    </w:p>
    <w:p w14:paraId="0A2946B1" w14:textId="3E3FACA0" w:rsidR="002533D3" w:rsidRPr="002533D3" w:rsidRDefault="00121504" w:rsidP="006011E4">
      <w:pPr>
        <w:pStyle w:val="BodyText"/>
        <w:spacing w:line="264" w:lineRule="auto"/>
        <w:rPr>
          <w:rFonts w:cs="Arial"/>
          <w:color w:val="auto"/>
          <w:szCs w:val="22"/>
        </w:rPr>
      </w:pPr>
      <w:r w:rsidRPr="002533D3">
        <w:rPr>
          <w:rFonts w:cs="Arial"/>
          <w:color w:val="auto"/>
          <w:szCs w:val="22"/>
        </w:rPr>
        <w:t>GTTAC noted that the RARMP</w:t>
      </w:r>
      <w:r w:rsidR="001E25BA" w:rsidRPr="002533D3">
        <w:rPr>
          <w:rFonts w:cs="Arial"/>
          <w:color w:val="auto"/>
          <w:szCs w:val="22"/>
        </w:rPr>
        <w:t xml:space="preserve"> concludes that the proposed </w:t>
      </w:r>
      <w:r w:rsidR="002533D3" w:rsidRPr="002533D3">
        <w:rPr>
          <w:rFonts w:cs="Arial"/>
          <w:color w:val="auto"/>
          <w:szCs w:val="22"/>
        </w:rPr>
        <w:t xml:space="preserve">dealings </w:t>
      </w:r>
      <w:r w:rsidR="001E25BA" w:rsidRPr="002533D3">
        <w:rPr>
          <w:rFonts w:cs="Arial"/>
          <w:color w:val="auto"/>
          <w:szCs w:val="22"/>
        </w:rPr>
        <w:t>pose negligible risks to the health and safety of people and the environment</w:t>
      </w:r>
      <w:r w:rsidR="002533D3" w:rsidRPr="002533D3">
        <w:rPr>
          <w:rFonts w:cs="Arial"/>
          <w:color w:val="auto"/>
          <w:szCs w:val="22"/>
        </w:rPr>
        <w:t xml:space="preserve"> </w:t>
      </w:r>
      <w:proofErr w:type="gramStart"/>
      <w:r w:rsidR="002533D3" w:rsidRPr="002533D3">
        <w:rPr>
          <w:rFonts w:cs="Arial"/>
          <w:color w:val="auto"/>
          <w:szCs w:val="22"/>
        </w:rPr>
        <w:t>as a result of</w:t>
      </w:r>
      <w:proofErr w:type="gramEnd"/>
      <w:r w:rsidR="002533D3" w:rsidRPr="002533D3">
        <w:rPr>
          <w:rFonts w:cs="Arial"/>
          <w:color w:val="auto"/>
          <w:szCs w:val="22"/>
        </w:rPr>
        <w:t xml:space="preserve"> gene technology</w:t>
      </w:r>
      <w:r w:rsidR="001E25BA" w:rsidRPr="002533D3">
        <w:rPr>
          <w:rFonts w:cs="Arial"/>
          <w:color w:val="auto"/>
          <w:szCs w:val="22"/>
        </w:rPr>
        <w:t>.</w:t>
      </w:r>
      <w:r w:rsidR="002533D3">
        <w:rPr>
          <w:rFonts w:cs="Arial"/>
          <w:color w:val="auto"/>
          <w:szCs w:val="22"/>
        </w:rPr>
        <w:t xml:space="preserve"> The Committee discussed the potential for off-target effects from Cas9 and agreed that the risk would remain low. </w:t>
      </w:r>
      <w:r w:rsidR="006D16C7" w:rsidRPr="000C2ED7">
        <w:t xml:space="preserve">GTTAC </w:t>
      </w:r>
      <w:r w:rsidR="006D16C7" w:rsidRPr="006011E4">
        <w:rPr>
          <w:color w:val="auto"/>
        </w:rPr>
        <w:t>considered</w:t>
      </w:r>
      <w:r w:rsidR="006D16C7" w:rsidRPr="000C2ED7">
        <w:t xml:space="preserve"> the </w:t>
      </w:r>
      <w:r w:rsidR="006D16C7">
        <w:t>proposed physical containment practices would reduce the likelihood of GMOs being released.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  <w:tblCaption w:val="Resolutions"/>
      </w:tblPr>
      <w:tblGrid>
        <w:gridCol w:w="9492"/>
      </w:tblGrid>
      <w:tr w:rsidR="00091747" w:rsidRPr="00091747" w14:paraId="4B8D2AD8" w14:textId="77777777" w:rsidTr="009B2DDD">
        <w:trPr>
          <w:trHeight w:val="1668"/>
          <w:tblHeader/>
        </w:trPr>
        <w:tc>
          <w:tcPr>
            <w:tcW w:w="9492" w:type="dxa"/>
          </w:tcPr>
          <w:p w14:paraId="65A7A133" w14:textId="77777777" w:rsidR="00CB73CF" w:rsidRPr="00091747" w:rsidRDefault="00CB73CF" w:rsidP="003864BB">
            <w:pPr>
              <w:pStyle w:val="Cmqheading3"/>
              <w:spacing w:before="120" w:line="264" w:lineRule="auto"/>
              <w:ind w:left="0" w:firstLine="0"/>
            </w:pPr>
            <w:r w:rsidRPr="00091747">
              <w:t xml:space="preserve">Resolutions </w:t>
            </w:r>
          </w:p>
          <w:p w14:paraId="486042EC" w14:textId="77777777" w:rsidR="00091747" w:rsidRPr="00091747" w:rsidRDefault="00091747" w:rsidP="00091747">
            <w:pPr>
              <w:pStyle w:val="ListParagraph"/>
              <w:numPr>
                <w:ilvl w:val="0"/>
                <w:numId w:val="26"/>
              </w:numPr>
              <w:ind w:left="425" w:hanging="357"/>
              <w:rPr>
                <w:color w:val="auto"/>
              </w:rPr>
            </w:pPr>
            <w:r w:rsidRPr="00091747">
              <w:rPr>
                <w:color w:val="auto"/>
              </w:rPr>
              <w:t>The risk assessment identifies all plausible risk scenarios by which the proposed dealings could potentially give rise to risks relating to the health and safety of people or the environment.</w:t>
            </w:r>
          </w:p>
          <w:p w14:paraId="2FF43B51" w14:textId="64E23811" w:rsidR="00091747" w:rsidRPr="00091747" w:rsidRDefault="00091747" w:rsidP="00091747">
            <w:pPr>
              <w:pStyle w:val="ListParagraph"/>
              <w:numPr>
                <w:ilvl w:val="0"/>
                <w:numId w:val="26"/>
              </w:numPr>
              <w:ind w:left="425" w:hanging="357"/>
              <w:rPr>
                <w:color w:val="auto"/>
              </w:rPr>
            </w:pPr>
            <w:r w:rsidRPr="00091747">
              <w:rPr>
                <w:color w:val="auto"/>
              </w:rPr>
              <w:t>The committee agrees that the proposed containment of the GM Drosophila is appropriate</w:t>
            </w:r>
            <w:r w:rsidR="00790AD6">
              <w:rPr>
                <w:color w:val="auto"/>
              </w:rPr>
              <w:t>.</w:t>
            </w:r>
          </w:p>
          <w:p w14:paraId="47945543" w14:textId="77777777" w:rsidR="00091747" w:rsidRPr="00091747" w:rsidRDefault="00091747" w:rsidP="00091747">
            <w:pPr>
              <w:pStyle w:val="ListParagraph"/>
              <w:numPr>
                <w:ilvl w:val="0"/>
                <w:numId w:val="26"/>
              </w:numPr>
              <w:ind w:left="425" w:hanging="357"/>
              <w:rPr>
                <w:color w:val="auto"/>
              </w:rPr>
            </w:pPr>
            <w:r w:rsidRPr="00091747">
              <w:rPr>
                <w:color w:val="auto"/>
              </w:rPr>
              <w:t>The committee did not identify additional relevant information that should be considered.</w:t>
            </w:r>
          </w:p>
          <w:p w14:paraId="05CAAE4B" w14:textId="2097C615" w:rsidR="00CB73CF" w:rsidRPr="00091747" w:rsidRDefault="00091747" w:rsidP="00091747">
            <w:pPr>
              <w:pStyle w:val="ListParagraph"/>
              <w:numPr>
                <w:ilvl w:val="0"/>
                <w:numId w:val="26"/>
              </w:numPr>
              <w:ind w:left="425" w:hanging="357"/>
              <w:rPr>
                <w:color w:val="auto"/>
              </w:rPr>
            </w:pPr>
            <w:r w:rsidRPr="00091747">
              <w:rPr>
                <w:color w:val="auto"/>
              </w:rPr>
              <w:t>The committee agrees with the overall conclusion of the RARMP</w:t>
            </w:r>
            <w:r w:rsidR="008040EC" w:rsidRPr="00091747">
              <w:rPr>
                <w:color w:val="auto"/>
              </w:rPr>
              <w:t>.</w:t>
            </w:r>
            <w:r w:rsidR="00CB73CF" w:rsidRPr="00091747">
              <w:rPr>
                <w:color w:val="auto"/>
              </w:rPr>
              <w:t xml:space="preserve"> </w:t>
            </w:r>
          </w:p>
        </w:tc>
      </w:tr>
    </w:tbl>
    <w:p w14:paraId="7E0A3DB0" w14:textId="0DBD7FDA" w:rsidR="00091747" w:rsidRPr="00B81EA1" w:rsidRDefault="00091747" w:rsidP="00F35D44">
      <w:pPr>
        <w:pStyle w:val="CmqHeading1"/>
      </w:pPr>
      <w:r w:rsidRPr="00B81EA1">
        <w:lastRenderedPageBreak/>
        <w:t>other advice</w:t>
      </w:r>
    </w:p>
    <w:p w14:paraId="39DE7A8E" w14:textId="3694B5A9" w:rsidR="006011E4" w:rsidRDefault="006011E4" w:rsidP="006011E4">
      <w:pPr>
        <w:pStyle w:val="Cmqheading3"/>
        <w:spacing w:line="264" w:lineRule="auto"/>
        <w:ind w:left="1077" w:hanging="1077"/>
        <w:contextualSpacing w:val="0"/>
      </w:pPr>
      <w:r w:rsidRPr="006011E4">
        <w:t>Information requirements for environmental release of gene drive GMOs</w:t>
      </w:r>
    </w:p>
    <w:p w14:paraId="0209E9D1" w14:textId="2DB3054C" w:rsidR="006011E4" w:rsidRPr="00790AD6" w:rsidRDefault="006011E4" w:rsidP="006011E4">
      <w:pPr>
        <w:pStyle w:val="BodyText"/>
        <w:spacing w:line="264" w:lineRule="auto"/>
      </w:pPr>
      <w:r w:rsidRPr="006011E4">
        <w:rPr>
          <w:rFonts w:cs="Arial"/>
          <w:color w:val="auto"/>
          <w:szCs w:val="22"/>
        </w:rPr>
        <w:t xml:space="preserve">GTTAC </w:t>
      </w:r>
      <w:r w:rsidR="00790AD6">
        <w:rPr>
          <w:rFonts w:cs="Arial"/>
          <w:color w:val="auto"/>
          <w:szCs w:val="22"/>
        </w:rPr>
        <w:t xml:space="preserve">discussed </w:t>
      </w:r>
      <w:r w:rsidR="00F13031">
        <w:rPr>
          <w:rFonts w:cs="Arial"/>
          <w:color w:val="auto"/>
          <w:szCs w:val="22"/>
        </w:rPr>
        <w:t xml:space="preserve">the </w:t>
      </w:r>
      <w:r w:rsidR="00F13031">
        <w:t xml:space="preserve">OGTR’s preliminary analysis of </w:t>
      </w:r>
      <w:r w:rsidR="00F13031" w:rsidRPr="006011E4">
        <w:rPr>
          <w:rFonts w:cs="Arial"/>
          <w:color w:val="auto"/>
          <w:szCs w:val="22"/>
        </w:rPr>
        <w:t>data/information that may be required for risk assessment of environmental releases of</w:t>
      </w:r>
      <w:r w:rsidR="00F13031">
        <w:rPr>
          <w:rFonts w:cs="Arial"/>
          <w:color w:val="auto"/>
          <w:szCs w:val="22"/>
        </w:rPr>
        <w:t xml:space="preserve"> a</w:t>
      </w:r>
      <w:r w:rsidR="00F13031" w:rsidRPr="006011E4">
        <w:rPr>
          <w:rFonts w:cs="Arial"/>
          <w:color w:val="auto"/>
          <w:szCs w:val="22"/>
        </w:rPr>
        <w:t xml:space="preserve"> </w:t>
      </w:r>
      <w:r w:rsidR="00F13031" w:rsidRPr="00790AD6">
        <w:rPr>
          <w:rFonts w:cs="Arial"/>
          <w:color w:val="auto"/>
          <w:szCs w:val="22"/>
        </w:rPr>
        <w:t>gene drive GMO</w:t>
      </w:r>
      <w:r w:rsidR="00F13031">
        <w:rPr>
          <w:rFonts w:cs="Arial"/>
          <w:color w:val="auto"/>
          <w:szCs w:val="22"/>
        </w:rPr>
        <w:t xml:space="preserve"> </w:t>
      </w:r>
      <w:r w:rsidR="00F13031" w:rsidRPr="00790AD6">
        <w:rPr>
          <w:rFonts w:cs="Arial"/>
          <w:color w:val="auto"/>
          <w:szCs w:val="22"/>
        </w:rPr>
        <w:t>(GD-GMO)</w:t>
      </w:r>
      <w:r w:rsidR="00F13031" w:rsidRPr="006011E4">
        <w:rPr>
          <w:rFonts w:cs="Arial"/>
          <w:color w:val="auto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81EA1" w:rsidRPr="00B81EA1" w14:paraId="0490C466" w14:textId="77777777" w:rsidTr="00B81EA1">
        <w:trPr>
          <w:trHeight w:val="4252"/>
        </w:trPr>
        <w:tc>
          <w:tcPr>
            <w:tcW w:w="9629" w:type="dxa"/>
          </w:tcPr>
          <w:p w14:paraId="23942FED" w14:textId="77777777" w:rsidR="00B81EA1" w:rsidRPr="00B81EA1" w:rsidRDefault="00B81EA1" w:rsidP="00566BA5">
            <w:pPr>
              <w:pStyle w:val="Cmqheading3"/>
              <w:spacing w:before="120" w:line="264" w:lineRule="auto"/>
              <w:ind w:left="0" w:firstLine="0"/>
            </w:pPr>
            <w:r w:rsidRPr="00B81EA1">
              <w:t xml:space="preserve">Resolutions </w:t>
            </w:r>
          </w:p>
          <w:p w14:paraId="0AF979C9" w14:textId="77777777" w:rsidR="00B81EA1" w:rsidRPr="00B81EA1" w:rsidRDefault="00B81EA1" w:rsidP="00B81EA1">
            <w:pPr>
              <w:pStyle w:val="ListParagraph"/>
              <w:numPr>
                <w:ilvl w:val="0"/>
                <w:numId w:val="26"/>
              </w:numPr>
              <w:ind w:left="425" w:hanging="357"/>
              <w:rPr>
                <w:color w:val="auto"/>
              </w:rPr>
            </w:pPr>
            <w:r w:rsidRPr="00B81EA1">
              <w:rPr>
                <w:color w:val="auto"/>
              </w:rPr>
              <w:t>The types of data/information that may be required for environmental risk assessments of GD-GMOs are consistent with OGTR’s current application forms and approach.</w:t>
            </w:r>
          </w:p>
          <w:p w14:paraId="1FC1C433" w14:textId="77777777" w:rsidR="00B81EA1" w:rsidRPr="00B81EA1" w:rsidRDefault="00B81EA1" w:rsidP="00B81EA1">
            <w:pPr>
              <w:pStyle w:val="ListParagraph"/>
              <w:numPr>
                <w:ilvl w:val="0"/>
                <w:numId w:val="26"/>
              </w:numPr>
              <w:ind w:left="425" w:hanging="357"/>
              <w:rPr>
                <w:color w:val="auto"/>
              </w:rPr>
            </w:pPr>
            <w:r w:rsidRPr="00B81EA1">
              <w:rPr>
                <w:color w:val="auto"/>
              </w:rPr>
              <w:t>Australian and overseas data from research on GD-GMOs would be relevant for environmental risk assessment of any proposed Australian environmental releases.</w:t>
            </w:r>
          </w:p>
          <w:p w14:paraId="6790AA7F" w14:textId="77777777" w:rsidR="00B81EA1" w:rsidRPr="00B81EA1" w:rsidRDefault="00B81EA1" w:rsidP="00B81EA1">
            <w:pPr>
              <w:pStyle w:val="ListParagraph"/>
              <w:numPr>
                <w:ilvl w:val="0"/>
                <w:numId w:val="26"/>
              </w:numPr>
              <w:ind w:left="425" w:hanging="357"/>
              <w:rPr>
                <w:color w:val="auto"/>
              </w:rPr>
            </w:pPr>
            <w:r w:rsidRPr="00B81EA1">
              <w:rPr>
                <w:color w:val="auto"/>
              </w:rPr>
              <w:t>Data from studies in physical containment facilities would be of equivalent relevance whether conducted in Australia or overseas.</w:t>
            </w:r>
          </w:p>
          <w:p w14:paraId="33E9BF67" w14:textId="77777777" w:rsidR="00B81EA1" w:rsidRPr="00B81EA1" w:rsidRDefault="00B81EA1" w:rsidP="00B81EA1">
            <w:pPr>
              <w:pStyle w:val="ListParagraph"/>
              <w:numPr>
                <w:ilvl w:val="0"/>
                <w:numId w:val="26"/>
              </w:numPr>
              <w:ind w:left="425" w:hanging="357"/>
              <w:rPr>
                <w:color w:val="auto"/>
              </w:rPr>
            </w:pPr>
            <w:r w:rsidRPr="00B81EA1">
              <w:rPr>
                <w:color w:val="auto"/>
              </w:rPr>
              <w:t>Ecosystem modelling data may inform risk assessment and risk management of proposed releases of GD-GMOs in some instances.</w:t>
            </w:r>
          </w:p>
          <w:p w14:paraId="6056FF66" w14:textId="558DC5CE" w:rsidR="00B81EA1" w:rsidRPr="00B81EA1" w:rsidRDefault="00B81EA1" w:rsidP="00B81EA1">
            <w:pPr>
              <w:pStyle w:val="ListParagraph"/>
              <w:numPr>
                <w:ilvl w:val="0"/>
                <w:numId w:val="26"/>
              </w:numPr>
              <w:ind w:left="425" w:hanging="357"/>
            </w:pPr>
            <w:r w:rsidRPr="00B81EA1">
              <w:rPr>
                <w:color w:val="auto"/>
              </w:rPr>
              <w:t>A case by case approach for risk assessment and risk management of environmental releases of GMOs, including data/information requirements, remains relevant and applicable for GD-GMOs</w:t>
            </w:r>
            <w:r w:rsidR="00790AD6">
              <w:rPr>
                <w:color w:val="auto"/>
              </w:rPr>
              <w:t>.</w:t>
            </w:r>
          </w:p>
        </w:tc>
      </w:tr>
    </w:tbl>
    <w:p w14:paraId="734572CE" w14:textId="738986EE" w:rsidR="0039278E" w:rsidRPr="0063096B" w:rsidRDefault="0039278E" w:rsidP="00F35D44">
      <w:pPr>
        <w:pStyle w:val="CmqHeading1"/>
      </w:pPr>
      <w:r w:rsidRPr="0063096B">
        <w:t>Enquiries and Risk Assessment and Risk Management Plans</w:t>
      </w:r>
    </w:p>
    <w:p w14:paraId="755580C7" w14:textId="1FB1439E" w:rsidR="006C662B" w:rsidRPr="00091747" w:rsidRDefault="0039278E" w:rsidP="00790AD6">
      <w:pPr>
        <w:pStyle w:val="BodyText"/>
        <w:spacing w:line="264" w:lineRule="auto"/>
        <w:rPr>
          <w:color w:val="auto"/>
        </w:rPr>
      </w:pPr>
      <w:r w:rsidRPr="0063096B">
        <w:rPr>
          <w:color w:val="auto"/>
        </w:rPr>
        <w:t>For all enquiries and to obtain copies</w:t>
      </w:r>
      <w:r w:rsidR="00AE0C6C" w:rsidRPr="0063096B">
        <w:rPr>
          <w:color w:val="auto"/>
        </w:rPr>
        <w:t xml:space="preserve"> of applications or RARMPs for Dealings involving the Intentional R</w:t>
      </w:r>
      <w:r w:rsidRPr="0063096B">
        <w:rPr>
          <w:color w:val="auto"/>
        </w:rPr>
        <w:t>elease</w:t>
      </w:r>
      <w:r w:rsidR="00AE0C6C" w:rsidRPr="0063096B">
        <w:rPr>
          <w:color w:val="auto"/>
        </w:rPr>
        <w:t xml:space="preserve"> (DIR)</w:t>
      </w:r>
      <w:r w:rsidRPr="0063096B">
        <w:rPr>
          <w:color w:val="auto"/>
        </w:rPr>
        <w:t xml:space="preserve"> of GMOs into </w:t>
      </w:r>
      <w:r w:rsidRPr="00790AD6">
        <w:rPr>
          <w:rFonts w:cs="Arial"/>
          <w:color w:val="auto"/>
          <w:szCs w:val="22"/>
        </w:rPr>
        <w:t>the</w:t>
      </w:r>
      <w:r w:rsidRPr="0063096B">
        <w:rPr>
          <w:color w:val="auto"/>
        </w:rPr>
        <w:t xml:space="preserve"> environment, please call the OGTR on 1800 181 030 or email </w:t>
      </w:r>
      <w:hyperlink r:id="rId9" w:history="1">
        <w:r w:rsidRPr="0063096B">
          <w:rPr>
            <w:color w:val="auto"/>
            <w:u w:val="single"/>
          </w:rPr>
          <w:t>ogtr@health.gov.au</w:t>
        </w:r>
      </w:hyperlink>
      <w:r w:rsidRPr="0063096B">
        <w:rPr>
          <w:color w:val="auto"/>
        </w:rPr>
        <w:t>.</w:t>
      </w:r>
      <w:r w:rsidR="00AE0C6C" w:rsidRPr="0063096B">
        <w:rPr>
          <w:color w:val="auto"/>
        </w:rPr>
        <w:t xml:space="preserve"> DIR</w:t>
      </w:r>
      <w:r w:rsidRPr="0063096B">
        <w:rPr>
          <w:color w:val="auto"/>
        </w:rPr>
        <w:t xml:space="preserve"> RARMPs are also available on the </w:t>
      </w:r>
      <w:hyperlink r:id="rId10" w:history="1">
        <w:r w:rsidRPr="0063096B">
          <w:rPr>
            <w:rStyle w:val="Hyperlink"/>
            <w:color w:val="auto"/>
          </w:rPr>
          <w:t>OGTR website</w:t>
        </w:r>
      </w:hyperlink>
      <w:r w:rsidRPr="0063096B">
        <w:rPr>
          <w:color w:val="auto"/>
        </w:rPr>
        <w:t>.</w:t>
      </w:r>
    </w:p>
    <w:sectPr w:rsidR="006C662B" w:rsidRPr="00091747" w:rsidSect="00C655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45404" w14:textId="77777777" w:rsidR="00FC45B1" w:rsidRDefault="00FC45B1" w:rsidP="00A041F8">
      <w:r>
        <w:separator/>
      </w:r>
    </w:p>
  </w:endnote>
  <w:endnote w:type="continuationSeparator" w:id="0">
    <w:p w14:paraId="7BEF7E55" w14:textId="77777777" w:rsidR="00FC45B1" w:rsidRDefault="00FC45B1" w:rsidP="00A0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D556A" w14:textId="77777777" w:rsidR="00C47F99" w:rsidRDefault="00ED62D5" w:rsidP="0082638C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5652A66A" w14:textId="77777777" w:rsidR="00C47F99" w:rsidRDefault="00C514B5" w:rsidP="0082638C">
    <w:pPr>
      <w:pStyle w:val="Footer"/>
      <w:ind w:right="360"/>
    </w:pPr>
  </w:p>
  <w:p w14:paraId="3BC7015B" w14:textId="77777777" w:rsidR="00C47F99" w:rsidRDefault="00C514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4BEDF" w14:textId="43E45873" w:rsidR="00C47F99" w:rsidRPr="00740B72" w:rsidRDefault="00ED62D5" w:rsidP="00D62729">
    <w:pPr>
      <w:pStyle w:val="Footer"/>
      <w:tabs>
        <w:tab w:val="clear" w:pos="4153"/>
        <w:tab w:val="clear" w:pos="8306"/>
        <w:tab w:val="right" w:pos="8931"/>
      </w:tabs>
      <w:rPr>
        <w:rFonts w:ascii="Arial" w:hAnsi="Arial" w:cs="Arial"/>
        <w:sz w:val="20"/>
      </w:rPr>
    </w:pPr>
    <w:r w:rsidRPr="00740B72">
      <w:rPr>
        <w:rFonts w:ascii="Arial" w:hAnsi="Arial" w:cs="Arial"/>
        <w:sz w:val="20"/>
      </w:rPr>
      <w:t xml:space="preserve">GTTAC Communiqué </w:t>
    </w:r>
    <w:r w:rsidR="0063096B">
      <w:rPr>
        <w:rFonts w:ascii="Arial" w:hAnsi="Arial" w:cs="Arial"/>
        <w:sz w:val="20"/>
      </w:rPr>
      <w:t>28 September</w:t>
    </w:r>
    <w:r w:rsidR="008040EC">
      <w:rPr>
        <w:rFonts w:ascii="Arial" w:hAnsi="Arial" w:cs="Arial"/>
        <w:sz w:val="20"/>
      </w:rPr>
      <w:t xml:space="preserve"> </w:t>
    </w:r>
    <w:r w:rsidR="00CB1311">
      <w:rPr>
        <w:rFonts w:ascii="Arial" w:hAnsi="Arial" w:cs="Arial"/>
        <w:sz w:val="20"/>
      </w:rPr>
      <w:t>2021</w:t>
    </w:r>
    <w:r w:rsidRPr="00740B72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2"/>
        </w:rPr>
        <w:id w:val="1584713254"/>
        <w:docPartObj>
          <w:docPartGallery w:val="Page Numbers (Bottom of Page)"/>
          <w:docPartUnique/>
        </w:docPartObj>
      </w:sdtPr>
      <w:sdtEndPr>
        <w:rPr>
          <w:noProof/>
          <w:sz w:val="20"/>
          <w:szCs w:val="22"/>
        </w:rPr>
      </w:sdtEndPr>
      <w:sdtContent>
        <w:r w:rsidRPr="00740B72">
          <w:rPr>
            <w:rFonts w:ascii="Arial" w:hAnsi="Arial" w:cs="Arial"/>
            <w:sz w:val="20"/>
            <w:szCs w:val="22"/>
          </w:rPr>
          <w:fldChar w:fldCharType="begin"/>
        </w:r>
        <w:r w:rsidRPr="00740B72">
          <w:rPr>
            <w:rFonts w:ascii="Arial" w:hAnsi="Arial" w:cs="Arial"/>
            <w:sz w:val="20"/>
            <w:szCs w:val="22"/>
          </w:rPr>
          <w:instrText xml:space="preserve"> PAGE   \* MERGEFORMAT </w:instrText>
        </w:r>
        <w:r w:rsidRPr="00740B72">
          <w:rPr>
            <w:rFonts w:ascii="Arial" w:hAnsi="Arial" w:cs="Arial"/>
            <w:sz w:val="20"/>
            <w:szCs w:val="22"/>
          </w:rPr>
          <w:fldChar w:fldCharType="separate"/>
        </w:r>
        <w:r w:rsidR="000456BB">
          <w:rPr>
            <w:rFonts w:ascii="Arial" w:hAnsi="Arial" w:cs="Arial"/>
            <w:noProof/>
            <w:sz w:val="20"/>
            <w:szCs w:val="22"/>
          </w:rPr>
          <w:t>3</w:t>
        </w:r>
        <w:r w:rsidRPr="00740B72">
          <w:rPr>
            <w:rFonts w:ascii="Arial" w:hAnsi="Arial" w:cs="Arial"/>
            <w:noProof/>
            <w:sz w:val="20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A6A8" w14:textId="6D2DC1CB" w:rsidR="00C47F99" w:rsidRPr="005B573A" w:rsidRDefault="00ED62D5" w:rsidP="005B573A">
    <w:pPr>
      <w:pStyle w:val="Footer"/>
      <w:tabs>
        <w:tab w:val="clear" w:pos="4153"/>
        <w:tab w:val="clear" w:pos="8306"/>
        <w:tab w:val="right" w:pos="8931"/>
      </w:tabs>
      <w:rPr>
        <w:rFonts w:ascii="Arial" w:hAnsi="Arial" w:cs="Arial"/>
        <w:sz w:val="20"/>
        <w:szCs w:val="22"/>
      </w:rPr>
    </w:pPr>
    <w:r w:rsidRPr="00740B72">
      <w:rPr>
        <w:rFonts w:ascii="Arial" w:hAnsi="Arial" w:cs="Arial"/>
        <w:sz w:val="20"/>
      </w:rPr>
      <w:t>GTTAC Communiqué</w:t>
    </w:r>
    <w:r w:rsidR="00C13804">
      <w:rPr>
        <w:rFonts w:ascii="Arial" w:hAnsi="Arial" w:cs="Arial"/>
        <w:sz w:val="20"/>
      </w:rPr>
      <w:t xml:space="preserve"> </w:t>
    </w:r>
    <w:r w:rsidR="00C1326D">
      <w:rPr>
        <w:rFonts w:ascii="Arial" w:hAnsi="Arial" w:cs="Arial"/>
        <w:sz w:val="20"/>
      </w:rPr>
      <w:t>28 September</w:t>
    </w:r>
    <w:r w:rsidR="003156DF">
      <w:rPr>
        <w:rFonts w:ascii="Arial" w:hAnsi="Arial" w:cs="Arial"/>
        <w:sz w:val="20"/>
      </w:rPr>
      <w:t xml:space="preserve"> </w:t>
    </w:r>
    <w:r w:rsidR="00CB1311">
      <w:rPr>
        <w:rFonts w:ascii="Arial" w:hAnsi="Arial" w:cs="Arial"/>
        <w:sz w:val="20"/>
      </w:rPr>
      <w:t>2021</w:t>
    </w:r>
    <w:r w:rsidR="00355A2E" w:rsidRPr="00740B72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2"/>
        </w:rPr>
        <w:id w:val="868874125"/>
        <w:docPartObj>
          <w:docPartGallery w:val="Page Numbers (Bottom of Page)"/>
          <w:docPartUnique/>
        </w:docPartObj>
      </w:sdtPr>
      <w:sdtEndPr>
        <w:rPr>
          <w:noProof/>
          <w:sz w:val="20"/>
          <w:szCs w:val="22"/>
        </w:rPr>
      </w:sdtEndPr>
      <w:sdtContent>
        <w:r w:rsidRPr="00740B72">
          <w:rPr>
            <w:rFonts w:ascii="Arial" w:hAnsi="Arial" w:cs="Arial"/>
            <w:sz w:val="20"/>
            <w:szCs w:val="22"/>
          </w:rPr>
          <w:fldChar w:fldCharType="begin"/>
        </w:r>
        <w:r w:rsidRPr="00740B72">
          <w:rPr>
            <w:rFonts w:ascii="Arial" w:hAnsi="Arial" w:cs="Arial"/>
            <w:sz w:val="20"/>
            <w:szCs w:val="22"/>
          </w:rPr>
          <w:instrText xml:space="preserve"> PAGE   \* MERGEFORMAT </w:instrText>
        </w:r>
        <w:r w:rsidRPr="00740B72">
          <w:rPr>
            <w:rFonts w:ascii="Arial" w:hAnsi="Arial" w:cs="Arial"/>
            <w:sz w:val="20"/>
            <w:szCs w:val="22"/>
          </w:rPr>
          <w:fldChar w:fldCharType="separate"/>
        </w:r>
        <w:r w:rsidR="000456BB">
          <w:rPr>
            <w:rFonts w:ascii="Arial" w:hAnsi="Arial" w:cs="Arial"/>
            <w:noProof/>
            <w:sz w:val="20"/>
            <w:szCs w:val="22"/>
          </w:rPr>
          <w:t>1</w:t>
        </w:r>
        <w:r w:rsidRPr="00740B72">
          <w:rPr>
            <w:rFonts w:ascii="Arial" w:hAnsi="Arial" w:cs="Arial"/>
            <w:noProof/>
            <w:sz w:val="20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B0747" w14:textId="77777777" w:rsidR="00FC45B1" w:rsidRDefault="00FC45B1" w:rsidP="00A041F8">
      <w:r>
        <w:separator/>
      </w:r>
    </w:p>
  </w:footnote>
  <w:footnote w:type="continuationSeparator" w:id="0">
    <w:p w14:paraId="0AD62F41" w14:textId="77777777" w:rsidR="00FC45B1" w:rsidRDefault="00FC45B1" w:rsidP="00A0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E84B4" w14:textId="77777777" w:rsidR="00C47F99" w:rsidRDefault="00C514B5" w:rsidP="002E6DF0">
    <w:pPr>
      <w:pStyle w:val="Header"/>
      <w:tabs>
        <w:tab w:val="left" w:pos="2410"/>
        <w:tab w:val="left" w:pos="63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89C14" w14:textId="77777777" w:rsidR="00C47F99" w:rsidRDefault="00ED62D5" w:rsidP="00B073C2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6AD88E8" wp14:editId="4A69E71A">
          <wp:extent cx="2352675" cy="1219200"/>
          <wp:effectExtent l="0" t="0" r="9525" b="0"/>
          <wp:docPr id="4" name="Picture 4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927"/>
    <w:multiLevelType w:val="hybridMultilevel"/>
    <w:tmpl w:val="3454C13E"/>
    <w:lvl w:ilvl="0" w:tplc="18F4C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383"/>
    <w:multiLevelType w:val="hybridMultilevel"/>
    <w:tmpl w:val="A200568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C0A8B"/>
    <w:multiLevelType w:val="hybridMultilevel"/>
    <w:tmpl w:val="612ADC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B2448"/>
    <w:multiLevelType w:val="hybridMultilevel"/>
    <w:tmpl w:val="3B488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10E2"/>
    <w:multiLevelType w:val="hybridMultilevel"/>
    <w:tmpl w:val="D89C7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6359"/>
    <w:multiLevelType w:val="hybridMultilevel"/>
    <w:tmpl w:val="555AD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66CDC"/>
    <w:multiLevelType w:val="hybridMultilevel"/>
    <w:tmpl w:val="EC1C6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31F4E"/>
    <w:multiLevelType w:val="hybridMultilevel"/>
    <w:tmpl w:val="43FA2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4472"/>
    <w:multiLevelType w:val="hybridMultilevel"/>
    <w:tmpl w:val="A4CEDC62"/>
    <w:lvl w:ilvl="0" w:tplc="52005076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07636"/>
    <w:multiLevelType w:val="hybridMultilevel"/>
    <w:tmpl w:val="188874E8"/>
    <w:lvl w:ilvl="0" w:tplc="8A6A8350">
      <w:numFmt w:val="bullet"/>
      <w:lvlText w:val="•"/>
      <w:lvlJc w:val="left"/>
      <w:pPr>
        <w:ind w:left="717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2A262CE6"/>
    <w:multiLevelType w:val="hybridMultilevel"/>
    <w:tmpl w:val="FFD8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92AB6"/>
    <w:multiLevelType w:val="hybridMultilevel"/>
    <w:tmpl w:val="316ED67C"/>
    <w:lvl w:ilvl="0" w:tplc="0D248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0434"/>
    <w:multiLevelType w:val="hybridMultilevel"/>
    <w:tmpl w:val="CE984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E7AC1"/>
    <w:multiLevelType w:val="hybridMultilevel"/>
    <w:tmpl w:val="2AC88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C5D2A"/>
    <w:multiLevelType w:val="hybridMultilevel"/>
    <w:tmpl w:val="D1928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C39D4"/>
    <w:multiLevelType w:val="hybridMultilevel"/>
    <w:tmpl w:val="55809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81EE5"/>
    <w:multiLevelType w:val="hybridMultilevel"/>
    <w:tmpl w:val="DF205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C07A6"/>
    <w:multiLevelType w:val="hybridMultilevel"/>
    <w:tmpl w:val="46881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E2CDE"/>
    <w:multiLevelType w:val="hybridMultilevel"/>
    <w:tmpl w:val="F1F0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2565F"/>
    <w:multiLevelType w:val="hybridMultilevel"/>
    <w:tmpl w:val="8E1E8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30C45"/>
    <w:multiLevelType w:val="hybridMultilevel"/>
    <w:tmpl w:val="AD9CB4E0"/>
    <w:lvl w:ilvl="0" w:tplc="95C05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B6B51"/>
    <w:multiLevelType w:val="hybridMultilevel"/>
    <w:tmpl w:val="0A3A8E80"/>
    <w:lvl w:ilvl="0" w:tplc="F24860FC">
      <w:start w:val="19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03F77"/>
    <w:multiLevelType w:val="hybridMultilevel"/>
    <w:tmpl w:val="14684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76462"/>
    <w:multiLevelType w:val="hybridMultilevel"/>
    <w:tmpl w:val="FA005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A0D96"/>
    <w:multiLevelType w:val="hybridMultilevel"/>
    <w:tmpl w:val="ACBE6E58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62E65C03"/>
    <w:multiLevelType w:val="hybridMultilevel"/>
    <w:tmpl w:val="73FCFEDA"/>
    <w:lvl w:ilvl="0" w:tplc="0C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6" w15:restartNumberingAfterBreak="0">
    <w:nsid w:val="783C7450"/>
    <w:multiLevelType w:val="hybridMultilevel"/>
    <w:tmpl w:val="4672F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83D93"/>
    <w:multiLevelType w:val="hybridMultilevel"/>
    <w:tmpl w:val="2FE0F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42BCC"/>
    <w:multiLevelType w:val="hybridMultilevel"/>
    <w:tmpl w:val="94EA606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D3C4210"/>
    <w:multiLevelType w:val="hybridMultilevel"/>
    <w:tmpl w:val="C542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90067"/>
    <w:multiLevelType w:val="hybridMultilevel"/>
    <w:tmpl w:val="44AE4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6"/>
  </w:num>
  <w:num w:numId="4">
    <w:abstractNumId w:val="18"/>
  </w:num>
  <w:num w:numId="5">
    <w:abstractNumId w:val="1"/>
  </w:num>
  <w:num w:numId="6">
    <w:abstractNumId w:val="29"/>
  </w:num>
  <w:num w:numId="7">
    <w:abstractNumId w:val="10"/>
  </w:num>
  <w:num w:numId="8">
    <w:abstractNumId w:val="14"/>
  </w:num>
  <w:num w:numId="9">
    <w:abstractNumId w:val="3"/>
  </w:num>
  <w:num w:numId="10">
    <w:abstractNumId w:val="16"/>
  </w:num>
  <w:num w:numId="11">
    <w:abstractNumId w:val="5"/>
  </w:num>
  <w:num w:numId="12">
    <w:abstractNumId w:val="19"/>
  </w:num>
  <w:num w:numId="13">
    <w:abstractNumId w:val="28"/>
  </w:num>
  <w:num w:numId="14">
    <w:abstractNumId w:val="8"/>
  </w:num>
  <w:num w:numId="15">
    <w:abstractNumId w:val="27"/>
  </w:num>
  <w:num w:numId="16">
    <w:abstractNumId w:val="11"/>
  </w:num>
  <w:num w:numId="17">
    <w:abstractNumId w:val="15"/>
  </w:num>
  <w:num w:numId="18">
    <w:abstractNumId w:val="11"/>
  </w:num>
  <w:num w:numId="19">
    <w:abstractNumId w:val="11"/>
  </w:num>
  <w:num w:numId="20">
    <w:abstractNumId w:val="13"/>
  </w:num>
  <w:num w:numId="21">
    <w:abstractNumId w:val="6"/>
  </w:num>
  <w:num w:numId="22">
    <w:abstractNumId w:val="11"/>
  </w:num>
  <w:num w:numId="23">
    <w:abstractNumId w:val="27"/>
  </w:num>
  <w:num w:numId="24">
    <w:abstractNumId w:val="11"/>
  </w:num>
  <w:num w:numId="25">
    <w:abstractNumId w:val="24"/>
  </w:num>
  <w:num w:numId="26">
    <w:abstractNumId w:val="20"/>
  </w:num>
  <w:num w:numId="27">
    <w:abstractNumId w:val="11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12"/>
  </w:num>
  <w:num w:numId="35">
    <w:abstractNumId w:val="2"/>
  </w:num>
  <w:num w:numId="36">
    <w:abstractNumId w:val="4"/>
  </w:num>
  <w:num w:numId="37">
    <w:abstractNumId w:val="21"/>
  </w:num>
  <w:num w:numId="38">
    <w:abstractNumId w:val="25"/>
  </w:num>
  <w:num w:numId="39">
    <w:abstractNumId w:val="30"/>
  </w:num>
  <w:num w:numId="40">
    <w:abstractNumId w:val="17"/>
  </w:num>
  <w:num w:numId="41">
    <w:abstractNumId w:val="7"/>
  </w:num>
  <w:num w:numId="42">
    <w:abstractNumId w:val="23"/>
  </w:num>
  <w:num w:numId="43">
    <w:abstractNumId w:val="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F8"/>
    <w:rsid w:val="000046DB"/>
    <w:rsid w:val="00004DE7"/>
    <w:rsid w:val="00006514"/>
    <w:rsid w:val="00010DE6"/>
    <w:rsid w:val="0001713D"/>
    <w:rsid w:val="00020C48"/>
    <w:rsid w:val="00033D5C"/>
    <w:rsid w:val="00037029"/>
    <w:rsid w:val="000456BB"/>
    <w:rsid w:val="00080D37"/>
    <w:rsid w:val="00083955"/>
    <w:rsid w:val="0008539C"/>
    <w:rsid w:val="00091747"/>
    <w:rsid w:val="000917A4"/>
    <w:rsid w:val="00092653"/>
    <w:rsid w:val="000933F0"/>
    <w:rsid w:val="00096B70"/>
    <w:rsid w:val="000B10E0"/>
    <w:rsid w:val="000C1CB5"/>
    <w:rsid w:val="000D2392"/>
    <w:rsid w:val="000E1650"/>
    <w:rsid w:val="000E724C"/>
    <w:rsid w:val="00104A3B"/>
    <w:rsid w:val="00110C62"/>
    <w:rsid w:val="00111A02"/>
    <w:rsid w:val="001150BA"/>
    <w:rsid w:val="001162F8"/>
    <w:rsid w:val="00120181"/>
    <w:rsid w:val="001212F1"/>
    <w:rsid w:val="00121504"/>
    <w:rsid w:val="00131369"/>
    <w:rsid w:val="00133D40"/>
    <w:rsid w:val="00134B5C"/>
    <w:rsid w:val="001410D9"/>
    <w:rsid w:val="001551E7"/>
    <w:rsid w:val="001655F6"/>
    <w:rsid w:val="00171898"/>
    <w:rsid w:val="001877F0"/>
    <w:rsid w:val="00197405"/>
    <w:rsid w:val="001A3A1B"/>
    <w:rsid w:val="001A6A9A"/>
    <w:rsid w:val="001A73D6"/>
    <w:rsid w:val="001B1DC0"/>
    <w:rsid w:val="001B2C6A"/>
    <w:rsid w:val="001E25BA"/>
    <w:rsid w:val="00204A62"/>
    <w:rsid w:val="002533D3"/>
    <w:rsid w:val="00254498"/>
    <w:rsid w:val="00262E5C"/>
    <w:rsid w:val="002632E1"/>
    <w:rsid w:val="00267FEF"/>
    <w:rsid w:val="002763E3"/>
    <w:rsid w:val="00276FF6"/>
    <w:rsid w:val="00281C06"/>
    <w:rsid w:val="002C3034"/>
    <w:rsid w:val="002C4954"/>
    <w:rsid w:val="002C6278"/>
    <w:rsid w:val="002F30A5"/>
    <w:rsid w:val="002F3C43"/>
    <w:rsid w:val="002F690B"/>
    <w:rsid w:val="003037BC"/>
    <w:rsid w:val="003105D4"/>
    <w:rsid w:val="003113C9"/>
    <w:rsid w:val="003156DF"/>
    <w:rsid w:val="003179BC"/>
    <w:rsid w:val="00323BB5"/>
    <w:rsid w:val="00324861"/>
    <w:rsid w:val="00334EB6"/>
    <w:rsid w:val="003429F0"/>
    <w:rsid w:val="00355745"/>
    <w:rsid w:val="00355A2E"/>
    <w:rsid w:val="00356B07"/>
    <w:rsid w:val="00364C9A"/>
    <w:rsid w:val="003768D1"/>
    <w:rsid w:val="003834EF"/>
    <w:rsid w:val="003861E0"/>
    <w:rsid w:val="003864BB"/>
    <w:rsid w:val="0039278E"/>
    <w:rsid w:val="00393ED7"/>
    <w:rsid w:val="003A07EF"/>
    <w:rsid w:val="003A1B38"/>
    <w:rsid w:val="003A1F23"/>
    <w:rsid w:val="003B3849"/>
    <w:rsid w:val="003C0031"/>
    <w:rsid w:val="003C77B4"/>
    <w:rsid w:val="003E6FB9"/>
    <w:rsid w:val="003F2A7C"/>
    <w:rsid w:val="003F2F71"/>
    <w:rsid w:val="004227F7"/>
    <w:rsid w:val="004243C6"/>
    <w:rsid w:val="004446B7"/>
    <w:rsid w:val="00445BF2"/>
    <w:rsid w:val="004472F3"/>
    <w:rsid w:val="00453FFD"/>
    <w:rsid w:val="00460C8C"/>
    <w:rsid w:val="004612C8"/>
    <w:rsid w:val="00467743"/>
    <w:rsid w:val="00485F17"/>
    <w:rsid w:val="0048635A"/>
    <w:rsid w:val="00496576"/>
    <w:rsid w:val="004B5A47"/>
    <w:rsid w:val="004B7E4A"/>
    <w:rsid w:val="004C4475"/>
    <w:rsid w:val="004D7C9E"/>
    <w:rsid w:val="004E2D58"/>
    <w:rsid w:val="004F36DC"/>
    <w:rsid w:val="00506619"/>
    <w:rsid w:val="00512772"/>
    <w:rsid w:val="00517CB3"/>
    <w:rsid w:val="00520DC6"/>
    <w:rsid w:val="00527968"/>
    <w:rsid w:val="005424D4"/>
    <w:rsid w:val="00545794"/>
    <w:rsid w:val="0056430E"/>
    <w:rsid w:val="00565949"/>
    <w:rsid w:val="00572316"/>
    <w:rsid w:val="005769C4"/>
    <w:rsid w:val="00580E66"/>
    <w:rsid w:val="005A6C29"/>
    <w:rsid w:val="005B3E4F"/>
    <w:rsid w:val="005B573A"/>
    <w:rsid w:val="005B7F18"/>
    <w:rsid w:val="005C67A2"/>
    <w:rsid w:val="005D3C8C"/>
    <w:rsid w:val="005E7355"/>
    <w:rsid w:val="005F5CA2"/>
    <w:rsid w:val="00600A0D"/>
    <w:rsid w:val="006011E4"/>
    <w:rsid w:val="006105C7"/>
    <w:rsid w:val="00616490"/>
    <w:rsid w:val="006200BF"/>
    <w:rsid w:val="006222C0"/>
    <w:rsid w:val="006275F9"/>
    <w:rsid w:val="0063096B"/>
    <w:rsid w:val="00640492"/>
    <w:rsid w:val="00663BA2"/>
    <w:rsid w:val="00670B0F"/>
    <w:rsid w:val="0067260F"/>
    <w:rsid w:val="006726F6"/>
    <w:rsid w:val="006911FB"/>
    <w:rsid w:val="0069395E"/>
    <w:rsid w:val="00694F4D"/>
    <w:rsid w:val="006A3C71"/>
    <w:rsid w:val="006C662B"/>
    <w:rsid w:val="006D16C7"/>
    <w:rsid w:val="006D6488"/>
    <w:rsid w:val="006D7707"/>
    <w:rsid w:val="006E3D3F"/>
    <w:rsid w:val="006F6761"/>
    <w:rsid w:val="006F6EA2"/>
    <w:rsid w:val="007079AD"/>
    <w:rsid w:val="007101D8"/>
    <w:rsid w:val="0072691A"/>
    <w:rsid w:val="00731782"/>
    <w:rsid w:val="00733C41"/>
    <w:rsid w:val="00740B72"/>
    <w:rsid w:val="00745471"/>
    <w:rsid w:val="00745763"/>
    <w:rsid w:val="00752EC5"/>
    <w:rsid w:val="00756DEF"/>
    <w:rsid w:val="00765FD5"/>
    <w:rsid w:val="00780C02"/>
    <w:rsid w:val="00790AD6"/>
    <w:rsid w:val="007A0117"/>
    <w:rsid w:val="007D1C35"/>
    <w:rsid w:val="007F3778"/>
    <w:rsid w:val="007F57FF"/>
    <w:rsid w:val="007F60E2"/>
    <w:rsid w:val="00803006"/>
    <w:rsid w:val="008040EC"/>
    <w:rsid w:val="00804141"/>
    <w:rsid w:val="00824A6F"/>
    <w:rsid w:val="00827E6A"/>
    <w:rsid w:val="0083742E"/>
    <w:rsid w:val="00842C31"/>
    <w:rsid w:val="0087400E"/>
    <w:rsid w:val="008825CF"/>
    <w:rsid w:val="008915E2"/>
    <w:rsid w:val="00892655"/>
    <w:rsid w:val="008A0D0A"/>
    <w:rsid w:val="008A19F6"/>
    <w:rsid w:val="008A2B49"/>
    <w:rsid w:val="008A4C90"/>
    <w:rsid w:val="008A552A"/>
    <w:rsid w:val="008B58D2"/>
    <w:rsid w:val="008C7820"/>
    <w:rsid w:val="008D3544"/>
    <w:rsid w:val="008D5CB8"/>
    <w:rsid w:val="008F0113"/>
    <w:rsid w:val="00905C27"/>
    <w:rsid w:val="00916D8E"/>
    <w:rsid w:val="00925EAD"/>
    <w:rsid w:val="0092717F"/>
    <w:rsid w:val="00932FF8"/>
    <w:rsid w:val="009538CD"/>
    <w:rsid w:val="00955B7E"/>
    <w:rsid w:val="00976EF6"/>
    <w:rsid w:val="009B0D04"/>
    <w:rsid w:val="009B2149"/>
    <w:rsid w:val="009B2DDD"/>
    <w:rsid w:val="009B3024"/>
    <w:rsid w:val="009C5F70"/>
    <w:rsid w:val="009E4B9B"/>
    <w:rsid w:val="00A041F8"/>
    <w:rsid w:val="00A27475"/>
    <w:rsid w:val="00A3118B"/>
    <w:rsid w:val="00A43A41"/>
    <w:rsid w:val="00A5635D"/>
    <w:rsid w:val="00A62953"/>
    <w:rsid w:val="00AE0C6C"/>
    <w:rsid w:val="00AF30A3"/>
    <w:rsid w:val="00B05A0B"/>
    <w:rsid w:val="00B13A2C"/>
    <w:rsid w:val="00B170AA"/>
    <w:rsid w:val="00B44BC7"/>
    <w:rsid w:val="00B56D27"/>
    <w:rsid w:val="00B81EA1"/>
    <w:rsid w:val="00B84701"/>
    <w:rsid w:val="00B9256D"/>
    <w:rsid w:val="00B95A61"/>
    <w:rsid w:val="00BA272A"/>
    <w:rsid w:val="00BA2E11"/>
    <w:rsid w:val="00BA7332"/>
    <w:rsid w:val="00BB4F0C"/>
    <w:rsid w:val="00BE625C"/>
    <w:rsid w:val="00C11FDC"/>
    <w:rsid w:val="00C1326D"/>
    <w:rsid w:val="00C13804"/>
    <w:rsid w:val="00C349E6"/>
    <w:rsid w:val="00C34ED8"/>
    <w:rsid w:val="00C42EFD"/>
    <w:rsid w:val="00C514B5"/>
    <w:rsid w:val="00C668F3"/>
    <w:rsid w:val="00C67143"/>
    <w:rsid w:val="00C823D4"/>
    <w:rsid w:val="00CB1311"/>
    <w:rsid w:val="00CB73CF"/>
    <w:rsid w:val="00CD491C"/>
    <w:rsid w:val="00CD4F2B"/>
    <w:rsid w:val="00CF3952"/>
    <w:rsid w:val="00D05532"/>
    <w:rsid w:val="00D13275"/>
    <w:rsid w:val="00D52EE9"/>
    <w:rsid w:val="00D62729"/>
    <w:rsid w:val="00D7225F"/>
    <w:rsid w:val="00D728D8"/>
    <w:rsid w:val="00D86F41"/>
    <w:rsid w:val="00D94D41"/>
    <w:rsid w:val="00DB4825"/>
    <w:rsid w:val="00DB4A3E"/>
    <w:rsid w:val="00DD55B9"/>
    <w:rsid w:val="00DE171F"/>
    <w:rsid w:val="00E02CF3"/>
    <w:rsid w:val="00E21A00"/>
    <w:rsid w:val="00E37FA5"/>
    <w:rsid w:val="00E407E7"/>
    <w:rsid w:val="00E421D6"/>
    <w:rsid w:val="00E45F01"/>
    <w:rsid w:val="00E56780"/>
    <w:rsid w:val="00E72D09"/>
    <w:rsid w:val="00E95E60"/>
    <w:rsid w:val="00EA3225"/>
    <w:rsid w:val="00EA3431"/>
    <w:rsid w:val="00EC0114"/>
    <w:rsid w:val="00EC1815"/>
    <w:rsid w:val="00ED62D5"/>
    <w:rsid w:val="00F0220B"/>
    <w:rsid w:val="00F024C0"/>
    <w:rsid w:val="00F13031"/>
    <w:rsid w:val="00F1403F"/>
    <w:rsid w:val="00F230D9"/>
    <w:rsid w:val="00F35D44"/>
    <w:rsid w:val="00F618E4"/>
    <w:rsid w:val="00F65B26"/>
    <w:rsid w:val="00F8192B"/>
    <w:rsid w:val="00F85616"/>
    <w:rsid w:val="00F9173B"/>
    <w:rsid w:val="00FB213B"/>
    <w:rsid w:val="00FB50E5"/>
    <w:rsid w:val="00FB5F98"/>
    <w:rsid w:val="00FC45B1"/>
    <w:rsid w:val="00FD0F1C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0F8C4D"/>
  <w15:docId w15:val="{4A5DD9FF-296B-4A0D-8380-CF6BB22D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3C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A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1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041F8"/>
    <w:pPr>
      <w:spacing w:after="120" w:line="260" w:lineRule="exact"/>
    </w:pPr>
    <w:rPr>
      <w:rFonts w:ascii="Arial" w:eastAsia="Times" w:hAnsi="Arial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rsid w:val="00A041F8"/>
    <w:rPr>
      <w:rFonts w:ascii="Arial" w:eastAsia="Times" w:hAnsi="Arial"/>
      <w:color w:val="000000"/>
      <w:szCs w:val="24"/>
    </w:rPr>
  </w:style>
  <w:style w:type="paragraph" w:styleId="Header">
    <w:name w:val="header"/>
    <w:basedOn w:val="Normal"/>
    <w:link w:val="HeaderChar"/>
    <w:rsid w:val="00A04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41F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4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1F8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041F8"/>
  </w:style>
  <w:style w:type="paragraph" w:styleId="ListParagraph">
    <w:name w:val="List Paragraph"/>
    <w:basedOn w:val="BodyText"/>
    <w:link w:val="ListParagraphChar"/>
    <w:uiPriority w:val="34"/>
    <w:qFormat/>
    <w:rsid w:val="00B9256D"/>
    <w:pPr>
      <w:spacing w:line="264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41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1F8"/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041F8"/>
    <w:rPr>
      <w:vertAlign w:val="superscript"/>
    </w:rPr>
  </w:style>
  <w:style w:type="paragraph" w:customStyle="1" w:styleId="CmqHeading1">
    <w:name w:val="Cmq Heading 1"/>
    <w:basedOn w:val="Heading3"/>
    <w:link w:val="CmqHeading1Char"/>
    <w:autoRedefine/>
    <w:qFormat/>
    <w:rsid w:val="00F35D44"/>
    <w:pPr>
      <w:keepLines w:val="0"/>
      <w:spacing w:before="360" w:after="120"/>
    </w:pPr>
    <w:rPr>
      <w:rFonts w:ascii="Arial Bold" w:eastAsia="Times" w:hAnsi="Arial Bold" w:cs="Arial"/>
      <w:bCs w:val="0"/>
      <w:caps/>
      <w:color w:val="auto"/>
      <w:sz w:val="26"/>
      <w:szCs w:val="26"/>
    </w:rPr>
  </w:style>
  <w:style w:type="paragraph" w:customStyle="1" w:styleId="Cmqheading2">
    <w:name w:val="Cmq heading 2"/>
    <w:basedOn w:val="BodyText"/>
    <w:link w:val="Cmqheading2Char"/>
    <w:qFormat/>
    <w:rsid w:val="00731782"/>
    <w:pPr>
      <w:keepNext/>
      <w:spacing w:before="360" w:after="240" w:line="240" w:lineRule="auto"/>
    </w:pPr>
    <w:rPr>
      <w:rFonts w:cs="Arial"/>
      <w:b/>
      <w:bCs/>
      <w:i/>
      <w:caps/>
    </w:rPr>
  </w:style>
  <w:style w:type="character" w:customStyle="1" w:styleId="CmqHeading1Char">
    <w:name w:val="Cmq Heading 1 Char"/>
    <w:basedOn w:val="Heading3Char"/>
    <w:link w:val="CmqHeading1"/>
    <w:rsid w:val="00F35D44"/>
    <w:rPr>
      <w:rFonts w:ascii="Arial Bold" w:eastAsia="Times" w:hAnsi="Arial Bold" w:cs="Arial"/>
      <w:b/>
      <w:bCs w:val="0"/>
      <w:caps/>
      <w:color w:val="4F81BD" w:themeColor="accent1"/>
      <w:sz w:val="26"/>
      <w:szCs w:val="26"/>
    </w:rPr>
  </w:style>
  <w:style w:type="paragraph" w:customStyle="1" w:styleId="Cmqheading3">
    <w:name w:val="Cmq heading 3"/>
    <w:basedOn w:val="Heading3"/>
    <w:link w:val="Cmqheading3Char"/>
    <w:qFormat/>
    <w:rsid w:val="00355A2E"/>
    <w:pPr>
      <w:keepNext w:val="0"/>
      <w:keepLines w:val="0"/>
      <w:spacing w:before="240" w:after="120" w:line="23" w:lineRule="atLeast"/>
      <w:ind w:left="1191" w:hanging="1191"/>
      <w:contextualSpacing/>
      <w:outlineLvl w:val="9"/>
    </w:pPr>
    <w:rPr>
      <w:rFonts w:ascii="Arial" w:eastAsiaTheme="minorHAnsi" w:hAnsi="Arial" w:cs="Arial"/>
      <w:bCs w:val="0"/>
      <w:color w:val="auto"/>
      <w:sz w:val="22"/>
      <w:szCs w:val="22"/>
    </w:rPr>
  </w:style>
  <w:style w:type="character" w:customStyle="1" w:styleId="Cmqheading2Char">
    <w:name w:val="Cmq heading 2 Char"/>
    <w:basedOn w:val="BodyTextChar"/>
    <w:link w:val="Cmqheading2"/>
    <w:rsid w:val="00731782"/>
    <w:rPr>
      <w:rFonts w:ascii="Arial" w:eastAsia="Times" w:hAnsi="Arial" w:cs="Arial"/>
      <w:b/>
      <w:bCs/>
      <w:i/>
      <w:caps/>
      <w:color w:val="000000"/>
      <w:szCs w:val="24"/>
    </w:rPr>
  </w:style>
  <w:style w:type="paragraph" w:customStyle="1" w:styleId="CmqTitle1">
    <w:name w:val="Cmq Title 1"/>
    <w:basedOn w:val="Normal"/>
    <w:qFormat/>
    <w:rsid w:val="00A041F8"/>
    <w:pPr>
      <w:spacing w:before="120" w:after="120" w:line="260" w:lineRule="exact"/>
      <w:jc w:val="center"/>
    </w:pPr>
    <w:rPr>
      <w:rFonts w:ascii="Arial" w:hAnsi="Arial" w:cs="Arial"/>
      <w:b/>
      <w:bCs/>
      <w:color w:val="000000"/>
      <w:szCs w:val="28"/>
    </w:rPr>
  </w:style>
  <w:style w:type="character" w:customStyle="1" w:styleId="Cmqheading3Char">
    <w:name w:val="Cmq heading 3 Char"/>
    <w:basedOn w:val="Heading3Char"/>
    <w:link w:val="Cmqheading3"/>
    <w:rsid w:val="00355A2E"/>
    <w:rPr>
      <w:rFonts w:ascii="Arial" w:eastAsiaTheme="majorEastAsia" w:hAnsi="Arial" w:cs="Arial"/>
      <w:b/>
      <w:bCs w:val="0"/>
      <w:color w:val="4F81BD" w:themeColor="accent1"/>
      <w:sz w:val="24"/>
      <w:szCs w:val="24"/>
    </w:rPr>
  </w:style>
  <w:style w:type="paragraph" w:customStyle="1" w:styleId="CmqTitle2">
    <w:name w:val="Cmq Title 2"/>
    <w:basedOn w:val="Normal"/>
    <w:qFormat/>
    <w:rsid w:val="00A041F8"/>
    <w:pPr>
      <w:pBdr>
        <w:top w:val="single" w:sz="4" w:space="12" w:color="auto"/>
        <w:bottom w:val="single" w:sz="4" w:space="12" w:color="auto"/>
      </w:pBdr>
      <w:ind w:left="360"/>
      <w:jc w:val="center"/>
    </w:pPr>
    <w:rPr>
      <w:rFonts w:ascii="Arial" w:eastAsia="Times" w:hAnsi="Arial" w:cs="Arial"/>
      <w:b/>
      <w:i/>
      <w:iCs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256D"/>
    <w:rPr>
      <w:rFonts w:ascii="Arial" w:eastAsia="Times" w:hAnsi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A041F8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A041F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1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8E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3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4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43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431"/>
    <w:rPr>
      <w:rFonts w:ascii="Times New Roman" w:hAnsi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C823D4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2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62F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A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21504"/>
    <w:pPr>
      <w:spacing w:before="100" w:beforeAutospacing="1" w:after="100" w:afterAutospacing="1"/>
    </w:pPr>
    <w:rPr>
      <w:rFonts w:eastAsia="Times New Roman" w:cs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F3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18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ogtr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CB4C-CAF8-4E5E-8A24-3C289D1B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Communiqué of GTTAC meeting 26 July 2021</vt:lpstr>
    </vt:vector>
  </TitlesOfParts>
  <Company>Dept Health And Ageing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of GTTAC meeting 28 September 2021</dc:title>
  <dc:creator>OGTR.Voicemail@health.gov.au</dc:creator>
  <cp:lastModifiedBy>SMITH, Justine</cp:lastModifiedBy>
  <cp:revision>2</cp:revision>
  <dcterms:created xsi:type="dcterms:W3CDTF">2021-12-09T02:27:00Z</dcterms:created>
  <dcterms:modified xsi:type="dcterms:W3CDTF">2021-12-09T02:27:00Z</dcterms:modified>
</cp:coreProperties>
</file>