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6A38C" w14:textId="77777777" w:rsidR="005534E0" w:rsidRDefault="000A204E">
      <w:pPr>
        <w:pStyle w:val="BodyText"/>
        <w:ind w:left="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6654AC" wp14:editId="7EE1F149">
            <wp:extent cx="7473665" cy="3413759"/>
            <wp:effectExtent l="0" t="0" r="0" b="0"/>
            <wp:docPr id="1" name="image1.jpeg" descr="Department of Health logo and heading ban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Department of Health logo and heading banner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73665" cy="34137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D22A1" w14:textId="77777777" w:rsidR="005534E0" w:rsidRDefault="005534E0">
      <w:pPr>
        <w:rPr>
          <w:rFonts w:ascii="Times New Roman"/>
          <w:sz w:val="20"/>
        </w:rPr>
        <w:sectPr w:rsidR="005534E0">
          <w:type w:val="continuous"/>
          <w:pgSz w:w="11910" w:h="16840"/>
          <w:pgMar w:top="180" w:right="20" w:bottom="0" w:left="0" w:header="720" w:footer="720" w:gutter="0"/>
          <w:cols w:space="720"/>
        </w:sectPr>
      </w:pPr>
    </w:p>
    <w:p w14:paraId="05663C21" w14:textId="7BC88F52" w:rsidR="005534E0" w:rsidRDefault="000A204E">
      <w:pPr>
        <w:pStyle w:val="BodyText"/>
        <w:spacing w:before="98"/>
        <w:ind w:left="852" w:right="-1"/>
      </w:pPr>
      <w:r>
        <w:t>The Gene Technology Regulator (the</w:t>
      </w:r>
      <w:r>
        <w:rPr>
          <w:spacing w:val="1"/>
        </w:rPr>
        <w:t xml:space="preserve"> </w:t>
      </w:r>
      <w:r>
        <w:t>Regulator) has become aware that</w:t>
      </w:r>
      <w:r>
        <w:rPr>
          <w:spacing w:val="1"/>
        </w:rPr>
        <w:t xml:space="preserve"> </w:t>
      </w:r>
      <w:proofErr w:type="spellStart"/>
      <w:r>
        <w:t>unauthorised</w:t>
      </w:r>
      <w:proofErr w:type="spellEnd"/>
      <w:r>
        <w:rPr>
          <w:spacing w:val="-7"/>
        </w:rPr>
        <w:t xml:space="preserve"> </w:t>
      </w:r>
      <w:r>
        <w:t>genetically</w:t>
      </w:r>
      <w:r>
        <w:rPr>
          <w:spacing w:val="-6"/>
        </w:rPr>
        <w:t xml:space="preserve"> </w:t>
      </w:r>
      <w:r>
        <w:t>modified</w:t>
      </w:r>
      <w:r>
        <w:rPr>
          <w:spacing w:val="-6"/>
        </w:rPr>
        <w:t xml:space="preserve"> </w:t>
      </w:r>
      <w:r>
        <w:t>(GM)</w:t>
      </w:r>
      <w:r>
        <w:rPr>
          <w:spacing w:val="-45"/>
        </w:rPr>
        <w:t xml:space="preserve"> </w:t>
      </w:r>
      <w:r>
        <w:t>petunias have entered the Australian</w:t>
      </w:r>
      <w:r>
        <w:rPr>
          <w:spacing w:val="1"/>
        </w:rPr>
        <w:t xml:space="preserve"> </w:t>
      </w:r>
      <w:r>
        <w:t>and international markets. Although an</w:t>
      </w:r>
      <w:r>
        <w:rPr>
          <w:spacing w:val="1"/>
        </w:rPr>
        <w:t xml:space="preserve"> </w:t>
      </w:r>
      <w:hyperlink r:id="rId6" w:history="1">
        <w:r w:rsidRPr="000A204E">
          <w:rPr>
            <w:rStyle w:val="Hyperlink"/>
          </w:rPr>
          <w:t>OGTR assessment</w:t>
        </w:r>
      </w:hyperlink>
      <w:r w:rsidRPr="000A204E">
        <w:t xml:space="preserve"> </w:t>
      </w:r>
      <w:r>
        <w:t>has found that</w:t>
      </w:r>
      <w:r>
        <w:rPr>
          <w:spacing w:val="1"/>
        </w:rPr>
        <w:t xml:space="preserve"> </w:t>
      </w:r>
      <w:r>
        <w:t>these GM petunias do not pose a risk,</w:t>
      </w:r>
      <w:r>
        <w:rPr>
          <w:spacing w:val="1"/>
        </w:rPr>
        <w:t xml:space="preserve"> </w:t>
      </w:r>
      <w:r>
        <w:t>they have not been approved for</w:t>
      </w:r>
      <w:r>
        <w:rPr>
          <w:spacing w:val="1"/>
        </w:rPr>
        <w:t xml:space="preserve"> </w:t>
      </w:r>
      <w:r>
        <w:t>commercial release in Australia and</w:t>
      </w:r>
      <w:r>
        <w:rPr>
          <w:spacing w:val="1"/>
        </w:rPr>
        <w:t xml:space="preserve"> </w:t>
      </w:r>
      <w:r>
        <w:t>therefore</w:t>
      </w:r>
      <w:r>
        <w:rPr>
          <w:spacing w:val="-3"/>
        </w:rPr>
        <w:t xml:space="preserve"> </w:t>
      </w:r>
      <w:r>
        <w:t>must not be</w:t>
      </w:r>
      <w:r>
        <w:rPr>
          <w:spacing w:val="-3"/>
        </w:rPr>
        <w:t xml:space="preserve"> </w:t>
      </w:r>
      <w:r>
        <w:t>marketed.</w:t>
      </w:r>
    </w:p>
    <w:p w14:paraId="3E1D75F6" w14:textId="77777777" w:rsidR="005534E0" w:rsidRDefault="000A204E">
      <w:pPr>
        <w:pStyle w:val="BodyText"/>
        <w:spacing w:before="61"/>
        <w:ind w:left="852" w:right="1"/>
      </w:pPr>
      <w:r>
        <w:t>Petunia plants are unlikely to survive</w:t>
      </w:r>
      <w:r>
        <w:rPr>
          <w:spacing w:val="1"/>
        </w:rPr>
        <w:t xml:space="preserve"> </w:t>
      </w:r>
      <w:r>
        <w:t>without human help. The GM petunias</w:t>
      </w:r>
      <w:r>
        <w:rPr>
          <w:spacing w:val="1"/>
        </w:rPr>
        <w:t xml:space="preserve"> </w:t>
      </w:r>
      <w:r>
        <w:t>can be left to die naturally. If you don’t</w:t>
      </w:r>
      <w:r>
        <w:rPr>
          <w:spacing w:val="1"/>
        </w:rPr>
        <w:t xml:space="preserve"> </w:t>
      </w:r>
      <w:r>
        <w:t>want to wait for them to die naturally</w:t>
      </w:r>
      <w:r>
        <w:rPr>
          <w:spacing w:val="1"/>
        </w:rPr>
        <w:t xml:space="preserve"> </w:t>
      </w:r>
      <w:r>
        <w:t>the Regulator has provided the</w:t>
      </w:r>
      <w:r>
        <w:rPr>
          <w:spacing w:val="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instructions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disposal</w:t>
      </w:r>
      <w:r>
        <w:rPr>
          <w:spacing w:val="-4"/>
        </w:rPr>
        <w:t xml:space="preserve"> </w:t>
      </w:r>
      <w:r>
        <w:t>of</w:t>
      </w:r>
      <w:r>
        <w:rPr>
          <w:spacing w:val="-44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petunias and</w:t>
      </w:r>
      <w:r>
        <w:rPr>
          <w:spacing w:val="-2"/>
        </w:rPr>
        <w:t xml:space="preserve"> </w:t>
      </w:r>
      <w:r>
        <w:t>their seeds.</w:t>
      </w:r>
    </w:p>
    <w:p w14:paraId="0B432C25" w14:textId="77777777" w:rsidR="005534E0" w:rsidRDefault="000A204E">
      <w:pPr>
        <w:pStyle w:val="Heading1"/>
      </w:pPr>
      <w:r>
        <w:rPr>
          <w:b w:val="0"/>
        </w:rPr>
        <w:br w:type="column"/>
      </w:r>
      <w:bookmarkStart w:id="0" w:name="Live_GM_petunia_plants"/>
      <w:bookmarkEnd w:id="0"/>
      <w:r>
        <w:t>Live</w:t>
      </w:r>
      <w:r>
        <w:rPr>
          <w:spacing w:val="-2"/>
        </w:rPr>
        <w:t xml:space="preserve"> </w:t>
      </w:r>
      <w:r>
        <w:t>GM</w:t>
      </w:r>
      <w:r>
        <w:rPr>
          <w:spacing w:val="-1"/>
        </w:rPr>
        <w:t xml:space="preserve"> </w:t>
      </w:r>
      <w:r>
        <w:t>petunia</w:t>
      </w:r>
      <w:r>
        <w:rPr>
          <w:spacing w:val="-1"/>
        </w:rPr>
        <w:t xml:space="preserve"> </w:t>
      </w:r>
      <w:r>
        <w:t>plants</w:t>
      </w:r>
    </w:p>
    <w:p w14:paraId="2B014FC0" w14:textId="77777777" w:rsidR="005534E0" w:rsidRDefault="000A204E">
      <w:pPr>
        <w:pStyle w:val="BodyText"/>
        <w:spacing w:before="121"/>
        <w:ind w:left="616"/>
      </w:pPr>
      <w:r>
        <w:t>Any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disposal</w:t>
      </w:r>
      <w:r>
        <w:rPr>
          <w:spacing w:val="-3"/>
        </w:rPr>
        <w:t xml:space="preserve"> </w:t>
      </w:r>
      <w:r>
        <w:t>including:</w:t>
      </w:r>
    </w:p>
    <w:p w14:paraId="6C5D3717" w14:textId="77777777" w:rsidR="005534E0" w:rsidRDefault="000A204E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62" w:line="254" w:lineRule="auto"/>
        <w:ind w:right="100"/>
        <w:rPr>
          <w:sz w:val="17"/>
        </w:rPr>
      </w:pPr>
      <w:r>
        <w:rPr>
          <w:sz w:val="17"/>
        </w:rPr>
        <w:t xml:space="preserve">application of </w:t>
      </w:r>
      <w:proofErr w:type="gramStart"/>
      <w:r>
        <w:rPr>
          <w:sz w:val="17"/>
        </w:rPr>
        <w:t>a</w:t>
      </w:r>
      <w:proofErr w:type="gramEnd"/>
      <w:r>
        <w:rPr>
          <w:sz w:val="17"/>
        </w:rPr>
        <w:t xml:space="preserve"> herbicide that is</w:t>
      </w:r>
      <w:r>
        <w:rPr>
          <w:spacing w:val="1"/>
          <w:sz w:val="17"/>
        </w:rPr>
        <w:t xml:space="preserve"> </w:t>
      </w:r>
      <w:r>
        <w:rPr>
          <w:sz w:val="17"/>
        </w:rPr>
        <w:t>effective</w:t>
      </w:r>
      <w:r>
        <w:rPr>
          <w:spacing w:val="-5"/>
          <w:sz w:val="17"/>
        </w:rPr>
        <w:t xml:space="preserve"> </w:t>
      </w:r>
      <w:r>
        <w:rPr>
          <w:sz w:val="17"/>
        </w:rPr>
        <w:t>in</w:t>
      </w:r>
      <w:r>
        <w:rPr>
          <w:spacing w:val="-5"/>
          <w:sz w:val="17"/>
        </w:rPr>
        <w:t xml:space="preserve"> </w:t>
      </w:r>
      <w:r>
        <w:rPr>
          <w:sz w:val="17"/>
        </w:rPr>
        <w:t>killing</w:t>
      </w:r>
      <w:r>
        <w:rPr>
          <w:spacing w:val="-4"/>
          <w:sz w:val="17"/>
        </w:rPr>
        <w:t xml:space="preserve"> </w:t>
      </w:r>
      <w:r>
        <w:rPr>
          <w:sz w:val="17"/>
        </w:rPr>
        <w:t>Petunia</w:t>
      </w:r>
      <w:r>
        <w:rPr>
          <w:spacing w:val="-5"/>
          <w:sz w:val="17"/>
        </w:rPr>
        <w:t xml:space="preserve"> </w:t>
      </w:r>
      <w:r>
        <w:rPr>
          <w:sz w:val="17"/>
        </w:rPr>
        <w:t>plants;</w:t>
      </w:r>
    </w:p>
    <w:p w14:paraId="4F174BFD" w14:textId="77777777" w:rsidR="005534E0" w:rsidRDefault="000A204E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ind w:hanging="294"/>
        <w:rPr>
          <w:sz w:val="17"/>
        </w:rPr>
      </w:pPr>
      <w:proofErr w:type="gramStart"/>
      <w:r>
        <w:rPr>
          <w:sz w:val="17"/>
        </w:rPr>
        <w:t>uprooting;</w:t>
      </w:r>
      <w:proofErr w:type="gramEnd"/>
    </w:p>
    <w:p w14:paraId="4BCB12A2" w14:textId="77777777" w:rsidR="005534E0" w:rsidRDefault="000A204E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5"/>
        <w:ind w:hanging="294"/>
        <w:rPr>
          <w:sz w:val="17"/>
        </w:rPr>
      </w:pPr>
      <w:proofErr w:type="gramStart"/>
      <w:r>
        <w:rPr>
          <w:sz w:val="17"/>
        </w:rPr>
        <w:t>desiccation;</w:t>
      </w:r>
      <w:proofErr w:type="gramEnd"/>
    </w:p>
    <w:p w14:paraId="4896B601" w14:textId="77777777" w:rsidR="005534E0" w:rsidRDefault="000A204E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5"/>
        <w:ind w:hanging="294"/>
        <w:rPr>
          <w:sz w:val="17"/>
        </w:rPr>
      </w:pPr>
      <w:r>
        <w:rPr>
          <w:sz w:val="17"/>
        </w:rPr>
        <w:t>incineration;</w:t>
      </w:r>
      <w:r>
        <w:rPr>
          <w:spacing w:val="-5"/>
          <w:sz w:val="17"/>
        </w:rPr>
        <w:t xml:space="preserve"> </w:t>
      </w:r>
      <w:r>
        <w:rPr>
          <w:sz w:val="17"/>
        </w:rPr>
        <w:t>or</w:t>
      </w:r>
    </w:p>
    <w:p w14:paraId="58D12671" w14:textId="77777777" w:rsidR="005534E0" w:rsidRDefault="000A204E">
      <w:pPr>
        <w:pStyle w:val="ListParagraph"/>
        <w:numPr>
          <w:ilvl w:val="0"/>
          <w:numId w:val="1"/>
        </w:numPr>
        <w:tabs>
          <w:tab w:val="left" w:pos="900"/>
          <w:tab w:val="left" w:pos="901"/>
        </w:tabs>
        <w:spacing w:before="13" w:line="256" w:lineRule="auto"/>
        <w:ind w:hanging="296"/>
        <w:rPr>
          <w:sz w:val="17"/>
        </w:rPr>
      </w:pPr>
      <w:r>
        <w:rPr>
          <w:sz w:val="17"/>
        </w:rPr>
        <w:t>any</w:t>
      </w:r>
      <w:r>
        <w:rPr>
          <w:spacing w:val="-4"/>
          <w:sz w:val="17"/>
        </w:rPr>
        <w:t xml:space="preserve"> </w:t>
      </w:r>
      <w:r>
        <w:rPr>
          <w:sz w:val="17"/>
        </w:rPr>
        <w:t>method</w:t>
      </w:r>
      <w:r>
        <w:rPr>
          <w:spacing w:val="-4"/>
          <w:sz w:val="17"/>
        </w:rPr>
        <w:t xml:space="preserve"> </w:t>
      </w:r>
      <w:r>
        <w:rPr>
          <w:sz w:val="17"/>
        </w:rPr>
        <w:t>expected</w:t>
      </w:r>
      <w:r>
        <w:rPr>
          <w:spacing w:val="-4"/>
          <w:sz w:val="17"/>
        </w:rPr>
        <w:t xml:space="preserve"> </w:t>
      </w:r>
      <w:r>
        <w:rPr>
          <w:sz w:val="17"/>
        </w:rPr>
        <w:t>by</w:t>
      </w:r>
      <w:r>
        <w:rPr>
          <w:spacing w:val="-3"/>
          <w:sz w:val="17"/>
        </w:rPr>
        <w:t xml:space="preserve"> </w:t>
      </w:r>
      <w:r>
        <w:rPr>
          <w:sz w:val="17"/>
        </w:rPr>
        <w:t>a</w:t>
      </w:r>
      <w:r>
        <w:rPr>
          <w:spacing w:val="-4"/>
          <w:sz w:val="17"/>
        </w:rPr>
        <w:t xml:space="preserve"> </w:t>
      </w:r>
      <w:r>
        <w:rPr>
          <w:sz w:val="17"/>
        </w:rPr>
        <w:t>person</w:t>
      </w:r>
      <w:r>
        <w:rPr>
          <w:spacing w:val="-44"/>
          <w:sz w:val="17"/>
        </w:rPr>
        <w:t xml:space="preserve"> </w:t>
      </w:r>
      <w:r>
        <w:rPr>
          <w:sz w:val="17"/>
        </w:rPr>
        <w:t>growing Petunia to</w:t>
      </w:r>
      <w:r>
        <w:rPr>
          <w:spacing w:val="1"/>
          <w:sz w:val="17"/>
        </w:rPr>
        <w:t xml:space="preserve"> </w:t>
      </w:r>
      <w:r>
        <w:rPr>
          <w:sz w:val="17"/>
        </w:rPr>
        <w:t>kill Petunia</w:t>
      </w:r>
      <w:r>
        <w:rPr>
          <w:spacing w:val="1"/>
          <w:sz w:val="17"/>
        </w:rPr>
        <w:t xml:space="preserve"> </w:t>
      </w:r>
      <w:r>
        <w:rPr>
          <w:sz w:val="17"/>
        </w:rPr>
        <w:t>plants.</w:t>
      </w:r>
    </w:p>
    <w:p w14:paraId="6ABCB456" w14:textId="77777777" w:rsidR="005534E0" w:rsidRDefault="000A204E">
      <w:pPr>
        <w:pStyle w:val="Heading1"/>
        <w:ind w:left="732"/>
      </w:pPr>
      <w:r>
        <w:rPr>
          <w:b w:val="0"/>
        </w:rPr>
        <w:br w:type="column"/>
      </w:r>
      <w:bookmarkStart w:id="1" w:name="Viable_GM_petunia_seeds"/>
      <w:bookmarkEnd w:id="1"/>
      <w:r>
        <w:t>Viable</w:t>
      </w:r>
      <w:r>
        <w:rPr>
          <w:spacing w:val="-1"/>
        </w:rPr>
        <w:t xml:space="preserve"> </w:t>
      </w:r>
      <w:r>
        <w:t>GM</w:t>
      </w:r>
      <w:r>
        <w:rPr>
          <w:spacing w:val="-3"/>
        </w:rPr>
        <w:t xml:space="preserve"> </w:t>
      </w:r>
      <w:r>
        <w:t>petunia seeds</w:t>
      </w:r>
    </w:p>
    <w:p w14:paraId="645F27AC" w14:textId="77777777" w:rsidR="005534E0" w:rsidRDefault="000A204E">
      <w:pPr>
        <w:pStyle w:val="BodyText"/>
        <w:spacing w:before="121"/>
        <w:ind w:left="732" w:right="1427"/>
      </w:pPr>
      <w:r>
        <w:t>Any of the following methods of</w:t>
      </w:r>
      <w:r>
        <w:rPr>
          <w:spacing w:val="-45"/>
        </w:rPr>
        <w:t xml:space="preserve"> </w:t>
      </w:r>
      <w:r>
        <w:t>disposal:</w:t>
      </w:r>
    </w:p>
    <w:p w14:paraId="3181E8EC" w14:textId="77777777" w:rsidR="005534E0" w:rsidRDefault="000A204E">
      <w:pPr>
        <w:pStyle w:val="ListParagraph"/>
        <w:numPr>
          <w:ilvl w:val="1"/>
          <w:numId w:val="1"/>
        </w:numPr>
        <w:tabs>
          <w:tab w:val="left" w:pos="1015"/>
          <w:tab w:val="left" w:pos="1016"/>
        </w:tabs>
        <w:spacing w:before="61"/>
        <w:ind w:left="1015" w:hanging="294"/>
        <w:rPr>
          <w:sz w:val="17"/>
        </w:rPr>
      </w:pPr>
      <w:proofErr w:type="gramStart"/>
      <w:r>
        <w:rPr>
          <w:sz w:val="17"/>
        </w:rPr>
        <w:t>incineration;</w:t>
      </w:r>
      <w:proofErr w:type="gramEnd"/>
    </w:p>
    <w:p w14:paraId="5FD16DBD" w14:textId="77777777" w:rsidR="005534E0" w:rsidRDefault="000A204E">
      <w:pPr>
        <w:pStyle w:val="ListParagraph"/>
        <w:numPr>
          <w:ilvl w:val="1"/>
          <w:numId w:val="1"/>
        </w:numPr>
        <w:tabs>
          <w:tab w:val="left" w:pos="1015"/>
          <w:tab w:val="left" w:pos="1016"/>
        </w:tabs>
        <w:spacing w:before="15"/>
        <w:ind w:left="1015" w:hanging="294"/>
        <w:rPr>
          <w:sz w:val="17"/>
        </w:rPr>
      </w:pPr>
      <w:proofErr w:type="gramStart"/>
      <w:r>
        <w:rPr>
          <w:sz w:val="17"/>
        </w:rPr>
        <w:t>autoclaving;</w:t>
      </w:r>
      <w:proofErr w:type="gramEnd"/>
    </w:p>
    <w:p w14:paraId="006BDADC" w14:textId="77777777" w:rsidR="005534E0" w:rsidRDefault="000A204E">
      <w:pPr>
        <w:pStyle w:val="ListParagraph"/>
        <w:numPr>
          <w:ilvl w:val="1"/>
          <w:numId w:val="1"/>
        </w:numPr>
        <w:tabs>
          <w:tab w:val="left" w:pos="1015"/>
          <w:tab w:val="left" w:pos="1017"/>
        </w:tabs>
        <w:spacing w:before="13" w:line="256" w:lineRule="auto"/>
        <w:ind w:right="1307"/>
        <w:rPr>
          <w:sz w:val="17"/>
        </w:rPr>
      </w:pPr>
      <w:r>
        <w:rPr>
          <w:sz w:val="17"/>
        </w:rPr>
        <w:t>boiling in water for at least 20</w:t>
      </w:r>
      <w:r>
        <w:rPr>
          <w:spacing w:val="-45"/>
          <w:sz w:val="17"/>
        </w:rPr>
        <w:t xml:space="preserve"> </w:t>
      </w:r>
      <w:proofErr w:type="gramStart"/>
      <w:r>
        <w:rPr>
          <w:sz w:val="17"/>
        </w:rPr>
        <w:t>minutes;</w:t>
      </w:r>
      <w:proofErr w:type="gramEnd"/>
    </w:p>
    <w:p w14:paraId="44B7CC50" w14:textId="77777777" w:rsidR="005534E0" w:rsidRDefault="000A204E">
      <w:pPr>
        <w:pStyle w:val="ListParagraph"/>
        <w:numPr>
          <w:ilvl w:val="1"/>
          <w:numId w:val="1"/>
        </w:numPr>
        <w:tabs>
          <w:tab w:val="left" w:pos="1017"/>
        </w:tabs>
        <w:spacing w:before="2" w:line="256" w:lineRule="auto"/>
        <w:ind w:right="911"/>
        <w:jc w:val="both"/>
        <w:rPr>
          <w:sz w:val="17"/>
        </w:rPr>
      </w:pPr>
      <w:r>
        <w:rPr>
          <w:sz w:val="17"/>
        </w:rPr>
        <w:t>heating, for instance in an oven, to</w:t>
      </w:r>
      <w:r>
        <w:rPr>
          <w:spacing w:val="-45"/>
          <w:sz w:val="17"/>
        </w:rPr>
        <w:t xml:space="preserve"> </w:t>
      </w:r>
      <w:r>
        <w:rPr>
          <w:sz w:val="17"/>
        </w:rPr>
        <w:t>a temperature of at least 150°C for</w:t>
      </w:r>
      <w:r>
        <w:rPr>
          <w:spacing w:val="-45"/>
          <w:sz w:val="17"/>
        </w:rPr>
        <w:t xml:space="preserve"> </w:t>
      </w:r>
      <w:r>
        <w:rPr>
          <w:sz w:val="17"/>
        </w:rPr>
        <w:t>at least</w:t>
      </w:r>
      <w:r>
        <w:rPr>
          <w:spacing w:val="1"/>
          <w:sz w:val="17"/>
        </w:rPr>
        <w:t xml:space="preserve"> </w:t>
      </w:r>
      <w:r>
        <w:rPr>
          <w:sz w:val="17"/>
        </w:rPr>
        <w:t>30</w:t>
      </w:r>
      <w:r>
        <w:rPr>
          <w:spacing w:val="-2"/>
          <w:sz w:val="17"/>
        </w:rPr>
        <w:t xml:space="preserve"> </w:t>
      </w:r>
      <w:proofErr w:type="gramStart"/>
      <w:r>
        <w:rPr>
          <w:sz w:val="17"/>
        </w:rPr>
        <w:t>minutes;</w:t>
      </w:r>
      <w:proofErr w:type="gramEnd"/>
    </w:p>
    <w:p w14:paraId="5A260136" w14:textId="77777777" w:rsidR="005534E0" w:rsidRDefault="000A204E">
      <w:pPr>
        <w:pStyle w:val="ListParagraph"/>
        <w:numPr>
          <w:ilvl w:val="1"/>
          <w:numId w:val="1"/>
        </w:numPr>
        <w:tabs>
          <w:tab w:val="left" w:pos="1017"/>
        </w:tabs>
        <w:spacing w:line="254" w:lineRule="auto"/>
        <w:ind w:right="947"/>
        <w:jc w:val="both"/>
        <w:rPr>
          <w:sz w:val="17"/>
        </w:rPr>
      </w:pPr>
      <w:r>
        <w:rPr>
          <w:sz w:val="17"/>
        </w:rPr>
        <w:t>microwaving at a power of at least</w:t>
      </w:r>
      <w:r>
        <w:rPr>
          <w:spacing w:val="-45"/>
          <w:sz w:val="17"/>
        </w:rPr>
        <w:t xml:space="preserve"> </w:t>
      </w:r>
      <w:r>
        <w:rPr>
          <w:sz w:val="17"/>
        </w:rPr>
        <w:t>800W</w:t>
      </w:r>
      <w:r>
        <w:rPr>
          <w:spacing w:val="2"/>
          <w:sz w:val="17"/>
        </w:rPr>
        <w:t xml:space="preserve"> </w:t>
      </w:r>
      <w:r>
        <w:rPr>
          <w:sz w:val="17"/>
        </w:rPr>
        <w:t>for</w:t>
      </w:r>
      <w:r>
        <w:rPr>
          <w:spacing w:val="-2"/>
          <w:sz w:val="17"/>
        </w:rPr>
        <w:t xml:space="preserve"> </w:t>
      </w:r>
      <w:r>
        <w:rPr>
          <w:sz w:val="17"/>
        </w:rPr>
        <w:t>at</w:t>
      </w:r>
      <w:r>
        <w:rPr>
          <w:spacing w:val="-1"/>
          <w:sz w:val="17"/>
        </w:rPr>
        <w:t xml:space="preserve"> </w:t>
      </w:r>
      <w:r>
        <w:rPr>
          <w:sz w:val="17"/>
        </w:rPr>
        <w:t>least</w:t>
      </w:r>
      <w:r>
        <w:rPr>
          <w:spacing w:val="-2"/>
          <w:sz w:val="17"/>
        </w:rPr>
        <w:t xml:space="preserve"> </w:t>
      </w:r>
      <w:r>
        <w:rPr>
          <w:sz w:val="17"/>
        </w:rPr>
        <w:t>10</w:t>
      </w:r>
      <w:r>
        <w:rPr>
          <w:spacing w:val="-3"/>
          <w:sz w:val="17"/>
        </w:rPr>
        <w:t xml:space="preserve"> </w:t>
      </w:r>
      <w:r>
        <w:rPr>
          <w:sz w:val="17"/>
        </w:rPr>
        <w:t>minutes;</w:t>
      </w:r>
      <w:r>
        <w:rPr>
          <w:spacing w:val="-2"/>
          <w:sz w:val="17"/>
        </w:rPr>
        <w:t xml:space="preserve"> </w:t>
      </w:r>
      <w:r>
        <w:rPr>
          <w:sz w:val="17"/>
        </w:rPr>
        <w:t>or</w:t>
      </w:r>
    </w:p>
    <w:p w14:paraId="7F096C59" w14:textId="77777777" w:rsidR="005534E0" w:rsidRDefault="000A204E">
      <w:pPr>
        <w:pStyle w:val="ListParagraph"/>
        <w:numPr>
          <w:ilvl w:val="1"/>
          <w:numId w:val="1"/>
        </w:numPr>
        <w:tabs>
          <w:tab w:val="left" w:pos="1016"/>
          <w:tab w:val="left" w:pos="1017"/>
        </w:tabs>
        <w:spacing w:line="259" w:lineRule="auto"/>
        <w:ind w:right="1135"/>
        <w:rPr>
          <w:sz w:val="17"/>
        </w:rPr>
      </w:pPr>
      <w:r>
        <w:rPr>
          <w:sz w:val="17"/>
        </w:rPr>
        <w:t>deep burial at biosecurity waste</w:t>
      </w:r>
      <w:r>
        <w:rPr>
          <w:spacing w:val="-45"/>
          <w:sz w:val="17"/>
        </w:rPr>
        <w:t xml:space="preserve"> </w:t>
      </w:r>
      <w:r>
        <w:rPr>
          <w:sz w:val="17"/>
        </w:rPr>
        <w:t>class 8.2 site approved by the</w:t>
      </w:r>
      <w:r>
        <w:rPr>
          <w:spacing w:val="1"/>
          <w:sz w:val="17"/>
        </w:rPr>
        <w:t xml:space="preserve"> </w:t>
      </w:r>
      <w:r>
        <w:rPr>
          <w:sz w:val="17"/>
        </w:rPr>
        <w:t>Department of Agriculture and</w:t>
      </w:r>
      <w:r>
        <w:rPr>
          <w:spacing w:val="1"/>
          <w:sz w:val="17"/>
        </w:rPr>
        <w:t xml:space="preserve"> </w:t>
      </w:r>
      <w:r>
        <w:rPr>
          <w:sz w:val="17"/>
        </w:rPr>
        <w:t>Water Resources.</w:t>
      </w:r>
    </w:p>
    <w:p w14:paraId="278E9C94" w14:textId="7DBA26EB" w:rsidR="005534E0" w:rsidRDefault="000A204E">
      <w:pPr>
        <w:pStyle w:val="BodyText"/>
        <w:spacing w:before="156"/>
        <w:ind w:left="733" w:right="869"/>
      </w:pPr>
      <w:r>
        <w:t>More information, including a factsheet</w:t>
      </w:r>
      <w:r>
        <w:rPr>
          <w:spacing w:val="-45"/>
        </w:rPr>
        <w:t xml:space="preserve"> </w:t>
      </w:r>
      <w:r>
        <w:t>about the GM petunias and the</w:t>
      </w:r>
      <w:r>
        <w:rPr>
          <w:spacing w:val="1"/>
        </w:rPr>
        <w:t xml:space="preserve"> </w:t>
      </w:r>
      <w:r>
        <w:t>Regulator’s risk</w:t>
      </w:r>
      <w:r>
        <w:rPr>
          <w:spacing w:val="1"/>
        </w:rPr>
        <w:t xml:space="preserve"> </w:t>
      </w:r>
      <w:r>
        <w:t>assessment is</w:t>
      </w:r>
      <w:r>
        <w:rPr>
          <w:spacing w:val="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hyperlink r:id="rId7" w:history="1">
        <w:r w:rsidRPr="000A204E">
          <w:rPr>
            <w:rStyle w:val="Hyperlink"/>
          </w:rPr>
          <w:t>OGTR</w:t>
        </w:r>
        <w:r w:rsidRPr="000A204E">
          <w:rPr>
            <w:rStyle w:val="Hyperlink"/>
            <w:spacing w:val="-1"/>
          </w:rPr>
          <w:t xml:space="preserve"> </w:t>
        </w:r>
        <w:r w:rsidRPr="000A204E">
          <w:rPr>
            <w:rStyle w:val="Hyperlink"/>
          </w:rPr>
          <w:t>website</w:t>
        </w:r>
      </w:hyperlink>
      <w:r>
        <w:t>.</w:t>
      </w:r>
    </w:p>
    <w:p w14:paraId="25199230" w14:textId="77777777" w:rsidR="005534E0" w:rsidRDefault="005534E0">
      <w:pPr>
        <w:sectPr w:rsidR="005534E0">
          <w:type w:val="continuous"/>
          <w:pgSz w:w="11910" w:h="16840"/>
          <w:pgMar w:top="180" w:right="20" w:bottom="0" w:left="0" w:header="720" w:footer="720" w:gutter="0"/>
          <w:cols w:num="3" w:space="720" w:equalWidth="0">
            <w:col w:w="3810" w:space="40"/>
            <w:col w:w="3459" w:space="39"/>
            <w:col w:w="4542"/>
          </w:cols>
        </w:sectPr>
      </w:pPr>
    </w:p>
    <w:p w14:paraId="610A0CA8" w14:textId="77777777" w:rsidR="005534E0" w:rsidRDefault="005534E0">
      <w:pPr>
        <w:pStyle w:val="BodyText"/>
        <w:rPr>
          <w:sz w:val="20"/>
        </w:rPr>
      </w:pPr>
    </w:p>
    <w:p w14:paraId="59948556" w14:textId="6973EDD2" w:rsidR="005534E0" w:rsidRDefault="007A7DD5">
      <w:pPr>
        <w:pStyle w:val="BodyText"/>
        <w:rPr>
          <w:sz w:val="20"/>
        </w:rPr>
      </w:pPr>
      <w:r>
        <w:pict w14:anchorId="0B70E7FD">
          <v:group id="docshapegroup1" o:spid="_x0000_s1026" alt="Information about related factsheets and further reading" style="position:absolute;margin-left:403.3pt;margin-top:1.6pt;width:159.45pt;height:209.7pt;z-index:-251657216;mso-position-horizontal-relative:page" coordorigin="8074,1415" coordsize="3189,4194">
            <v:shape id="docshape2" o:spid="_x0000_s1029" style="position:absolute;left:8081;top:1422;width:3174;height:4179" coordorigin="8081,1422" coordsize="3174,4179" path="m10925,1422r-2514,l8335,1431r-69,25l8205,1495r-52,51l8115,1607r-25,69l8081,1752r,3519l8090,5347r25,69l8153,5478r52,51l8266,5568r69,24l8411,5601r2514,l11001,5592r69,-24l11131,5529r52,-51l11221,5416r25,-69l11255,5271r,-3519l11246,1676r-25,-69l11183,1546r-52,-51l11070,1456r-69,-25l10925,1422xe" fillcolor="#f8d7f1" stroked="f">
              <v:path arrowok="t"/>
            </v:shape>
            <v:shape id="docshape3" o:spid="_x0000_s1028" style="position:absolute;left:8081;top:1422;width:3174;height:4179" coordorigin="8081,1422" coordsize="3174,4179" path="m8081,1752r9,-76l8115,1607r38,-61l8205,1495r61,-39l8335,1431r76,-9l10925,1422r76,9l11070,1456r61,39l11183,1546r38,61l11246,1676r9,76l11255,5271r-9,76l11221,5416r-38,62l11131,5529r-61,39l11001,5592r-76,9l8411,5601r-76,-9l8266,5568r-61,-39l8153,5478r-38,-62l8090,5347r-9,-76l8081,1752xe" filled="f" strokecolor="#781364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4" o:spid="_x0000_s1027" type="#_x0000_t202" style="position:absolute;left:8073;top:1414;width:3189;height:4194" filled="f" stroked="f">
              <v:textbox inset="0,0,0,0">
                <w:txbxContent>
                  <w:p w14:paraId="38E45FF1" w14:textId="77777777" w:rsidR="005534E0" w:rsidRDefault="005534E0">
                    <w:pPr>
                      <w:spacing w:before="6"/>
                      <w:rPr>
                        <w:sz w:val="24"/>
                      </w:rPr>
                    </w:pPr>
                  </w:p>
                  <w:p w14:paraId="2C4180D6" w14:textId="55374CDC" w:rsidR="005534E0" w:rsidRDefault="000A204E">
                    <w:pPr>
                      <w:ind w:left="225"/>
                      <w:rPr>
                        <w:sz w:val="17"/>
                      </w:rPr>
                    </w:pPr>
                    <w:r>
                      <w:rPr>
                        <w:color w:val="781364"/>
                        <w:sz w:val="17"/>
                        <w:u w:val="single" w:color="781364"/>
                      </w:rPr>
                      <w:t>Related</w:t>
                    </w:r>
                    <w:r>
                      <w:rPr>
                        <w:color w:val="781364"/>
                        <w:spacing w:val="-5"/>
                        <w:sz w:val="17"/>
                        <w:u w:val="single" w:color="781364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  <w:u w:val="single" w:color="781364"/>
                      </w:rPr>
                      <w:t>factsheets:</w:t>
                    </w:r>
                  </w:p>
                  <w:p w14:paraId="67F854E0" w14:textId="77777777" w:rsidR="005534E0" w:rsidRDefault="000A204E">
                    <w:pPr>
                      <w:spacing w:before="59"/>
                      <w:ind w:left="225" w:right="198" w:hanging="1"/>
                      <w:rPr>
                        <w:sz w:val="17"/>
                      </w:rPr>
                    </w:pPr>
                    <w:r>
                      <w:rPr>
                        <w:color w:val="781364"/>
                        <w:sz w:val="17"/>
                      </w:rPr>
                      <w:t>Genetically</w:t>
                    </w:r>
                    <w:r>
                      <w:rPr>
                        <w:color w:val="781364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modified</w:t>
                    </w:r>
                    <w:r>
                      <w:rPr>
                        <w:color w:val="781364"/>
                        <w:spacing w:val="-7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(GM)</w:t>
                    </w:r>
                    <w:r>
                      <w:rPr>
                        <w:color w:val="781364"/>
                        <w:spacing w:val="-6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Petunias</w:t>
                    </w:r>
                    <w:r>
                      <w:rPr>
                        <w:color w:val="781364"/>
                        <w:spacing w:val="-44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in</w:t>
                    </w:r>
                    <w:r>
                      <w:rPr>
                        <w:color w:val="781364"/>
                        <w:spacing w:val="-2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Australia</w:t>
                    </w:r>
                  </w:p>
                  <w:p w14:paraId="3CDD0BFD" w14:textId="77777777" w:rsidR="005534E0" w:rsidRDefault="000A204E">
                    <w:pPr>
                      <w:spacing w:before="60"/>
                      <w:ind w:left="225" w:right="336"/>
                      <w:rPr>
                        <w:sz w:val="17"/>
                      </w:rPr>
                    </w:pPr>
                    <w:r>
                      <w:rPr>
                        <w:color w:val="781364"/>
                        <w:sz w:val="17"/>
                      </w:rPr>
                      <w:t>Genetically modified (GM) crops in</w:t>
                    </w:r>
                    <w:r>
                      <w:rPr>
                        <w:color w:val="781364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Australia</w:t>
                    </w:r>
                  </w:p>
                  <w:p w14:paraId="0721B0FF" w14:textId="3719867D" w:rsidR="005534E0" w:rsidRDefault="000A204E">
                    <w:pPr>
                      <w:spacing w:before="61"/>
                      <w:ind w:left="225"/>
                      <w:rPr>
                        <w:sz w:val="17"/>
                      </w:rPr>
                    </w:pPr>
                    <w:r>
                      <w:rPr>
                        <w:color w:val="781364"/>
                        <w:sz w:val="17"/>
                        <w:u w:val="single" w:color="781364"/>
                      </w:rPr>
                      <w:t>Further</w:t>
                    </w:r>
                    <w:r>
                      <w:rPr>
                        <w:color w:val="781364"/>
                        <w:spacing w:val="-6"/>
                        <w:sz w:val="17"/>
                        <w:u w:val="single" w:color="781364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  <w:u w:val="single" w:color="781364"/>
                      </w:rPr>
                      <w:t>reading</w:t>
                    </w:r>
                  </w:p>
                  <w:p w14:paraId="328FD013" w14:textId="77777777" w:rsidR="005534E0" w:rsidRDefault="000A204E">
                    <w:pPr>
                      <w:spacing w:before="59"/>
                      <w:ind w:left="225" w:right="402"/>
                      <w:rPr>
                        <w:sz w:val="17"/>
                      </w:rPr>
                    </w:pPr>
                    <w:r>
                      <w:rPr>
                        <w:color w:val="781364"/>
                        <w:sz w:val="17"/>
                      </w:rPr>
                      <w:t>Genetically modified organisms in</w:t>
                    </w:r>
                    <w:r>
                      <w:rPr>
                        <w:color w:val="781364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Australia</w:t>
                    </w:r>
                  </w:p>
                  <w:p w14:paraId="522E2D89" w14:textId="77777777" w:rsidR="005534E0" w:rsidRDefault="000A204E">
                    <w:pPr>
                      <w:spacing w:before="60"/>
                      <w:ind w:left="225" w:right="572"/>
                      <w:rPr>
                        <w:sz w:val="17"/>
                      </w:rPr>
                    </w:pPr>
                    <w:r>
                      <w:rPr>
                        <w:color w:val="781364"/>
                        <w:sz w:val="17"/>
                      </w:rPr>
                      <w:t>How are genetically modified</w:t>
                    </w:r>
                    <w:r>
                      <w:rPr>
                        <w:color w:val="781364"/>
                        <w:spacing w:val="1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organisms (GMOs) regulated in</w:t>
                    </w:r>
                    <w:r>
                      <w:rPr>
                        <w:color w:val="781364"/>
                        <w:spacing w:val="-45"/>
                        <w:sz w:val="17"/>
                      </w:rPr>
                      <w:t xml:space="preserve"> </w:t>
                    </w:r>
                    <w:r>
                      <w:rPr>
                        <w:color w:val="781364"/>
                        <w:sz w:val="17"/>
                      </w:rPr>
                      <w:t>Australia?</w:t>
                    </w:r>
                  </w:p>
                </w:txbxContent>
              </v:textbox>
            </v:shape>
            <w10:wrap anchorx="page"/>
          </v:group>
        </w:pict>
      </w:r>
    </w:p>
    <w:p w14:paraId="31CC1B32" w14:textId="77777777" w:rsidR="005534E0" w:rsidRDefault="005534E0">
      <w:pPr>
        <w:pStyle w:val="BodyText"/>
        <w:rPr>
          <w:sz w:val="20"/>
        </w:rPr>
      </w:pPr>
    </w:p>
    <w:p w14:paraId="7E3C16AA" w14:textId="77777777" w:rsidR="005534E0" w:rsidRDefault="005534E0">
      <w:pPr>
        <w:pStyle w:val="BodyText"/>
        <w:rPr>
          <w:sz w:val="20"/>
        </w:rPr>
      </w:pPr>
    </w:p>
    <w:p w14:paraId="623E7F3A" w14:textId="77777777" w:rsidR="005534E0" w:rsidRDefault="005534E0">
      <w:pPr>
        <w:pStyle w:val="BodyText"/>
        <w:rPr>
          <w:sz w:val="20"/>
        </w:rPr>
      </w:pPr>
    </w:p>
    <w:p w14:paraId="12A3BD7F" w14:textId="77777777" w:rsidR="005534E0" w:rsidRDefault="005534E0">
      <w:pPr>
        <w:pStyle w:val="BodyText"/>
        <w:rPr>
          <w:sz w:val="20"/>
        </w:rPr>
      </w:pPr>
    </w:p>
    <w:p w14:paraId="2EA97A6B" w14:textId="77777777" w:rsidR="005534E0" w:rsidRDefault="005534E0">
      <w:pPr>
        <w:pStyle w:val="BodyText"/>
        <w:rPr>
          <w:sz w:val="20"/>
        </w:rPr>
      </w:pPr>
    </w:p>
    <w:p w14:paraId="36CA2713" w14:textId="77777777" w:rsidR="005534E0" w:rsidRDefault="005534E0">
      <w:pPr>
        <w:pStyle w:val="BodyText"/>
        <w:rPr>
          <w:sz w:val="20"/>
        </w:rPr>
      </w:pPr>
    </w:p>
    <w:p w14:paraId="0449D355" w14:textId="77777777" w:rsidR="005534E0" w:rsidRDefault="005534E0">
      <w:pPr>
        <w:pStyle w:val="BodyText"/>
        <w:rPr>
          <w:sz w:val="20"/>
        </w:rPr>
      </w:pPr>
    </w:p>
    <w:p w14:paraId="1F3D05AD" w14:textId="77777777" w:rsidR="005534E0" w:rsidRDefault="005534E0">
      <w:pPr>
        <w:pStyle w:val="BodyText"/>
        <w:rPr>
          <w:sz w:val="20"/>
        </w:rPr>
      </w:pPr>
    </w:p>
    <w:p w14:paraId="030F6E41" w14:textId="77777777" w:rsidR="005534E0" w:rsidRDefault="005534E0">
      <w:pPr>
        <w:pStyle w:val="BodyText"/>
        <w:rPr>
          <w:sz w:val="20"/>
        </w:rPr>
      </w:pPr>
    </w:p>
    <w:p w14:paraId="02057421" w14:textId="77777777" w:rsidR="005534E0" w:rsidRDefault="005534E0">
      <w:pPr>
        <w:pStyle w:val="BodyText"/>
        <w:rPr>
          <w:sz w:val="20"/>
        </w:rPr>
      </w:pPr>
    </w:p>
    <w:p w14:paraId="2644D887" w14:textId="77777777" w:rsidR="005534E0" w:rsidRDefault="005534E0">
      <w:pPr>
        <w:pStyle w:val="BodyText"/>
        <w:rPr>
          <w:sz w:val="20"/>
        </w:rPr>
      </w:pPr>
    </w:p>
    <w:p w14:paraId="3A3388E8" w14:textId="77777777" w:rsidR="005534E0" w:rsidRDefault="005534E0">
      <w:pPr>
        <w:pStyle w:val="BodyText"/>
        <w:rPr>
          <w:sz w:val="20"/>
        </w:rPr>
      </w:pPr>
    </w:p>
    <w:p w14:paraId="6618049F" w14:textId="77777777" w:rsidR="005534E0" w:rsidRDefault="005534E0">
      <w:pPr>
        <w:pStyle w:val="BodyText"/>
        <w:spacing w:before="6" w:after="1"/>
        <w:rPr>
          <w:sz w:val="21"/>
        </w:rPr>
      </w:pPr>
    </w:p>
    <w:tbl>
      <w:tblPr>
        <w:tblW w:w="0" w:type="auto"/>
        <w:tblInd w:w="8196" w:type="dxa"/>
        <w:tblBorders>
          <w:top w:val="single" w:sz="4" w:space="0" w:color="781364"/>
          <w:left w:val="single" w:sz="4" w:space="0" w:color="781364"/>
          <w:bottom w:val="single" w:sz="4" w:space="0" w:color="781364"/>
          <w:right w:val="single" w:sz="4" w:space="0" w:color="781364"/>
          <w:insideH w:val="single" w:sz="4" w:space="0" w:color="781364"/>
          <w:insideV w:val="single" w:sz="4" w:space="0" w:color="78136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3"/>
        <w:gridCol w:w="1838"/>
      </w:tblGrid>
      <w:tr w:rsidR="005534E0" w14:paraId="57044E26" w14:textId="77777777" w:rsidTr="000A204E">
        <w:trPr>
          <w:trHeight w:val="240"/>
        </w:trPr>
        <w:tc>
          <w:tcPr>
            <w:tcW w:w="853" w:type="dxa"/>
          </w:tcPr>
          <w:p w14:paraId="42762785" w14:textId="77777777" w:rsidR="005534E0" w:rsidRDefault="000A204E">
            <w:pPr>
              <w:pStyle w:val="TableParagraph"/>
              <w:rPr>
                <w:sz w:val="17"/>
              </w:rPr>
            </w:pPr>
            <w:r>
              <w:rPr>
                <w:color w:val="781364"/>
                <w:sz w:val="17"/>
              </w:rPr>
              <w:t>Version</w:t>
            </w:r>
            <w:r>
              <w:rPr>
                <w:color w:val="781364"/>
                <w:spacing w:val="-3"/>
                <w:sz w:val="17"/>
              </w:rPr>
              <w:t xml:space="preserve"> </w:t>
            </w:r>
            <w:r>
              <w:rPr>
                <w:color w:val="781364"/>
                <w:sz w:val="17"/>
              </w:rPr>
              <w:t>1</w:t>
            </w:r>
          </w:p>
        </w:tc>
        <w:tc>
          <w:tcPr>
            <w:tcW w:w="1838" w:type="dxa"/>
          </w:tcPr>
          <w:p w14:paraId="49D6F866" w14:textId="77777777" w:rsidR="005534E0" w:rsidRDefault="000A204E">
            <w:pPr>
              <w:pStyle w:val="TableParagraph"/>
              <w:ind w:right="98"/>
              <w:rPr>
                <w:sz w:val="17"/>
              </w:rPr>
            </w:pPr>
            <w:r>
              <w:rPr>
                <w:color w:val="781364"/>
                <w:sz w:val="17"/>
              </w:rPr>
              <w:t>1</w:t>
            </w:r>
            <w:r>
              <w:rPr>
                <w:color w:val="781364"/>
                <w:spacing w:val="-3"/>
                <w:sz w:val="17"/>
              </w:rPr>
              <w:t xml:space="preserve"> </w:t>
            </w:r>
            <w:r>
              <w:rPr>
                <w:color w:val="781364"/>
                <w:sz w:val="17"/>
              </w:rPr>
              <w:t>June</w:t>
            </w:r>
            <w:r>
              <w:rPr>
                <w:color w:val="781364"/>
                <w:spacing w:val="-3"/>
                <w:sz w:val="17"/>
              </w:rPr>
              <w:t xml:space="preserve"> </w:t>
            </w:r>
            <w:r>
              <w:rPr>
                <w:color w:val="781364"/>
                <w:sz w:val="17"/>
              </w:rPr>
              <w:t>2017</w:t>
            </w:r>
          </w:p>
        </w:tc>
      </w:tr>
      <w:tr w:rsidR="005534E0" w14:paraId="6DA0CE2E" w14:textId="77777777" w:rsidTr="000A204E">
        <w:trPr>
          <w:trHeight w:val="240"/>
        </w:trPr>
        <w:tc>
          <w:tcPr>
            <w:tcW w:w="853" w:type="dxa"/>
          </w:tcPr>
          <w:p w14:paraId="5B36F3A0" w14:textId="77777777" w:rsidR="005534E0" w:rsidRDefault="000A204E">
            <w:pPr>
              <w:pStyle w:val="TableParagraph"/>
              <w:rPr>
                <w:sz w:val="17"/>
              </w:rPr>
            </w:pPr>
            <w:r>
              <w:rPr>
                <w:color w:val="781364"/>
                <w:sz w:val="17"/>
              </w:rPr>
              <w:t>Version</w:t>
            </w:r>
            <w:r>
              <w:rPr>
                <w:color w:val="781364"/>
                <w:spacing w:val="-3"/>
                <w:sz w:val="17"/>
              </w:rPr>
              <w:t xml:space="preserve"> </w:t>
            </w:r>
            <w:r>
              <w:rPr>
                <w:color w:val="781364"/>
                <w:sz w:val="17"/>
              </w:rPr>
              <w:t>2</w:t>
            </w:r>
          </w:p>
        </w:tc>
        <w:tc>
          <w:tcPr>
            <w:tcW w:w="1838" w:type="dxa"/>
          </w:tcPr>
          <w:p w14:paraId="662D2993" w14:textId="77777777" w:rsidR="005534E0" w:rsidRDefault="000A204E">
            <w:pPr>
              <w:pStyle w:val="TableParagraph"/>
              <w:rPr>
                <w:sz w:val="17"/>
              </w:rPr>
            </w:pPr>
            <w:r>
              <w:rPr>
                <w:color w:val="781364"/>
                <w:sz w:val="17"/>
              </w:rPr>
              <w:t>June</w:t>
            </w:r>
            <w:r>
              <w:rPr>
                <w:color w:val="781364"/>
                <w:spacing w:val="-3"/>
                <w:sz w:val="17"/>
              </w:rPr>
              <w:t xml:space="preserve"> </w:t>
            </w:r>
            <w:r>
              <w:rPr>
                <w:color w:val="781364"/>
                <w:sz w:val="17"/>
              </w:rPr>
              <w:t>2018</w:t>
            </w:r>
          </w:p>
        </w:tc>
      </w:tr>
      <w:tr w:rsidR="000A204E" w14:paraId="6660E202" w14:textId="77777777" w:rsidTr="000A204E">
        <w:trPr>
          <w:trHeight w:val="240"/>
        </w:trPr>
        <w:tc>
          <w:tcPr>
            <w:tcW w:w="853" w:type="dxa"/>
          </w:tcPr>
          <w:p w14:paraId="36972FE0" w14:textId="5DB50349" w:rsidR="000A204E" w:rsidRDefault="000A204E">
            <w:pPr>
              <w:pStyle w:val="TableParagraph"/>
              <w:rPr>
                <w:color w:val="781364"/>
                <w:sz w:val="17"/>
              </w:rPr>
            </w:pPr>
            <w:r>
              <w:rPr>
                <w:color w:val="781364"/>
                <w:sz w:val="17"/>
              </w:rPr>
              <w:t>Version 3</w:t>
            </w:r>
          </w:p>
        </w:tc>
        <w:tc>
          <w:tcPr>
            <w:tcW w:w="1838" w:type="dxa"/>
          </w:tcPr>
          <w:p w14:paraId="61146483" w14:textId="47BB0714" w:rsidR="000A204E" w:rsidRDefault="000A204E">
            <w:pPr>
              <w:pStyle w:val="TableParagraph"/>
              <w:rPr>
                <w:color w:val="781364"/>
                <w:sz w:val="17"/>
              </w:rPr>
            </w:pPr>
            <w:r>
              <w:rPr>
                <w:color w:val="781364"/>
                <w:sz w:val="17"/>
              </w:rPr>
              <w:t>November 2021</w:t>
            </w:r>
          </w:p>
        </w:tc>
      </w:tr>
    </w:tbl>
    <w:p w14:paraId="4D12BC7C" w14:textId="77777777" w:rsidR="005534E0" w:rsidRDefault="005534E0">
      <w:pPr>
        <w:pStyle w:val="BodyText"/>
        <w:rPr>
          <w:sz w:val="20"/>
        </w:rPr>
      </w:pPr>
    </w:p>
    <w:p w14:paraId="62D5D1F6" w14:textId="77777777" w:rsidR="005534E0" w:rsidRDefault="005534E0">
      <w:pPr>
        <w:pStyle w:val="BodyText"/>
        <w:rPr>
          <w:sz w:val="20"/>
        </w:rPr>
      </w:pPr>
    </w:p>
    <w:p w14:paraId="3FE4C04E" w14:textId="77777777" w:rsidR="005534E0" w:rsidRDefault="005534E0">
      <w:pPr>
        <w:pStyle w:val="BodyText"/>
        <w:rPr>
          <w:sz w:val="20"/>
        </w:rPr>
      </w:pPr>
    </w:p>
    <w:p w14:paraId="45B2466E" w14:textId="77777777" w:rsidR="005534E0" w:rsidRDefault="005534E0">
      <w:pPr>
        <w:pStyle w:val="BodyText"/>
        <w:rPr>
          <w:sz w:val="20"/>
        </w:rPr>
      </w:pPr>
    </w:p>
    <w:p w14:paraId="6344B87C" w14:textId="77777777" w:rsidR="005534E0" w:rsidRDefault="000A204E">
      <w:pPr>
        <w:pStyle w:val="BodyText"/>
        <w:spacing w:before="7"/>
        <w:rPr>
          <w:sz w:val="21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05809B59" wp14:editId="2A30308B">
            <wp:simplePos x="0" y="0"/>
            <wp:positionH relativeFrom="page">
              <wp:posOffset>635</wp:posOffset>
            </wp:positionH>
            <wp:positionV relativeFrom="paragraph">
              <wp:posOffset>173024</wp:posOffset>
            </wp:positionV>
            <wp:extent cx="6689307" cy="781812"/>
            <wp:effectExtent l="0" t="0" r="0" b="0"/>
            <wp:wrapTopAndBottom/>
            <wp:docPr id="3" name="image2.jpeg" descr="Contact details for OGT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Contact details for OGTR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89307" cy="7818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534E0">
      <w:type w:val="continuous"/>
      <w:pgSz w:w="11910" w:h="16840"/>
      <w:pgMar w:top="180" w:right="2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D30B3C"/>
    <w:multiLevelType w:val="hybridMultilevel"/>
    <w:tmpl w:val="40FA3088"/>
    <w:lvl w:ilvl="0" w:tplc="161C7176">
      <w:numFmt w:val="bullet"/>
      <w:lvlText w:val=""/>
      <w:lvlJc w:val="left"/>
      <w:pPr>
        <w:ind w:left="900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1" w:tplc="5002F27E">
      <w:numFmt w:val="bullet"/>
      <w:lvlText w:val=""/>
      <w:lvlJc w:val="left"/>
      <w:pPr>
        <w:ind w:left="1016" w:hanging="29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17"/>
        <w:szCs w:val="17"/>
      </w:rPr>
    </w:lvl>
    <w:lvl w:ilvl="2" w:tplc="5A7E115A">
      <w:numFmt w:val="bullet"/>
      <w:lvlText w:val="•"/>
      <w:lvlJc w:val="left"/>
      <w:pPr>
        <w:ind w:left="902" w:hanging="293"/>
      </w:pPr>
      <w:rPr>
        <w:rFonts w:hint="default"/>
      </w:rPr>
    </w:lvl>
    <w:lvl w:ilvl="3" w:tplc="F6107EB0">
      <w:numFmt w:val="bullet"/>
      <w:lvlText w:val="•"/>
      <w:lvlJc w:val="left"/>
      <w:pPr>
        <w:ind w:left="784" w:hanging="293"/>
      </w:pPr>
      <w:rPr>
        <w:rFonts w:hint="default"/>
      </w:rPr>
    </w:lvl>
    <w:lvl w:ilvl="4" w:tplc="A22E5450">
      <w:numFmt w:val="bullet"/>
      <w:lvlText w:val="•"/>
      <w:lvlJc w:val="left"/>
      <w:pPr>
        <w:ind w:left="666" w:hanging="293"/>
      </w:pPr>
      <w:rPr>
        <w:rFonts w:hint="default"/>
      </w:rPr>
    </w:lvl>
    <w:lvl w:ilvl="5" w:tplc="DBDE9750">
      <w:numFmt w:val="bullet"/>
      <w:lvlText w:val="•"/>
      <w:lvlJc w:val="left"/>
      <w:pPr>
        <w:ind w:left="548" w:hanging="293"/>
      </w:pPr>
      <w:rPr>
        <w:rFonts w:hint="default"/>
      </w:rPr>
    </w:lvl>
    <w:lvl w:ilvl="6" w:tplc="7D92EF1A">
      <w:numFmt w:val="bullet"/>
      <w:lvlText w:val="•"/>
      <w:lvlJc w:val="left"/>
      <w:pPr>
        <w:ind w:left="431" w:hanging="293"/>
      </w:pPr>
      <w:rPr>
        <w:rFonts w:hint="default"/>
      </w:rPr>
    </w:lvl>
    <w:lvl w:ilvl="7" w:tplc="821AAA78">
      <w:numFmt w:val="bullet"/>
      <w:lvlText w:val="•"/>
      <w:lvlJc w:val="left"/>
      <w:pPr>
        <w:ind w:left="313" w:hanging="293"/>
      </w:pPr>
      <w:rPr>
        <w:rFonts w:hint="default"/>
      </w:rPr>
    </w:lvl>
    <w:lvl w:ilvl="8" w:tplc="467C8098">
      <w:numFmt w:val="bullet"/>
      <w:lvlText w:val="•"/>
      <w:lvlJc w:val="left"/>
      <w:pPr>
        <w:ind w:left="195" w:hanging="29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534E0"/>
    <w:rsid w:val="000A204E"/>
    <w:rsid w:val="005534E0"/>
    <w:rsid w:val="007A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7E52865"/>
  <w15:docId w15:val="{71E2A01A-6865-46E1-90B3-C2C8F951F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36"/>
      <w:ind w:left="616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spacing w:before="4"/>
      <w:ind w:left="900" w:hanging="294"/>
    </w:pPr>
  </w:style>
  <w:style w:type="paragraph" w:customStyle="1" w:styleId="TableParagraph">
    <w:name w:val="Table Paragraph"/>
    <w:basedOn w:val="Normal"/>
    <w:uiPriority w:val="1"/>
    <w:qFormat/>
    <w:pPr>
      <w:spacing w:before="56"/>
      <w:ind w:right="97"/>
      <w:jc w:val="right"/>
    </w:pPr>
  </w:style>
  <w:style w:type="character" w:styleId="Hyperlink">
    <w:name w:val="Hyperlink"/>
    <w:basedOn w:val="DefaultParagraphFont"/>
    <w:uiPriority w:val="99"/>
    <w:unhideWhenUsed/>
    <w:rsid w:val="000A20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20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ogtr.gov.au/what-weve-approved/inadvertent-dealings-i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ogtr.gov.au/resources/publications/gm-petunia-risk-analysi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 - Genetically modified (GM) Petunia disposal methods</vt:lpstr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 sheet - Genetically modified (GM) Petunia disposal methods</dc:title>
  <dc:creator>Australian Government Department of Health</dc:creator>
  <cp:keywords>OGTR, Fact sheet, GMO, petunias</cp:keywords>
  <cp:lastModifiedBy>SMITH, Justine</cp:lastModifiedBy>
  <cp:revision>3</cp:revision>
  <dcterms:created xsi:type="dcterms:W3CDTF">2021-11-10T23:34:00Z</dcterms:created>
  <dcterms:modified xsi:type="dcterms:W3CDTF">2021-11-12T02:08:00Z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2021-11-10T00:00:00Z</vt:filetime>
  </property>
</Properties>
</file>