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222D" w14:textId="77777777" w:rsidR="00F00C47" w:rsidRDefault="00466BE8" w:rsidP="00F00C47">
      <w:pPr>
        <w:jc w:val="right"/>
      </w:pPr>
      <w:r>
        <w:t>March</w:t>
      </w:r>
      <w:r w:rsidR="00EA7AD6">
        <w:t xml:space="preserve"> 2018</w:t>
      </w:r>
    </w:p>
    <w:p w14:paraId="4500CEF8" w14:textId="77777777" w:rsidR="00177E87" w:rsidRDefault="009C7BC0" w:rsidP="00177E87">
      <w:pPr>
        <w:pStyle w:val="1RARMP"/>
        <w:rPr>
          <w:sz w:val="32"/>
        </w:rPr>
      </w:pPr>
      <w:bookmarkStart w:id="0" w:name="_Toc487017751"/>
      <w:r w:rsidRPr="007D6A03">
        <w:rPr>
          <w:sz w:val="32"/>
        </w:rPr>
        <w:t>Summary of the Risk Assessment and Risk Management Plan</w:t>
      </w:r>
      <w:bookmarkStart w:id="1" w:name="_Toc471455196"/>
      <w:bookmarkStart w:id="2" w:name="_Toc474907672"/>
      <w:bookmarkStart w:id="3" w:name="_Toc477513526"/>
      <w:bookmarkStart w:id="4" w:name="_Toc479754179"/>
      <w:bookmarkStart w:id="5" w:name="_Toc483393326"/>
      <w:bookmarkStart w:id="6" w:name="_Toc487017752"/>
      <w:bookmarkEnd w:id="0"/>
      <w:r w:rsidR="00177E87">
        <w:rPr>
          <w:sz w:val="32"/>
        </w:rPr>
        <w:t xml:space="preserve"> </w:t>
      </w:r>
    </w:p>
    <w:p w14:paraId="4B10E9E4" w14:textId="77777777" w:rsidR="008B49BA" w:rsidRPr="00232B25" w:rsidRDefault="009C7BC0" w:rsidP="00177E87">
      <w:pPr>
        <w:pStyle w:val="1RARMP"/>
        <w:rPr>
          <w:sz w:val="32"/>
        </w:rPr>
      </w:pPr>
      <w:r w:rsidRPr="00232B25">
        <w:rPr>
          <w:sz w:val="32"/>
        </w:rPr>
        <w:t>for</w:t>
      </w:r>
      <w:bookmarkEnd w:id="1"/>
      <w:bookmarkEnd w:id="2"/>
      <w:bookmarkEnd w:id="3"/>
      <w:bookmarkEnd w:id="4"/>
      <w:bookmarkEnd w:id="5"/>
      <w:bookmarkEnd w:id="6"/>
    </w:p>
    <w:p w14:paraId="62E9BBF3" w14:textId="77777777" w:rsidR="009C7BC0" w:rsidRPr="007D6A03" w:rsidRDefault="009C7BC0" w:rsidP="008F29A2">
      <w:pPr>
        <w:pStyle w:val="3RARMP"/>
        <w:rPr>
          <w:sz w:val="32"/>
        </w:rPr>
      </w:pPr>
      <w:r w:rsidRPr="007D6A03">
        <w:rPr>
          <w:sz w:val="32"/>
        </w:rPr>
        <w:t>Licence Application DIR</w:t>
      </w:r>
      <w:r w:rsidR="00DE3E22" w:rsidRPr="007D6A03">
        <w:rPr>
          <w:sz w:val="32"/>
        </w:rPr>
        <w:t xml:space="preserve"> 1</w:t>
      </w:r>
      <w:r w:rsidR="00466BE8">
        <w:rPr>
          <w:sz w:val="32"/>
        </w:rPr>
        <w:t>60</w:t>
      </w:r>
      <w:r w:rsidRPr="007D6A03">
        <w:rPr>
          <w:sz w:val="32"/>
        </w:rPr>
        <w:t xml:space="preserve"> </w:t>
      </w:r>
    </w:p>
    <w:p w14:paraId="3BDC373D" w14:textId="77777777" w:rsidR="00466BE8" w:rsidRPr="00466BE8" w:rsidRDefault="00466BE8" w:rsidP="00466BE8">
      <w:pPr>
        <w:pStyle w:val="Heading2"/>
        <w:numPr>
          <w:ilvl w:val="0"/>
          <w:numId w:val="0"/>
        </w:numPr>
        <w:rPr>
          <w:i/>
        </w:rPr>
      </w:pPr>
      <w:bookmarkStart w:id="7" w:name="_Toc507595113"/>
      <w:r w:rsidRPr="00466BE8">
        <w:rPr>
          <w:i/>
        </w:rPr>
        <w:t>Decision</w:t>
      </w:r>
      <w:bookmarkEnd w:id="7"/>
    </w:p>
    <w:p w14:paraId="0A3FF076" w14:textId="77777777" w:rsidR="00466BE8" w:rsidRPr="00811604" w:rsidRDefault="00466BE8" w:rsidP="00466BE8">
      <w:pPr>
        <w:rPr>
          <w:szCs w:val="22"/>
          <w:lang w:eastAsia="en-AU"/>
        </w:rPr>
      </w:pPr>
      <w:r w:rsidRPr="00672A53">
        <w:rPr>
          <w:szCs w:val="22"/>
          <w:lang w:eastAsia="en-AU"/>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by the Regulator in accordance with the requirements of the </w:t>
      </w:r>
      <w:r w:rsidRPr="00672A53">
        <w:rPr>
          <w:i/>
          <w:szCs w:val="22"/>
          <w:lang w:eastAsia="en-AU"/>
        </w:rPr>
        <w:t>Gene Technology Act 2000</w:t>
      </w:r>
      <w:r w:rsidRPr="00672A53">
        <w:rPr>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14:paraId="51F8956A" w14:textId="77777777" w:rsidR="00466BE8" w:rsidRPr="00466BE8" w:rsidRDefault="00466BE8" w:rsidP="00466BE8">
      <w:pPr>
        <w:pStyle w:val="Heading2"/>
        <w:numPr>
          <w:ilvl w:val="0"/>
          <w:numId w:val="0"/>
        </w:numPr>
        <w:spacing w:after="120"/>
        <w:rPr>
          <w:i/>
        </w:rPr>
      </w:pPr>
      <w:bookmarkStart w:id="8" w:name="_Toc355007995"/>
      <w:bookmarkStart w:id="9" w:name="_Toc507595114"/>
      <w:r w:rsidRPr="00466BE8">
        <w:rPr>
          <w:i/>
        </w:rPr>
        <w:t>The application</w:t>
      </w:r>
      <w:bookmarkEnd w:id="8"/>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410"/>
        <w:gridCol w:w="6882"/>
      </w:tblGrid>
      <w:tr w:rsidR="00466BE8" w:rsidRPr="00811604" w:rsidDel="0041500E" w14:paraId="681DAFA1" w14:textId="77777777" w:rsidTr="00466BE8">
        <w:trPr>
          <w:cantSplit/>
        </w:trPr>
        <w:tc>
          <w:tcPr>
            <w:tcW w:w="2410" w:type="dxa"/>
            <w:shd w:val="clear" w:color="auto" w:fill="auto"/>
          </w:tcPr>
          <w:p w14:paraId="4888E657" w14:textId="77777777" w:rsidR="00466BE8" w:rsidRPr="00811604" w:rsidDel="0041500E" w:rsidRDefault="00466BE8" w:rsidP="007B28BB">
            <w:pPr>
              <w:spacing w:before="60" w:after="60"/>
              <w:rPr>
                <w:szCs w:val="22"/>
                <w:lang w:eastAsia="en-AU"/>
              </w:rPr>
            </w:pPr>
            <w:r w:rsidRPr="00811604">
              <w:rPr>
                <w:szCs w:val="22"/>
                <w:lang w:eastAsia="en-AU"/>
              </w:rPr>
              <w:t>Application number</w:t>
            </w:r>
          </w:p>
        </w:tc>
        <w:tc>
          <w:tcPr>
            <w:tcW w:w="6882" w:type="dxa"/>
            <w:shd w:val="clear" w:color="auto" w:fill="auto"/>
          </w:tcPr>
          <w:p w14:paraId="46F9617C" w14:textId="77777777" w:rsidR="00466BE8" w:rsidRPr="00811604" w:rsidDel="0041500E" w:rsidRDefault="00466BE8" w:rsidP="007B28BB">
            <w:pPr>
              <w:spacing w:before="60" w:after="60"/>
              <w:rPr>
                <w:szCs w:val="22"/>
                <w:lang w:eastAsia="en-AU"/>
              </w:rPr>
            </w:pPr>
            <w:r w:rsidRPr="00811604">
              <w:rPr>
                <w:szCs w:val="22"/>
                <w:lang w:eastAsia="en-AU"/>
              </w:rPr>
              <w:t>DIR 1</w:t>
            </w:r>
            <w:r>
              <w:rPr>
                <w:szCs w:val="22"/>
                <w:lang w:eastAsia="en-AU"/>
              </w:rPr>
              <w:t>60</w:t>
            </w:r>
          </w:p>
        </w:tc>
      </w:tr>
      <w:tr w:rsidR="00466BE8" w:rsidRPr="00811604" w:rsidDel="0041500E" w14:paraId="020B992D" w14:textId="77777777" w:rsidTr="00466BE8">
        <w:trPr>
          <w:cantSplit/>
        </w:trPr>
        <w:tc>
          <w:tcPr>
            <w:tcW w:w="2410" w:type="dxa"/>
            <w:shd w:val="clear" w:color="auto" w:fill="auto"/>
          </w:tcPr>
          <w:p w14:paraId="55E7AEAB" w14:textId="77777777" w:rsidR="00466BE8" w:rsidRPr="00811604" w:rsidDel="0041500E" w:rsidRDefault="00466BE8" w:rsidP="007B28BB">
            <w:pPr>
              <w:spacing w:before="60" w:after="60"/>
              <w:rPr>
                <w:szCs w:val="22"/>
                <w:lang w:eastAsia="en-AU"/>
              </w:rPr>
            </w:pPr>
            <w:r w:rsidRPr="00811604">
              <w:rPr>
                <w:szCs w:val="22"/>
                <w:lang w:eastAsia="en-AU"/>
              </w:rPr>
              <w:t>Applicant</w:t>
            </w:r>
          </w:p>
        </w:tc>
        <w:tc>
          <w:tcPr>
            <w:tcW w:w="6882" w:type="dxa"/>
            <w:shd w:val="clear" w:color="auto" w:fill="auto"/>
          </w:tcPr>
          <w:p w14:paraId="3424C7A3" w14:textId="77777777" w:rsidR="00466BE8" w:rsidRPr="00811604" w:rsidDel="0041500E" w:rsidRDefault="00466BE8" w:rsidP="007B28BB">
            <w:pPr>
              <w:spacing w:before="60" w:after="60"/>
              <w:rPr>
                <w:szCs w:val="22"/>
                <w:lang w:eastAsia="en-AU"/>
              </w:rPr>
            </w:pPr>
            <w:r w:rsidRPr="00DB7A6D">
              <w:rPr>
                <w:szCs w:val="22"/>
                <w:lang w:eastAsia="en-AU"/>
              </w:rPr>
              <w:t>Department of Economic Development, Jobs, Transport and Resources (DEDJTR)</w:t>
            </w:r>
          </w:p>
        </w:tc>
      </w:tr>
      <w:tr w:rsidR="00466BE8" w:rsidRPr="00811604" w14:paraId="2D5DE024" w14:textId="77777777" w:rsidTr="00466BE8">
        <w:trPr>
          <w:cantSplit/>
        </w:trPr>
        <w:tc>
          <w:tcPr>
            <w:tcW w:w="2410" w:type="dxa"/>
            <w:shd w:val="clear" w:color="auto" w:fill="auto"/>
          </w:tcPr>
          <w:p w14:paraId="1200087A" w14:textId="77777777" w:rsidR="00466BE8" w:rsidRPr="00811604" w:rsidRDefault="00466BE8" w:rsidP="007B28BB">
            <w:pPr>
              <w:spacing w:before="60" w:after="60"/>
              <w:rPr>
                <w:szCs w:val="22"/>
                <w:lang w:eastAsia="en-AU"/>
              </w:rPr>
            </w:pPr>
            <w:r w:rsidRPr="00811604">
              <w:rPr>
                <w:szCs w:val="22"/>
                <w:lang w:eastAsia="en-AU"/>
              </w:rPr>
              <w:t>Project title</w:t>
            </w:r>
          </w:p>
        </w:tc>
        <w:tc>
          <w:tcPr>
            <w:tcW w:w="6882" w:type="dxa"/>
            <w:shd w:val="clear" w:color="auto" w:fill="auto"/>
          </w:tcPr>
          <w:p w14:paraId="2651DB7C" w14:textId="77777777" w:rsidR="00466BE8" w:rsidRPr="00811604" w:rsidRDefault="00466BE8" w:rsidP="007B28BB">
            <w:pPr>
              <w:spacing w:before="60" w:after="60"/>
              <w:rPr>
                <w:szCs w:val="22"/>
                <w:lang w:eastAsia="en-AU"/>
              </w:rPr>
            </w:pPr>
            <w:r w:rsidRPr="009E22B6">
              <w:rPr>
                <w:szCs w:val="22"/>
              </w:rPr>
              <w:t xml:space="preserve">Limited and controlled release of </w:t>
            </w:r>
            <w:r>
              <w:rPr>
                <w:szCs w:val="22"/>
              </w:rPr>
              <w:t>perennial ryegrass</w:t>
            </w:r>
            <w:r w:rsidRPr="009E22B6">
              <w:rPr>
                <w:szCs w:val="22"/>
              </w:rPr>
              <w:t xml:space="preserve"> genetically modified for </w:t>
            </w:r>
            <w:proofErr w:type="spellStart"/>
            <w:r>
              <w:rPr>
                <w:szCs w:val="22"/>
              </w:rPr>
              <w:t>fructan</w:t>
            </w:r>
            <w:proofErr w:type="spellEnd"/>
            <w:r>
              <w:rPr>
                <w:szCs w:val="22"/>
              </w:rPr>
              <w:t xml:space="preserve"> biosynthesis</w:t>
            </w:r>
          </w:p>
        </w:tc>
      </w:tr>
      <w:tr w:rsidR="00466BE8" w:rsidRPr="00811604" w14:paraId="701D2888" w14:textId="77777777" w:rsidTr="00466BE8">
        <w:trPr>
          <w:cantSplit/>
        </w:trPr>
        <w:tc>
          <w:tcPr>
            <w:tcW w:w="2410" w:type="dxa"/>
            <w:shd w:val="clear" w:color="auto" w:fill="auto"/>
          </w:tcPr>
          <w:p w14:paraId="056C927C" w14:textId="77777777" w:rsidR="00466BE8" w:rsidRPr="00811604" w:rsidRDefault="00466BE8" w:rsidP="007B28BB">
            <w:pPr>
              <w:spacing w:before="60" w:after="60"/>
              <w:rPr>
                <w:szCs w:val="22"/>
                <w:lang w:eastAsia="en-AU"/>
              </w:rPr>
            </w:pPr>
            <w:r w:rsidRPr="00811604">
              <w:rPr>
                <w:szCs w:val="22"/>
                <w:lang w:eastAsia="en-AU"/>
              </w:rPr>
              <w:t>Parent organism</w:t>
            </w:r>
          </w:p>
        </w:tc>
        <w:tc>
          <w:tcPr>
            <w:tcW w:w="6882" w:type="dxa"/>
            <w:shd w:val="clear" w:color="auto" w:fill="auto"/>
          </w:tcPr>
          <w:p w14:paraId="313C4483" w14:textId="77777777" w:rsidR="00466BE8" w:rsidRPr="00811604" w:rsidRDefault="00466BE8" w:rsidP="007B28BB">
            <w:pPr>
              <w:spacing w:before="60" w:after="60"/>
              <w:rPr>
                <w:szCs w:val="22"/>
                <w:lang w:eastAsia="en-AU"/>
              </w:rPr>
            </w:pPr>
            <w:r>
              <w:t>Perennial ryegrass</w:t>
            </w:r>
            <w:r w:rsidRPr="002E4447">
              <w:t xml:space="preserve"> (</w:t>
            </w:r>
            <w:r w:rsidRPr="00FF368B">
              <w:rPr>
                <w:i/>
              </w:rPr>
              <w:t xml:space="preserve">Lolium </w:t>
            </w:r>
            <w:proofErr w:type="spellStart"/>
            <w:r w:rsidRPr="00FF368B">
              <w:rPr>
                <w:i/>
              </w:rPr>
              <w:t>perenne</w:t>
            </w:r>
            <w:proofErr w:type="spellEnd"/>
            <w:r w:rsidRPr="002E4447">
              <w:rPr>
                <w:lang w:val="pt-BR"/>
              </w:rPr>
              <w:t>)</w:t>
            </w:r>
          </w:p>
        </w:tc>
      </w:tr>
      <w:tr w:rsidR="00466BE8" w:rsidRPr="00811604" w14:paraId="55BCB756" w14:textId="77777777" w:rsidTr="00466BE8">
        <w:trPr>
          <w:cantSplit/>
        </w:trPr>
        <w:tc>
          <w:tcPr>
            <w:tcW w:w="2410" w:type="dxa"/>
            <w:shd w:val="clear" w:color="auto" w:fill="auto"/>
          </w:tcPr>
          <w:p w14:paraId="29A8EC88" w14:textId="77777777" w:rsidR="00466BE8" w:rsidRPr="00811604" w:rsidRDefault="00466BE8" w:rsidP="007B28BB">
            <w:pPr>
              <w:spacing w:before="60" w:after="60"/>
              <w:rPr>
                <w:szCs w:val="22"/>
                <w:lang w:eastAsia="en-AU"/>
              </w:rPr>
            </w:pPr>
            <w:r w:rsidRPr="00811604">
              <w:rPr>
                <w:szCs w:val="22"/>
                <w:lang w:eastAsia="en-AU"/>
              </w:rPr>
              <w:t>Introduced genes and modified traits</w:t>
            </w:r>
          </w:p>
        </w:tc>
        <w:tc>
          <w:tcPr>
            <w:tcW w:w="6882" w:type="dxa"/>
            <w:shd w:val="clear" w:color="auto" w:fill="auto"/>
          </w:tcPr>
          <w:p w14:paraId="5086F273" w14:textId="77777777" w:rsidR="00466BE8" w:rsidRPr="006B68A7" w:rsidRDefault="00466BE8" w:rsidP="00466BE8">
            <w:pPr>
              <w:pStyle w:val="RIGHTLIST"/>
              <w:numPr>
                <w:ilvl w:val="0"/>
                <w:numId w:val="47"/>
              </w:numPr>
              <w:autoSpaceDE w:val="0"/>
              <w:autoSpaceDN w:val="0"/>
              <w:spacing w:before="0"/>
              <w:rPr>
                <w:rFonts w:ascii="Calibri" w:hAnsi="Calibri"/>
              </w:rPr>
            </w:pPr>
            <w:r>
              <w:rPr>
                <w:rFonts w:ascii="Calibri" w:hAnsi="Calibri"/>
              </w:rPr>
              <w:t xml:space="preserve">Two </w:t>
            </w:r>
            <w:proofErr w:type="spellStart"/>
            <w:r>
              <w:rPr>
                <w:rFonts w:ascii="Calibri" w:hAnsi="Calibri"/>
              </w:rPr>
              <w:t>fructan</w:t>
            </w:r>
            <w:proofErr w:type="spellEnd"/>
            <w:r>
              <w:rPr>
                <w:rFonts w:ascii="Calibri" w:hAnsi="Calibri"/>
              </w:rPr>
              <w:t xml:space="preserve"> biosynthesis</w:t>
            </w:r>
            <w:r w:rsidRPr="006B68A7">
              <w:rPr>
                <w:rFonts w:ascii="Calibri" w:hAnsi="Calibri"/>
              </w:rPr>
              <w:t xml:space="preserve"> gene</w:t>
            </w:r>
            <w:r>
              <w:rPr>
                <w:rFonts w:ascii="Calibri" w:hAnsi="Calibri"/>
              </w:rPr>
              <w:t>s (</w:t>
            </w:r>
            <w:proofErr w:type="spellStart"/>
            <w:r w:rsidRPr="001747DA">
              <w:rPr>
                <w:rFonts w:ascii="Calibri" w:hAnsi="Calibri"/>
              </w:rPr>
              <w:t>sucrose:sucrose</w:t>
            </w:r>
            <w:proofErr w:type="spellEnd"/>
            <w:r w:rsidRPr="001747DA">
              <w:rPr>
                <w:rFonts w:ascii="Calibri" w:hAnsi="Calibri"/>
              </w:rPr>
              <w:t xml:space="preserve"> 1-fructosyltransferase</w:t>
            </w:r>
            <w:r>
              <w:rPr>
                <w:rFonts w:ascii="Calibri" w:hAnsi="Calibri"/>
              </w:rPr>
              <w:t xml:space="preserve"> and </w:t>
            </w:r>
            <w:proofErr w:type="spellStart"/>
            <w:r w:rsidRPr="001747DA">
              <w:rPr>
                <w:rFonts w:ascii="Calibri" w:hAnsi="Calibri"/>
              </w:rPr>
              <w:t>fructan:fructan</w:t>
            </w:r>
            <w:proofErr w:type="spellEnd"/>
            <w:r w:rsidRPr="001747DA">
              <w:rPr>
                <w:rFonts w:ascii="Calibri" w:hAnsi="Calibri"/>
              </w:rPr>
              <w:t xml:space="preserve"> 6G-fructosyltransferase</w:t>
            </w:r>
            <w:r>
              <w:rPr>
                <w:rFonts w:ascii="Calibri" w:hAnsi="Calibri"/>
              </w:rPr>
              <w:t xml:space="preserve">) </w:t>
            </w:r>
            <w:r w:rsidRPr="006B68A7">
              <w:rPr>
                <w:rFonts w:ascii="Calibri" w:hAnsi="Calibri"/>
              </w:rPr>
              <w:t xml:space="preserve"> from </w:t>
            </w:r>
            <w:r>
              <w:rPr>
                <w:rFonts w:ascii="Calibri" w:hAnsi="Calibri"/>
              </w:rPr>
              <w:t>perennial ryegrass</w:t>
            </w:r>
            <w:r w:rsidRPr="006B68A7">
              <w:rPr>
                <w:rFonts w:ascii="Calibri" w:hAnsi="Calibri"/>
              </w:rPr>
              <w:t xml:space="preserve"> for </w:t>
            </w:r>
            <w:r>
              <w:rPr>
                <w:rFonts w:ascii="Calibri" w:hAnsi="Calibri"/>
              </w:rPr>
              <w:t>increased plant nutritional quality and biomass production</w:t>
            </w:r>
          </w:p>
          <w:p w14:paraId="641005D5" w14:textId="77777777" w:rsidR="00466BE8" w:rsidRPr="00811604" w:rsidRDefault="00466BE8" w:rsidP="00466BE8">
            <w:pPr>
              <w:pStyle w:val="ListParagraph"/>
              <w:keepNext/>
              <w:numPr>
                <w:ilvl w:val="0"/>
                <w:numId w:val="47"/>
              </w:numPr>
              <w:tabs>
                <w:tab w:val="right" w:leader="dot" w:pos="9356"/>
              </w:tabs>
              <w:autoSpaceDE w:val="0"/>
              <w:autoSpaceDN w:val="0"/>
              <w:spacing w:before="0" w:after="40"/>
              <w:contextualSpacing w:val="0"/>
              <w:rPr>
                <w:i/>
                <w:szCs w:val="22"/>
                <w:lang w:eastAsia="en-AU"/>
              </w:rPr>
            </w:pPr>
            <w:proofErr w:type="spellStart"/>
            <w:r>
              <w:rPr>
                <w:i/>
              </w:rPr>
              <w:t>hph</w:t>
            </w:r>
            <w:proofErr w:type="spellEnd"/>
            <w:r w:rsidRPr="006B68A7">
              <w:t xml:space="preserve"> </w:t>
            </w:r>
            <w:r>
              <w:t xml:space="preserve">selectable marker </w:t>
            </w:r>
            <w:r w:rsidRPr="006B68A7">
              <w:t xml:space="preserve">gene from </w:t>
            </w:r>
            <w:r w:rsidRPr="006B68A7">
              <w:rPr>
                <w:i/>
              </w:rPr>
              <w:t>Escherichia coli</w:t>
            </w:r>
          </w:p>
        </w:tc>
      </w:tr>
      <w:tr w:rsidR="00466BE8" w:rsidRPr="00811604" w14:paraId="7A226450" w14:textId="77777777" w:rsidTr="00466BE8">
        <w:trPr>
          <w:cantSplit/>
        </w:trPr>
        <w:tc>
          <w:tcPr>
            <w:tcW w:w="2410" w:type="dxa"/>
            <w:shd w:val="clear" w:color="auto" w:fill="auto"/>
          </w:tcPr>
          <w:p w14:paraId="43D23ADB" w14:textId="77777777" w:rsidR="00466BE8" w:rsidRPr="00811604" w:rsidRDefault="00466BE8" w:rsidP="007B28BB">
            <w:pPr>
              <w:spacing w:before="60" w:after="60"/>
              <w:rPr>
                <w:szCs w:val="22"/>
                <w:lang w:eastAsia="en-AU"/>
              </w:rPr>
            </w:pPr>
            <w:r w:rsidRPr="00811604">
              <w:rPr>
                <w:szCs w:val="22"/>
                <w:lang w:eastAsia="en-AU"/>
              </w:rPr>
              <w:t>Proposed location</w:t>
            </w:r>
          </w:p>
        </w:tc>
        <w:tc>
          <w:tcPr>
            <w:tcW w:w="6882" w:type="dxa"/>
            <w:shd w:val="clear" w:color="auto" w:fill="auto"/>
          </w:tcPr>
          <w:p w14:paraId="7328AA83" w14:textId="77777777" w:rsidR="00466BE8" w:rsidRPr="00811604" w:rsidRDefault="00466BE8" w:rsidP="007B28BB">
            <w:pPr>
              <w:spacing w:before="60" w:after="60"/>
              <w:rPr>
                <w:szCs w:val="22"/>
                <w:lang w:eastAsia="en-AU"/>
              </w:rPr>
            </w:pPr>
            <w:r>
              <w:t>One site in the Southern Grampians Shire in south-west Victoria.</w:t>
            </w:r>
          </w:p>
        </w:tc>
      </w:tr>
      <w:tr w:rsidR="00466BE8" w:rsidRPr="00811604" w14:paraId="4EC6ABA3" w14:textId="77777777" w:rsidTr="00466BE8">
        <w:trPr>
          <w:cantSplit/>
        </w:trPr>
        <w:tc>
          <w:tcPr>
            <w:tcW w:w="2410" w:type="dxa"/>
            <w:shd w:val="clear" w:color="auto" w:fill="auto"/>
          </w:tcPr>
          <w:p w14:paraId="146F53AA" w14:textId="77777777" w:rsidR="00466BE8" w:rsidRPr="00811604" w:rsidRDefault="00466BE8" w:rsidP="007B28BB">
            <w:pPr>
              <w:spacing w:before="60" w:after="60"/>
              <w:rPr>
                <w:szCs w:val="22"/>
                <w:lang w:eastAsia="en-AU"/>
              </w:rPr>
            </w:pPr>
            <w:r w:rsidRPr="00811604">
              <w:rPr>
                <w:szCs w:val="22"/>
                <w:lang w:eastAsia="en-AU"/>
              </w:rPr>
              <w:t>Proposed release size</w:t>
            </w:r>
          </w:p>
        </w:tc>
        <w:tc>
          <w:tcPr>
            <w:tcW w:w="6882" w:type="dxa"/>
            <w:shd w:val="clear" w:color="auto" w:fill="auto"/>
          </w:tcPr>
          <w:p w14:paraId="0DE96B51" w14:textId="77777777" w:rsidR="00466BE8" w:rsidRPr="00811604" w:rsidRDefault="00466BE8" w:rsidP="007B28BB">
            <w:pPr>
              <w:spacing w:before="60" w:after="60"/>
              <w:rPr>
                <w:szCs w:val="22"/>
                <w:lang w:eastAsia="en-AU"/>
              </w:rPr>
            </w:pPr>
            <w:r w:rsidRPr="008C5BDA">
              <w:rPr>
                <w:iCs/>
              </w:rPr>
              <w:t>Up to 160 m</w:t>
            </w:r>
            <w:r w:rsidRPr="008C5BDA">
              <w:rPr>
                <w:iCs/>
                <w:vertAlign w:val="superscript"/>
              </w:rPr>
              <w:t>2</w:t>
            </w:r>
            <w:r w:rsidRPr="008C5BDA">
              <w:rPr>
                <w:iCs/>
              </w:rPr>
              <w:t xml:space="preserve"> each year</w:t>
            </w:r>
          </w:p>
        </w:tc>
      </w:tr>
      <w:tr w:rsidR="00466BE8" w:rsidRPr="00811604" w14:paraId="1BB95556" w14:textId="77777777" w:rsidTr="00466BE8">
        <w:trPr>
          <w:cantSplit/>
        </w:trPr>
        <w:tc>
          <w:tcPr>
            <w:tcW w:w="2410" w:type="dxa"/>
            <w:shd w:val="clear" w:color="auto" w:fill="auto"/>
          </w:tcPr>
          <w:p w14:paraId="36B3624F" w14:textId="77777777" w:rsidR="00466BE8" w:rsidRPr="00811604" w:rsidRDefault="00466BE8" w:rsidP="007B28BB">
            <w:pPr>
              <w:spacing w:before="60" w:after="60"/>
              <w:rPr>
                <w:szCs w:val="22"/>
                <w:lang w:eastAsia="en-AU"/>
              </w:rPr>
            </w:pPr>
            <w:r w:rsidRPr="00811604">
              <w:rPr>
                <w:szCs w:val="22"/>
                <w:lang w:eastAsia="en-AU"/>
              </w:rPr>
              <w:t>Proposed release dates</w:t>
            </w:r>
          </w:p>
        </w:tc>
        <w:tc>
          <w:tcPr>
            <w:tcW w:w="6882" w:type="dxa"/>
            <w:shd w:val="clear" w:color="auto" w:fill="auto"/>
          </w:tcPr>
          <w:p w14:paraId="1ACF3F3A" w14:textId="77777777" w:rsidR="00466BE8" w:rsidRPr="00811604" w:rsidRDefault="00466BE8" w:rsidP="007B28BB">
            <w:pPr>
              <w:spacing w:before="60" w:after="60"/>
              <w:rPr>
                <w:szCs w:val="22"/>
                <w:lang w:eastAsia="en-AU"/>
              </w:rPr>
            </w:pPr>
            <w:r>
              <w:t>May</w:t>
            </w:r>
            <w:r w:rsidRPr="002E4447">
              <w:t xml:space="preserve"> 201</w:t>
            </w:r>
            <w:r>
              <w:t>8</w:t>
            </w:r>
            <w:r w:rsidRPr="002E4447">
              <w:t xml:space="preserve"> – June 2020</w:t>
            </w:r>
          </w:p>
        </w:tc>
      </w:tr>
      <w:tr w:rsidR="00466BE8" w:rsidRPr="00811604" w14:paraId="07EEA6A6" w14:textId="77777777" w:rsidTr="00466BE8">
        <w:trPr>
          <w:cantSplit/>
        </w:trPr>
        <w:tc>
          <w:tcPr>
            <w:tcW w:w="2410" w:type="dxa"/>
            <w:shd w:val="clear" w:color="auto" w:fill="auto"/>
          </w:tcPr>
          <w:p w14:paraId="300B7FBD" w14:textId="77777777" w:rsidR="00466BE8" w:rsidRPr="00811604" w:rsidRDefault="00466BE8" w:rsidP="007B28BB">
            <w:pPr>
              <w:spacing w:before="60" w:after="60"/>
              <w:rPr>
                <w:szCs w:val="22"/>
                <w:lang w:eastAsia="en-AU"/>
              </w:rPr>
            </w:pPr>
            <w:r w:rsidRPr="00811604">
              <w:rPr>
                <w:szCs w:val="22"/>
                <w:lang w:eastAsia="en-AU"/>
              </w:rPr>
              <w:t>Primary purpose</w:t>
            </w:r>
          </w:p>
        </w:tc>
        <w:tc>
          <w:tcPr>
            <w:tcW w:w="6882" w:type="dxa"/>
            <w:shd w:val="clear" w:color="auto" w:fill="auto"/>
          </w:tcPr>
          <w:p w14:paraId="443031AE" w14:textId="77777777" w:rsidR="00466BE8" w:rsidRPr="00811604" w:rsidRDefault="00466BE8" w:rsidP="007B28BB">
            <w:pPr>
              <w:spacing w:before="60" w:after="60"/>
              <w:rPr>
                <w:szCs w:val="22"/>
                <w:lang w:eastAsia="en-AU"/>
              </w:rPr>
            </w:pPr>
            <w:r w:rsidRPr="002E4447">
              <w:t>To assess agronomic characteristics</w:t>
            </w:r>
            <w:r>
              <w:t xml:space="preserve"> and</w:t>
            </w:r>
            <w:r w:rsidRPr="002E4447">
              <w:t xml:space="preserve"> </w:t>
            </w:r>
            <w:r>
              <w:t>to multiply seed for future trials</w:t>
            </w:r>
          </w:p>
        </w:tc>
      </w:tr>
    </w:tbl>
    <w:p w14:paraId="697BD7E3" w14:textId="77777777" w:rsidR="00466BE8" w:rsidRPr="00466BE8" w:rsidRDefault="00466BE8" w:rsidP="00466BE8">
      <w:pPr>
        <w:pStyle w:val="Heading2"/>
        <w:numPr>
          <w:ilvl w:val="0"/>
          <w:numId w:val="0"/>
        </w:numPr>
        <w:spacing w:after="120"/>
        <w:rPr>
          <w:i/>
        </w:rPr>
      </w:pPr>
      <w:bookmarkStart w:id="10" w:name="_Toc209859548"/>
      <w:bookmarkStart w:id="11" w:name="_Toc274904727"/>
      <w:bookmarkStart w:id="12" w:name="_Toc291151777"/>
      <w:bookmarkStart w:id="13" w:name="_Toc355007996"/>
      <w:bookmarkStart w:id="14" w:name="_Toc507595115"/>
      <w:r w:rsidRPr="00466BE8">
        <w:rPr>
          <w:i/>
        </w:rPr>
        <w:t>Risk assessment</w:t>
      </w:r>
      <w:bookmarkEnd w:id="10"/>
      <w:bookmarkEnd w:id="11"/>
      <w:bookmarkEnd w:id="12"/>
      <w:bookmarkEnd w:id="13"/>
      <w:bookmarkEnd w:id="14"/>
    </w:p>
    <w:p w14:paraId="4F161866" w14:textId="77777777" w:rsidR="00466BE8" w:rsidRPr="00811604" w:rsidRDefault="00466BE8" w:rsidP="00466BE8">
      <w:pPr>
        <w:rPr>
          <w:bCs/>
          <w:szCs w:val="22"/>
          <w:lang w:eastAsia="en-AU"/>
        </w:rPr>
      </w:pPr>
      <w:r w:rsidRPr="00F25A08">
        <w:rPr>
          <w:szCs w:val="22"/>
          <w:lang w:eastAsia="en-AU"/>
        </w:rPr>
        <w:t>The risk assessment concludes that risks to the health and safety of people, or the environment, from the proposed release are negligible. No specific risk treatment measures are required to manage these negligible risks.</w:t>
      </w:r>
    </w:p>
    <w:p w14:paraId="1DB2E157" w14:textId="77777777" w:rsidR="00466BE8" w:rsidRPr="00811604" w:rsidRDefault="00466BE8" w:rsidP="00466BE8">
      <w:pPr>
        <w:rPr>
          <w:szCs w:val="22"/>
          <w:lang w:eastAsia="en-AU"/>
        </w:rPr>
      </w:pPr>
      <w:r w:rsidRPr="00811604">
        <w:rPr>
          <w:szCs w:val="22"/>
          <w:lang w:eastAsia="en-AU"/>
        </w:rPr>
        <w:lastRenderedPageBreak/>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are</w:t>
      </w:r>
      <w:r>
        <w:rPr>
          <w:szCs w:val="22"/>
          <w:lang w:eastAsia="en-AU"/>
        </w:rPr>
        <w:t xml:space="preserve"> taken into account in the risk assessment</w:t>
      </w:r>
      <w:r w:rsidRPr="00811604">
        <w:rPr>
          <w:szCs w:val="22"/>
          <w:lang w:eastAsia="en-AU"/>
        </w:rPr>
        <w:t>.</w:t>
      </w:r>
    </w:p>
    <w:p w14:paraId="727B89BD" w14:textId="77777777" w:rsidR="00466BE8" w:rsidRPr="00C47434" w:rsidRDefault="00466BE8" w:rsidP="00466BE8">
      <w:pPr>
        <w:rPr>
          <w:szCs w:val="22"/>
          <w:lang w:eastAsia="en-AU"/>
        </w:rPr>
      </w:pPr>
      <w:r>
        <w:rPr>
          <w:szCs w:val="22"/>
          <w:lang w:eastAsia="en-AU"/>
        </w:rPr>
        <w:t>P</w:t>
      </w:r>
      <w:r w:rsidRPr="00C47434">
        <w:rPr>
          <w:szCs w:val="22"/>
          <w:lang w:eastAsia="en-AU"/>
        </w:rPr>
        <w:t xml:space="preserve">athways to potential harm that were considered included exposure of people or animals to the GM plant material, potential for persistence or dispersal of the GMOs, and transfer of the introduced genetic material to other </w:t>
      </w:r>
      <w:r>
        <w:rPr>
          <w:szCs w:val="22"/>
          <w:lang w:eastAsia="en-AU"/>
        </w:rPr>
        <w:t>perennial ryegrass</w:t>
      </w:r>
      <w:r w:rsidRPr="00C47434">
        <w:rPr>
          <w:szCs w:val="22"/>
          <w:lang w:eastAsia="en-AU"/>
        </w:rPr>
        <w:t xml:space="preserve"> plants or related s</w:t>
      </w:r>
      <w:r>
        <w:rPr>
          <w:szCs w:val="22"/>
          <w:lang w:eastAsia="en-AU"/>
        </w:rPr>
        <w:t>pecies</w:t>
      </w:r>
      <w:r w:rsidRPr="00C47434">
        <w:rPr>
          <w:szCs w:val="22"/>
          <w:lang w:eastAsia="en-AU"/>
        </w:rPr>
        <w:t>. Potential harms associated with these pathways included toxicity or allergenicity to people, toxicity to desirable animals, and environmental harms due to weediness.</w:t>
      </w:r>
    </w:p>
    <w:p w14:paraId="08600E46" w14:textId="77777777" w:rsidR="00466BE8" w:rsidRPr="00811604" w:rsidRDefault="00466BE8" w:rsidP="00466BE8">
      <w:pPr>
        <w:rPr>
          <w:lang w:eastAsia="en-AU"/>
        </w:rPr>
      </w:pPr>
      <w:r w:rsidRPr="00C47434">
        <w:rPr>
          <w:szCs w:val="22"/>
          <w:lang w:eastAsia="en-AU"/>
        </w:rPr>
        <w:t>The principal reasons for the conclusion of negligible risks are that the GM plant material will not be used for human food or animal feed</w:t>
      </w:r>
      <w:r>
        <w:rPr>
          <w:szCs w:val="22"/>
          <w:lang w:eastAsia="en-AU"/>
        </w:rPr>
        <w:t xml:space="preserve"> and</w:t>
      </w:r>
      <w:r w:rsidRPr="00C47434">
        <w:rPr>
          <w:szCs w:val="22"/>
          <w:lang w:eastAsia="en-AU"/>
        </w:rPr>
        <w:t xml:space="preserve"> the </w:t>
      </w:r>
      <w:r>
        <w:rPr>
          <w:szCs w:val="22"/>
          <w:lang w:eastAsia="en-AU"/>
        </w:rPr>
        <w:t>imposed</w:t>
      </w:r>
      <w:r w:rsidRPr="00C47434">
        <w:rPr>
          <w:szCs w:val="22"/>
          <w:lang w:eastAsia="en-AU"/>
        </w:rPr>
        <w:t xml:space="preserve"> limits and controls effectively contain the GMOs and their genetic material and minimise exposure</w:t>
      </w:r>
      <w:r>
        <w:rPr>
          <w:szCs w:val="22"/>
          <w:lang w:eastAsia="en-AU"/>
        </w:rPr>
        <w:t>.</w:t>
      </w:r>
      <w:r w:rsidRPr="00C47434">
        <w:rPr>
          <w:szCs w:val="22"/>
          <w:lang w:eastAsia="en-AU"/>
        </w:rPr>
        <w:t xml:space="preserve"> </w:t>
      </w:r>
    </w:p>
    <w:p w14:paraId="68105B95" w14:textId="77777777" w:rsidR="00466BE8" w:rsidRPr="00466BE8" w:rsidRDefault="00466BE8" w:rsidP="00466BE8">
      <w:pPr>
        <w:pStyle w:val="Heading2"/>
        <w:numPr>
          <w:ilvl w:val="0"/>
          <w:numId w:val="0"/>
        </w:numPr>
        <w:spacing w:after="120"/>
        <w:rPr>
          <w:i/>
        </w:rPr>
      </w:pPr>
      <w:bookmarkStart w:id="15" w:name="_Toc209859549"/>
      <w:bookmarkStart w:id="16" w:name="_Toc274904728"/>
      <w:bookmarkStart w:id="17" w:name="_Toc291151778"/>
      <w:bookmarkStart w:id="18" w:name="_Toc355007997"/>
      <w:bookmarkStart w:id="19" w:name="_Toc507595116"/>
      <w:r w:rsidRPr="00466BE8">
        <w:rPr>
          <w:i/>
        </w:rPr>
        <w:t>Risk management</w:t>
      </w:r>
      <w:bookmarkEnd w:id="15"/>
      <w:r w:rsidRPr="00466BE8">
        <w:rPr>
          <w:i/>
        </w:rPr>
        <w:t xml:space="preserve"> plan</w:t>
      </w:r>
      <w:bookmarkEnd w:id="16"/>
      <w:bookmarkEnd w:id="17"/>
      <w:bookmarkEnd w:id="18"/>
      <w:bookmarkEnd w:id="19"/>
    </w:p>
    <w:p w14:paraId="56966042" w14:textId="77777777" w:rsidR="00466BE8" w:rsidRPr="00811604" w:rsidRDefault="00466BE8" w:rsidP="00466BE8">
      <w:pPr>
        <w:rPr>
          <w:szCs w:val="22"/>
          <w:lang w:eastAsia="en-AU"/>
        </w:rPr>
      </w:pPr>
      <w:r w:rsidRPr="00811604">
        <w:rPr>
          <w:szCs w:val="22"/>
          <w:lang w:eastAsia="en-AU"/>
        </w:rPr>
        <w:t>The risk management plan describes measures to protect the health and safety of people and to protect the environment by controlling or mitigating risk. The risk management plan is given effect through licence conditions.</w:t>
      </w:r>
    </w:p>
    <w:p w14:paraId="61F7AADA" w14:textId="77777777" w:rsidR="00466BE8" w:rsidRPr="00811604" w:rsidRDefault="00466BE8" w:rsidP="00466BE8">
      <w:pPr>
        <w:rPr>
          <w:szCs w:val="22"/>
          <w:lang w:eastAsia="en-AU"/>
        </w:rPr>
      </w:pPr>
      <w:r w:rsidRPr="00C47434">
        <w:rPr>
          <w:szCs w:val="22"/>
          <w:lang w:eastAsia="en-AU"/>
        </w:rPr>
        <w:t>As the level of risk is considered negligible,</w:t>
      </w:r>
      <w:r w:rsidRPr="00C47434" w:rsidDel="00DB4CC6">
        <w:rPr>
          <w:szCs w:val="22"/>
          <w:lang w:eastAsia="en-AU"/>
        </w:rPr>
        <w:t xml:space="preserve"> </w:t>
      </w:r>
      <w:r w:rsidRPr="00C47434">
        <w:rPr>
          <w:szCs w:val="22"/>
          <w:lang w:eastAsia="en-AU"/>
        </w:rPr>
        <w:t xml:space="preserve">specific risk treatment is not required. However, since this is a limited and controlled release, the licence includes limits on the size, location and duration of the release, as well as controls to prohibit the use of GM plant material in human food or animal feed, to minimise dispersal of the GMOs </w:t>
      </w:r>
      <w:r>
        <w:rPr>
          <w:szCs w:val="22"/>
          <w:lang w:eastAsia="en-AU"/>
        </w:rPr>
        <w:t xml:space="preserve">or GM pollen </w:t>
      </w:r>
      <w:r w:rsidRPr="00C47434">
        <w:rPr>
          <w:szCs w:val="22"/>
          <w:lang w:eastAsia="en-AU"/>
        </w:rPr>
        <w:t>from</w:t>
      </w:r>
      <w:r>
        <w:rPr>
          <w:szCs w:val="22"/>
          <w:lang w:eastAsia="en-AU"/>
        </w:rPr>
        <w:t xml:space="preserve"> the</w:t>
      </w:r>
      <w:r w:rsidRPr="00C47434">
        <w:rPr>
          <w:szCs w:val="22"/>
          <w:lang w:eastAsia="en-AU"/>
        </w:rPr>
        <w:t xml:space="preserve"> trial site, to transport GMOs in accordance with the Regulator’s guidelines, to destroy GMOs not required for testing or further planting, and to conduct post-harvest monitoring at </w:t>
      </w:r>
      <w:r>
        <w:rPr>
          <w:szCs w:val="22"/>
          <w:lang w:eastAsia="en-AU"/>
        </w:rPr>
        <w:t xml:space="preserve">the </w:t>
      </w:r>
      <w:r w:rsidRPr="00C47434">
        <w:rPr>
          <w:szCs w:val="22"/>
          <w:lang w:eastAsia="en-AU"/>
        </w:rPr>
        <w:t>trial site to ensure all GMOs are destroyed.</w:t>
      </w:r>
    </w:p>
    <w:p w14:paraId="75625618" w14:textId="77777777" w:rsidR="00D05FF1" w:rsidRPr="00466BE8" w:rsidRDefault="00D05FF1" w:rsidP="00466BE8">
      <w:pPr>
        <w:keepNext/>
        <w:spacing w:before="240" w:after="240"/>
        <w:outlineLvl w:val="1"/>
        <w:rPr>
          <w:rFonts w:eastAsiaTheme="minorEastAsia" w:cs="Arial"/>
          <w:b/>
          <w:bCs/>
          <w:i/>
          <w:iCs/>
          <w:sz w:val="28"/>
          <w:szCs w:val="28"/>
        </w:rPr>
      </w:pPr>
    </w:p>
    <w:p w14:paraId="588DBBF2" w14:textId="77777777" w:rsidR="00FD7329" w:rsidRDefault="00FD7329" w:rsidP="00FD7329"/>
    <w:sectPr w:rsidR="00FD7329" w:rsidSect="00EB4AA7">
      <w:headerReference w:type="default" r:id="rId8"/>
      <w:footerReference w:type="default" r:id="rId9"/>
      <w:headerReference w:type="first" r:id="rId10"/>
      <w:footerReference w:type="first" r:id="rId11"/>
      <w:footnotePr>
        <w:pos w:val="beneathText"/>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B86CF" w14:textId="77777777" w:rsidR="00E575DB" w:rsidRDefault="00E575DB" w:rsidP="004B222F">
      <w:r>
        <w:separator/>
      </w:r>
    </w:p>
    <w:p w14:paraId="27AF6BEC" w14:textId="77777777" w:rsidR="00E575DB" w:rsidRDefault="00E575DB"/>
  </w:endnote>
  <w:endnote w:type="continuationSeparator" w:id="0">
    <w:p w14:paraId="20ADD80E" w14:textId="77777777" w:rsidR="00E575DB" w:rsidRDefault="00E575DB" w:rsidP="004B222F">
      <w:r>
        <w:continuationSeparator/>
      </w:r>
    </w:p>
    <w:p w14:paraId="4846532C" w14:textId="77777777"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454A" w14:textId="77777777" w:rsidR="00E575DB" w:rsidRPr="00A50802" w:rsidRDefault="00E575DB" w:rsidP="00177E87">
    <w:pPr>
      <w:pStyle w:val="Footer"/>
      <w:pBdr>
        <w:top w:val="single" w:sz="4" w:space="1" w:color="auto"/>
      </w:pBdr>
      <w:tabs>
        <w:tab w:val="right" w:pos="9639"/>
      </w:tabs>
      <w:jc w:val="right"/>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B67A6">
      <w:rPr>
        <w:noProof/>
        <w:sz w:val="18"/>
        <w:szCs w:val="18"/>
      </w:rPr>
      <w:t>2</w:t>
    </w:r>
    <w:r w:rsidRPr="00F22284">
      <w:rPr>
        <w:sz w:val="18"/>
        <w:szCs w:val="18"/>
      </w:rPr>
      <w:fldChar w:fldCharType="end"/>
    </w:r>
  </w:p>
  <w:p w14:paraId="308B0505" w14:textId="77777777" w:rsidR="00E575DB" w:rsidRDefault="00E575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29F8" w14:textId="77777777" w:rsidR="00160E60" w:rsidRPr="00B20009" w:rsidRDefault="00160E60" w:rsidP="00160E60">
    <w:pPr>
      <w:pBdr>
        <w:top w:val="single" w:sz="8" w:space="1" w:color="auto"/>
      </w:pBdr>
      <w:jc w:val="center"/>
      <w:rPr>
        <w:noProof/>
        <w:sz w:val="20"/>
        <w:szCs w:val="20"/>
      </w:rPr>
    </w:pPr>
    <w:r w:rsidRPr="00B20009">
      <w:rPr>
        <w:noProof/>
        <w:sz w:val="20"/>
        <w:szCs w:val="20"/>
      </w:rPr>
      <w:t>Address: MDP 54 GPO Box 9848 Canberra ACT 2601  Website: www.ogtr.gov.au</w:t>
    </w:r>
  </w:p>
  <w:p w14:paraId="79A1E928" w14:textId="77777777" w:rsidR="00160E60" w:rsidRDefault="00160E60" w:rsidP="00160E60">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1C0A" w14:textId="77777777" w:rsidR="00E575DB" w:rsidRDefault="00E575DB" w:rsidP="004B222F">
      <w:r>
        <w:separator/>
      </w:r>
    </w:p>
    <w:p w14:paraId="77F07F66" w14:textId="77777777" w:rsidR="00E575DB" w:rsidRDefault="00E575DB"/>
  </w:footnote>
  <w:footnote w:type="continuationSeparator" w:id="0">
    <w:p w14:paraId="22372CD0" w14:textId="77777777" w:rsidR="00E575DB" w:rsidRDefault="00E575DB" w:rsidP="004B222F">
      <w:r>
        <w:continuationSeparator/>
      </w:r>
    </w:p>
    <w:p w14:paraId="39BEDE69" w14:textId="77777777" w:rsidR="00E575DB" w:rsidRDefault="00E57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5A9D" w14:textId="77777777" w:rsidR="00160E60" w:rsidRPr="00160E60" w:rsidRDefault="00160E60" w:rsidP="00160E60">
    <w:pPr>
      <w:pStyle w:val="Header"/>
      <w:pBdr>
        <w:bottom w:val="single" w:sz="6" w:space="1" w:color="auto"/>
      </w:pBdr>
      <w:jc w:val="center"/>
      <w:rPr>
        <w:sz w:val="20"/>
        <w:szCs w:val="20"/>
      </w:rPr>
    </w:pPr>
    <w:r w:rsidRPr="00B20009">
      <w:rPr>
        <w:sz w:val="20"/>
        <w:szCs w:val="20"/>
      </w:rPr>
      <w:t>Office of the Gene Technology Regulator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AF51" w14:textId="77777777" w:rsidR="00232B25" w:rsidRDefault="00232B25" w:rsidP="00232B25">
    <w:pPr>
      <w:pStyle w:val="Header"/>
      <w:jc w:val="center"/>
    </w:pPr>
    <w:r w:rsidRPr="009C7BC0">
      <w:rPr>
        <w:noProof/>
        <w:lang w:eastAsia="en-AU"/>
      </w:rPr>
      <w:drawing>
        <wp:inline distT="0" distB="0" distL="0" distR="0" wp14:anchorId="6F3650BF" wp14:editId="11C492D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4"/>
  </w:num>
  <w:num w:numId="4">
    <w:abstractNumId w:val="23"/>
  </w:num>
  <w:num w:numId="5">
    <w:abstractNumId w:val="29"/>
  </w:num>
  <w:num w:numId="6">
    <w:abstractNumId w:val="22"/>
  </w:num>
  <w:num w:numId="7">
    <w:abstractNumId w:val="2"/>
  </w:num>
  <w:num w:numId="8">
    <w:abstractNumId w:val="5"/>
  </w:num>
  <w:num w:numId="9">
    <w:abstractNumId w:val="21"/>
  </w:num>
  <w:num w:numId="10">
    <w:abstractNumId w:val="32"/>
  </w:num>
  <w:num w:numId="11">
    <w:abstractNumId w:val="17"/>
  </w:num>
  <w:num w:numId="12">
    <w:abstractNumId w:val="28"/>
  </w:num>
  <w:num w:numId="13">
    <w:abstractNumId w:val="34"/>
  </w:num>
  <w:num w:numId="14">
    <w:abstractNumId w:val="31"/>
  </w:num>
  <w:num w:numId="15">
    <w:abstractNumId w:val="1"/>
  </w:num>
  <w:num w:numId="16">
    <w:abstractNumId w:val="26"/>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3"/>
  </w:num>
  <w:num w:numId="30">
    <w:abstractNumId w:val="24"/>
  </w:num>
  <w:num w:numId="31">
    <w:abstractNumId w:val="12"/>
  </w:num>
  <w:num w:numId="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20"/>
  </w:num>
  <w:num w:numId="42">
    <w:abstractNumId w:val="21"/>
  </w:num>
  <w:num w:numId="43">
    <w:abstractNumId w:val="21"/>
  </w:num>
  <w:num w:numId="44">
    <w:abstractNumId w:val="21"/>
  </w:num>
  <w:num w:numId="45">
    <w:abstractNumId w:val="16"/>
  </w:num>
  <w:num w:numId="46">
    <w:abstractNumId w:val="6"/>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A710B"/>
    <w:rsid w:val="001B0247"/>
    <w:rsid w:val="001B02E5"/>
    <w:rsid w:val="001B0C21"/>
    <w:rsid w:val="001B1CE4"/>
    <w:rsid w:val="001B2A6A"/>
    <w:rsid w:val="001B2A80"/>
    <w:rsid w:val="001B2E17"/>
    <w:rsid w:val="001B3443"/>
    <w:rsid w:val="001B437A"/>
    <w:rsid w:val="001B45FE"/>
    <w:rsid w:val="001B511D"/>
    <w:rsid w:val="001B5844"/>
    <w:rsid w:val="001B66CF"/>
    <w:rsid w:val="001B67A6"/>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4664"/>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6BE8"/>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550"/>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4C"/>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3D14"/>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17F"/>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5FF1"/>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A7AD6"/>
    <w:rsid w:val="00EB2912"/>
    <w:rsid w:val="00EB2B80"/>
    <w:rsid w:val="00EB4AA7"/>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9F1EF4B"/>
  <w15:docId w15:val="{BC3527C7-F0B1-43C8-B5D4-3008F553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paragraph" w:customStyle="1" w:styleId="Paranonumbers">
    <w:name w:val="Para no numbers"/>
    <w:basedOn w:val="Normal"/>
    <w:link w:val="ParanonumbersChar"/>
    <w:rsid w:val="00D05FF1"/>
    <w:rPr>
      <w:lang w:eastAsia="en-AU"/>
    </w:rPr>
  </w:style>
  <w:style w:type="character" w:customStyle="1" w:styleId="ParanonumbersChar">
    <w:name w:val="Para no numbers Char"/>
    <w:link w:val="Paranonumbers"/>
    <w:locked/>
    <w:rsid w:val="00D05FF1"/>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BFF3-2BC2-4A85-9FFE-7DD85026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160 - Summary of Risk Assesment and Risk Management Plan</dc:title>
  <dc:creator>OGTR</dc:creator>
  <cp:lastModifiedBy>SMITH, Justine</cp:lastModifiedBy>
  <cp:revision>2</cp:revision>
  <cp:lastPrinted>2017-07-10T04:58:00Z</cp:lastPrinted>
  <dcterms:created xsi:type="dcterms:W3CDTF">2021-09-03T11:57:00Z</dcterms:created>
  <dcterms:modified xsi:type="dcterms:W3CDTF">2021-09-03T11:57:00Z</dcterms:modified>
</cp:coreProperties>
</file>