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33089" w14:textId="4958B42C" w:rsidR="00280050" w:rsidRPr="00FF3E6A" w:rsidRDefault="002F4463">
      <w:pPr>
        <w:rPr>
          <w:b/>
        </w:rPr>
      </w:pPr>
      <w:r w:rsidRPr="00FF3E6A">
        <w:rPr>
          <w:b/>
        </w:rPr>
        <w:t xml:space="preserve">Quarterly activities report for </w:t>
      </w:r>
      <w:r w:rsidR="003A469C">
        <w:rPr>
          <w:b/>
        </w:rPr>
        <w:t>April – June</w:t>
      </w:r>
      <w:r w:rsidR="009E2710">
        <w:rPr>
          <w:b/>
        </w:rPr>
        <w:t xml:space="preserve"> 2021</w:t>
      </w:r>
    </w:p>
    <w:p w14:paraId="1AB0B2E2" w14:textId="03AF4964" w:rsidR="005A4DAF" w:rsidRPr="000B1C0C" w:rsidRDefault="002F4463" w:rsidP="005A4DAF">
      <w:pPr>
        <w:spacing w:before="120" w:after="120"/>
      </w:pPr>
      <w:r w:rsidRPr="00FF3E6A">
        <w:t>The quarterly activities include details of monitoring and compliance activities by the Office of the Gene Technology Regulator (OGTR) during the quarter</w:t>
      </w:r>
      <w:r w:rsidR="005A4DAF" w:rsidRPr="000B1C0C">
        <w:t>. Due to the COVID-19 pandemic travel restrictions</w:t>
      </w:r>
      <w:r w:rsidR="00577816" w:rsidRPr="000B1C0C">
        <w:t xml:space="preserve"> </w:t>
      </w:r>
      <w:proofErr w:type="gramStart"/>
      <w:r w:rsidR="00577816" w:rsidRPr="000B1C0C">
        <w:t>a number of</w:t>
      </w:r>
      <w:proofErr w:type="gramEnd"/>
      <w:r w:rsidR="005A4DAF" w:rsidRPr="000B1C0C">
        <w:t xml:space="preserve"> the monitoring and compliance activities for this quarter were conducted in a desktop capacity.</w:t>
      </w:r>
    </w:p>
    <w:p w14:paraId="068F3A31" w14:textId="77777777" w:rsidR="002F4463" w:rsidRPr="00FF3E6A" w:rsidRDefault="002F4463" w:rsidP="002F4463">
      <w:pPr>
        <w:pStyle w:val="Default"/>
      </w:pPr>
    </w:p>
    <w:p w14:paraId="3FB8182F" w14:textId="4804DCBC" w:rsidR="002F4463" w:rsidRPr="00FF3E6A" w:rsidRDefault="002F4463" w:rsidP="002F4463">
      <w:pPr>
        <w:rPr>
          <w:b/>
          <w:bCs/>
        </w:rPr>
      </w:pPr>
      <w:r w:rsidRPr="00FF3E6A">
        <w:rPr>
          <w:b/>
          <w:bCs/>
        </w:rPr>
        <w:t>Monitoring of GMO Dealings involving Intentional Release (DIR)</w:t>
      </w:r>
    </w:p>
    <w:p w14:paraId="6D31DC7B" w14:textId="2DA40532" w:rsidR="009E2710" w:rsidRPr="00FF3E6A" w:rsidRDefault="009E2710" w:rsidP="009E2710">
      <w:pPr>
        <w:rPr>
          <w:b/>
          <w:bCs/>
        </w:rPr>
      </w:pPr>
      <w:r>
        <w:t xml:space="preserve">During the quarter the OGTR desktop inspected </w:t>
      </w:r>
      <w:r w:rsidR="00816FFA">
        <w:rPr>
          <w:b/>
        </w:rPr>
        <w:t>one</w:t>
      </w:r>
      <w:r w:rsidRPr="19DAC822">
        <w:rPr>
          <w:b/>
          <w:bCs/>
        </w:rPr>
        <w:t xml:space="preserve"> </w:t>
      </w:r>
      <w:r w:rsidRPr="001C54B4">
        <w:rPr>
          <w:b/>
          <w:bCs/>
        </w:rPr>
        <w:t>GM plant field trial site</w:t>
      </w:r>
      <w:r w:rsidRPr="19DAC822">
        <w:rPr>
          <w:b/>
          <w:bCs/>
        </w:rPr>
        <w:t xml:space="preserve"> (Table 1). </w:t>
      </w:r>
    </w:p>
    <w:p w14:paraId="2CE44E99" w14:textId="3FF7A778" w:rsidR="009E2710" w:rsidRPr="00FF3E6A" w:rsidRDefault="009E2710" w:rsidP="009E2710">
      <w:pPr>
        <w:pStyle w:val="ListParagraph"/>
        <w:numPr>
          <w:ilvl w:val="0"/>
          <w:numId w:val="4"/>
        </w:numPr>
      </w:pPr>
      <w:r>
        <w:t xml:space="preserve">Current field trial sites- of the </w:t>
      </w:r>
      <w:r w:rsidR="003A469C">
        <w:rPr>
          <w:b/>
        </w:rPr>
        <w:t>eight</w:t>
      </w:r>
      <w:r>
        <w:rPr>
          <w:b/>
        </w:rPr>
        <w:t xml:space="preserve"> </w:t>
      </w:r>
      <w:r>
        <w:t xml:space="preserve">sites current in the quarter, </w:t>
      </w:r>
      <w:r w:rsidR="004E023F">
        <w:rPr>
          <w:b/>
        </w:rPr>
        <w:t>two</w:t>
      </w:r>
      <w:r w:rsidR="008408FC" w:rsidRPr="00AB4436">
        <w:rPr>
          <w:b/>
        </w:rPr>
        <w:t xml:space="preserve"> </w:t>
      </w:r>
      <w:r w:rsidR="008408FC">
        <w:t xml:space="preserve">was </w:t>
      </w:r>
      <w:r>
        <w:t xml:space="preserve">inspected. </w:t>
      </w:r>
    </w:p>
    <w:p w14:paraId="30FE0BE9" w14:textId="3AA9A3F2" w:rsidR="0089352A" w:rsidRDefault="009E2710" w:rsidP="009E2710">
      <w:pPr>
        <w:pStyle w:val="ListParagraph"/>
        <w:numPr>
          <w:ilvl w:val="0"/>
          <w:numId w:val="4"/>
        </w:numPr>
        <w:rPr>
          <w:bCs/>
        </w:rPr>
      </w:pPr>
      <w:r w:rsidRPr="00FF3E6A">
        <w:rPr>
          <w:bCs/>
        </w:rPr>
        <w:t xml:space="preserve">Post-harvest field trial sites- of the </w:t>
      </w:r>
      <w:r w:rsidR="003A469C">
        <w:rPr>
          <w:b/>
          <w:bCs/>
        </w:rPr>
        <w:t>16</w:t>
      </w:r>
      <w:r w:rsidRPr="00FF3E6A">
        <w:rPr>
          <w:bCs/>
        </w:rPr>
        <w:t xml:space="preserve"> sites subject to post-harvest monitoring in the quarter, </w:t>
      </w:r>
      <w:r w:rsidR="004E023F">
        <w:rPr>
          <w:b/>
          <w:bCs/>
        </w:rPr>
        <w:t>six</w:t>
      </w:r>
      <w:r>
        <w:rPr>
          <w:b/>
          <w:bCs/>
        </w:rPr>
        <w:t xml:space="preserve"> </w:t>
      </w:r>
      <w:r w:rsidRPr="009E2710">
        <w:rPr>
          <w:bCs/>
        </w:rPr>
        <w:t>w</w:t>
      </w:r>
      <w:r w:rsidR="003A469C">
        <w:rPr>
          <w:bCs/>
        </w:rPr>
        <w:t>ere</w:t>
      </w:r>
      <w:r w:rsidRPr="009E2710">
        <w:rPr>
          <w:bCs/>
        </w:rPr>
        <w:t xml:space="preserve"> in</w:t>
      </w:r>
      <w:r w:rsidRPr="00FF3E6A">
        <w:rPr>
          <w:bCs/>
        </w:rPr>
        <w:t>spected.</w:t>
      </w:r>
      <w:r w:rsidR="00816FFA">
        <w:rPr>
          <w:bCs/>
        </w:rPr>
        <w:t xml:space="preserve"> </w:t>
      </w:r>
    </w:p>
    <w:p w14:paraId="4DA81D6C" w14:textId="210DFF0B" w:rsidR="009E2710" w:rsidRPr="00FF3E6A" w:rsidRDefault="00023EF7" w:rsidP="009E2710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All s</w:t>
      </w:r>
      <w:r w:rsidR="00816FFA">
        <w:rPr>
          <w:bCs/>
        </w:rPr>
        <w:t>ite</w:t>
      </w:r>
      <w:r w:rsidR="003A469C">
        <w:rPr>
          <w:bCs/>
        </w:rPr>
        <w:t xml:space="preserve">s </w:t>
      </w:r>
      <w:r w:rsidR="008408FC">
        <w:rPr>
          <w:bCs/>
        </w:rPr>
        <w:t xml:space="preserve">inspected </w:t>
      </w:r>
      <w:r w:rsidR="003A469C">
        <w:rPr>
          <w:bCs/>
        </w:rPr>
        <w:t>in Queensland</w:t>
      </w:r>
      <w:r>
        <w:rPr>
          <w:bCs/>
        </w:rPr>
        <w:t xml:space="preserve">, Victoria and New South Wales </w:t>
      </w:r>
      <w:r w:rsidR="00A4002B">
        <w:rPr>
          <w:bCs/>
        </w:rPr>
        <w:t>were selected as</w:t>
      </w:r>
      <w:r w:rsidR="003A469C">
        <w:rPr>
          <w:bCs/>
        </w:rPr>
        <w:t xml:space="preserve"> routine </w:t>
      </w:r>
      <w:r w:rsidR="00816FFA">
        <w:rPr>
          <w:bCs/>
        </w:rPr>
        <w:t xml:space="preserve">inspection. </w:t>
      </w:r>
    </w:p>
    <w:p w14:paraId="457D89E8" w14:textId="6CBB1A37" w:rsidR="009E2710" w:rsidRPr="00FF3E6A" w:rsidRDefault="009E2710" w:rsidP="009E2710">
      <w:r w:rsidRPr="00FF3E6A">
        <w:t xml:space="preserve">Table 1 – Summary of inspection activities of GM crop field trials for the </w:t>
      </w:r>
      <w:r w:rsidR="003A469C">
        <w:t xml:space="preserve">April </w:t>
      </w:r>
      <w:r w:rsidRPr="00FF3E6A">
        <w:t xml:space="preserve">– </w:t>
      </w:r>
      <w:r w:rsidR="003A469C">
        <w:t>June</w:t>
      </w:r>
      <w:r>
        <w:t xml:space="preserve"> 2021 </w:t>
      </w:r>
      <w:r w:rsidRPr="00FF3E6A">
        <w:t>quarter.</w:t>
      </w:r>
    </w:p>
    <w:tbl>
      <w:tblPr>
        <w:tblStyle w:val="TableSimple1"/>
        <w:tblW w:w="9039" w:type="dxa"/>
        <w:tblBorders>
          <w:top w:val="single" w:sz="6" w:space="0" w:color="008000"/>
          <w:bottom w:val="single" w:sz="6" w:space="0" w:color="008000"/>
          <w:insideH w:val="single" w:sz="6" w:space="0" w:color="008000"/>
        </w:tblBorders>
        <w:tblLook w:val="01E0" w:firstRow="1" w:lastRow="1" w:firstColumn="1" w:lastColumn="1" w:noHBand="0" w:noVBand="0"/>
        <w:tblCaption w:val="Table 1 – Summary of inspection activities of GM crop field trials for the Jan – Mar 2018 quarter."/>
        <w:tblDescription w:val="This table contains four columns and three rows. Column one is Licence holder, column two is licence number, column three is GM crop and column four is Site location"/>
      </w:tblPr>
      <w:tblGrid>
        <w:gridCol w:w="3369"/>
        <w:gridCol w:w="1417"/>
        <w:gridCol w:w="1843"/>
        <w:gridCol w:w="2410"/>
      </w:tblGrid>
      <w:tr w:rsidR="009E2710" w:rsidRPr="00FF3E6A" w14:paraId="1D88276B" w14:textId="77777777" w:rsidTr="00A228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369" w:type="dxa"/>
            <w:tcBorders>
              <w:top w:val="single" w:sz="12" w:space="0" w:color="008000"/>
              <w:bottom w:val="single" w:sz="12" w:space="0" w:color="008000"/>
            </w:tcBorders>
          </w:tcPr>
          <w:p w14:paraId="7C2062AB" w14:textId="77777777" w:rsidR="009E2710" w:rsidRPr="00FF3E6A" w:rsidRDefault="009E2710" w:rsidP="00A2280B">
            <w:pPr>
              <w:keepNext/>
              <w:spacing w:before="120" w:after="120"/>
              <w:rPr>
                <w:b/>
                <w:sz w:val="24"/>
                <w:szCs w:val="24"/>
              </w:rPr>
            </w:pPr>
            <w:r w:rsidRPr="00FF3E6A">
              <w:rPr>
                <w:b/>
                <w:sz w:val="24"/>
                <w:szCs w:val="24"/>
              </w:rPr>
              <w:t>Licence holder</w:t>
            </w:r>
          </w:p>
        </w:tc>
        <w:tc>
          <w:tcPr>
            <w:tcW w:w="1417" w:type="dxa"/>
            <w:tcBorders>
              <w:top w:val="single" w:sz="12" w:space="0" w:color="008000"/>
              <w:bottom w:val="single" w:sz="12" w:space="0" w:color="008000"/>
            </w:tcBorders>
          </w:tcPr>
          <w:p w14:paraId="01762EB7" w14:textId="77777777" w:rsidR="009E2710" w:rsidRPr="00FF3E6A" w:rsidRDefault="009E2710" w:rsidP="00A2280B">
            <w:pPr>
              <w:keepNext/>
              <w:spacing w:before="120" w:after="120"/>
              <w:rPr>
                <w:b/>
                <w:sz w:val="24"/>
                <w:szCs w:val="24"/>
              </w:rPr>
            </w:pPr>
            <w:r w:rsidRPr="00FF3E6A">
              <w:rPr>
                <w:b/>
                <w:sz w:val="24"/>
                <w:szCs w:val="24"/>
              </w:rPr>
              <w:t>Licence Number</w:t>
            </w:r>
          </w:p>
        </w:tc>
        <w:tc>
          <w:tcPr>
            <w:tcW w:w="1843" w:type="dxa"/>
            <w:tcBorders>
              <w:top w:val="single" w:sz="12" w:space="0" w:color="008000"/>
              <w:bottom w:val="single" w:sz="12" w:space="0" w:color="008000"/>
            </w:tcBorders>
          </w:tcPr>
          <w:p w14:paraId="2DEAC7DF" w14:textId="77777777" w:rsidR="009E2710" w:rsidRPr="00FF3E6A" w:rsidRDefault="009E2710" w:rsidP="00A2280B">
            <w:pPr>
              <w:keepNext/>
              <w:spacing w:before="120" w:after="120"/>
              <w:rPr>
                <w:b/>
                <w:sz w:val="24"/>
                <w:szCs w:val="24"/>
              </w:rPr>
            </w:pPr>
            <w:r w:rsidRPr="00FF3E6A">
              <w:rPr>
                <w:b/>
                <w:sz w:val="24"/>
                <w:szCs w:val="24"/>
              </w:rPr>
              <w:t>GM Crop</w:t>
            </w:r>
          </w:p>
        </w:tc>
        <w:tc>
          <w:tcPr>
            <w:tcW w:w="2410" w:type="dxa"/>
            <w:tcBorders>
              <w:top w:val="single" w:sz="12" w:space="0" w:color="008000"/>
              <w:bottom w:val="single" w:sz="12" w:space="0" w:color="008000"/>
            </w:tcBorders>
          </w:tcPr>
          <w:p w14:paraId="230281FE" w14:textId="77777777" w:rsidR="009E2710" w:rsidRPr="00FF3E6A" w:rsidRDefault="009E2710" w:rsidP="00A2280B">
            <w:pPr>
              <w:keepNext/>
              <w:spacing w:before="120" w:after="120"/>
              <w:rPr>
                <w:b/>
                <w:sz w:val="24"/>
                <w:szCs w:val="24"/>
              </w:rPr>
            </w:pPr>
            <w:r w:rsidRPr="00FF3E6A">
              <w:rPr>
                <w:b/>
                <w:sz w:val="24"/>
                <w:szCs w:val="24"/>
              </w:rPr>
              <w:t xml:space="preserve">Site location </w:t>
            </w:r>
          </w:p>
          <w:p w14:paraId="3241B34C" w14:textId="77777777" w:rsidR="009E2710" w:rsidRPr="00FF3E6A" w:rsidRDefault="009E2710" w:rsidP="00A2280B">
            <w:pPr>
              <w:keepNext/>
              <w:spacing w:before="120" w:after="120"/>
              <w:rPr>
                <w:b/>
                <w:sz w:val="24"/>
                <w:szCs w:val="24"/>
              </w:rPr>
            </w:pPr>
            <w:r w:rsidRPr="00FF3E6A">
              <w:rPr>
                <w:b/>
                <w:sz w:val="24"/>
                <w:szCs w:val="24"/>
              </w:rPr>
              <w:t>(crop status</w:t>
            </w:r>
            <w:r w:rsidRPr="00FF3E6A">
              <w:rPr>
                <w:rStyle w:val="FootnoteReference"/>
                <w:b/>
                <w:sz w:val="24"/>
                <w:szCs w:val="24"/>
              </w:rPr>
              <w:footnoteReference w:id="1"/>
            </w:r>
            <w:r w:rsidRPr="00FF3E6A">
              <w:rPr>
                <w:b/>
                <w:sz w:val="24"/>
                <w:szCs w:val="24"/>
              </w:rPr>
              <w:t>)</w:t>
            </w:r>
          </w:p>
        </w:tc>
      </w:tr>
      <w:tr w:rsidR="007D6E06" w:rsidRPr="00FF3E6A" w14:paraId="675A751F" w14:textId="77777777" w:rsidTr="00A2280B">
        <w:tc>
          <w:tcPr>
            <w:tcW w:w="3369" w:type="dxa"/>
            <w:shd w:val="clear" w:color="auto" w:fill="D9D9D9" w:themeFill="background1" w:themeFillShade="D9"/>
          </w:tcPr>
          <w:p w14:paraId="50A5D219" w14:textId="7C9C075A" w:rsidR="007D6E06" w:rsidRPr="007D6E06" w:rsidRDefault="007D6E06" w:rsidP="003A469C">
            <w:pPr>
              <w:spacing w:before="120" w:after="120"/>
              <w:rPr>
                <w:sz w:val="24"/>
                <w:szCs w:val="24"/>
              </w:rPr>
            </w:pPr>
            <w:r w:rsidRPr="007D6E06">
              <w:rPr>
                <w:sz w:val="24"/>
                <w:szCs w:val="24"/>
              </w:rPr>
              <w:t>Monsanto Australia Pty Ltd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479DB22" w14:textId="39E85AEB" w:rsidR="007D6E06" w:rsidRPr="007D6E06" w:rsidRDefault="007D6E06" w:rsidP="003A469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 147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1D856DB" w14:textId="5C350F6D" w:rsidR="007D6E06" w:rsidRPr="007D6E06" w:rsidRDefault="007D6E06" w:rsidP="003A469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Cotton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388EF8A" w14:textId="3030230B" w:rsidR="007D6E06" w:rsidRPr="007D6E06" w:rsidRDefault="004E023F" w:rsidP="003A469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NSW (1</w:t>
            </w:r>
            <w:r w:rsidR="007D6E06">
              <w:rPr>
                <w:sz w:val="24"/>
                <w:szCs w:val="24"/>
              </w:rPr>
              <w:t xml:space="preserve"> PH</w:t>
            </w:r>
            <w:r>
              <w:rPr>
                <w:sz w:val="24"/>
                <w:szCs w:val="24"/>
              </w:rPr>
              <w:t>, 1 C</w:t>
            </w:r>
            <w:r w:rsidR="007D6E06">
              <w:rPr>
                <w:sz w:val="24"/>
                <w:szCs w:val="24"/>
              </w:rPr>
              <w:t>)</w:t>
            </w:r>
          </w:p>
        </w:tc>
      </w:tr>
      <w:tr w:rsidR="009E2710" w:rsidRPr="00FF3E6A" w14:paraId="69278142" w14:textId="77777777" w:rsidTr="00F675D4">
        <w:tc>
          <w:tcPr>
            <w:tcW w:w="3369" w:type="dxa"/>
            <w:shd w:val="clear" w:color="auto" w:fill="FFFFFF" w:themeFill="background1"/>
          </w:tcPr>
          <w:p w14:paraId="0B5CE391" w14:textId="746B5B5F" w:rsidR="009E2710" w:rsidRPr="00FF3E6A" w:rsidRDefault="00E534BA" w:rsidP="003A469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University of Melbourne</w:t>
            </w:r>
          </w:p>
        </w:tc>
        <w:tc>
          <w:tcPr>
            <w:tcW w:w="1417" w:type="dxa"/>
            <w:shd w:val="clear" w:color="auto" w:fill="FFFFFF" w:themeFill="background1"/>
          </w:tcPr>
          <w:p w14:paraId="0592E98A" w14:textId="05B0ADAF" w:rsidR="009E2710" w:rsidRPr="00FF3E6A" w:rsidRDefault="00E534BA" w:rsidP="003A469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 165</w:t>
            </w:r>
          </w:p>
        </w:tc>
        <w:tc>
          <w:tcPr>
            <w:tcW w:w="1843" w:type="dxa"/>
            <w:shd w:val="clear" w:color="auto" w:fill="FFFFFF" w:themeFill="background1"/>
          </w:tcPr>
          <w:p w14:paraId="70160346" w14:textId="75B6BF89" w:rsidR="009E2710" w:rsidRPr="00FF3E6A" w:rsidRDefault="00E534BA" w:rsidP="003A469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Wheat</w:t>
            </w:r>
          </w:p>
        </w:tc>
        <w:tc>
          <w:tcPr>
            <w:tcW w:w="2410" w:type="dxa"/>
            <w:shd w:val="clear" w:color="auto" w:fill="FFFFFF" w:themeFill="background1"/>
          </w:tcPr>
          <w:p w14:paraId="1788761A" w14:textId="7B1B5C7E" w:rsidR="009E2710" w:rsidRPr="00FF3E6A" w:rsidRDefault="00E534BA" w:rsidP="003A469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 (2 PH)</w:t>
            </w:r>
          </w:p>
        </w:tc>
      </w:tr>
      <w:tr w:rsidR="00E534BA" w:rsidRPr="00FF3E6A" w14:paraId="58F97E50" w14:textId="77777777" w:rsidTr="00F675D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3369" w:type="dxa"/>
            <w:shd w:val="clear" w:color="auto" w:fill="D9D9D9" w:themeFill="background1" w:themeFillShade="D9"/>
          </w:tcPr>
          <w:p w14:paraId="44F4CAF0" w14:textId="4CFA96F8" w:rsidR="00E534BA" w:rsidRPr="00F675D4" w:rsidRDefault="00E534BA" w:rsidP="00E534BA">
            <w:pPr>
              <w:spacing w:before="120" w:after="120"/>
              <w:rPr>
                <w:sz w:val="24"/>
                <w:szCs w:val="24"/>
              </w:rPr>
            </w:pPr>
            <w:r w:rsidRPr="00F675D4">
              <w:rPr>
                <w:sz w:val="24"/>
                <w:szCs w:val="24"/>
              </w:rPr>
              <w:t>The University of Queensland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E1A259C" w14:textId="447E8874" w:rsidR="00E534BA" w:rsidRPr="00F675D4" w:rsidRDefault="00E534BA" w:rsidP="00E534BA">
            <w:pPr>
              <w:spacing w:before="120" w:after="120"/>
              <w:rPr>
                <w:sz w:val="24"/>
                <w:szCs w:val="24"/>
              </w:rPr>
            </w:pPr>
            <w:r w:rsidRPr="00F675D4">
              <w:rPr>
                <w:sz w:val="24"/>
                <w:szCs w:val="24"/>
              </w:rPr>
              <w:t>DIR 153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C21DC5D" w14:textId="4545943F" w:rsidR="00E534BA" w:rsidRPr="00F675D4" w:rsidRDefault="00E534BA" w:rsidP="00E534BA">
            <w:pPr>
              <w:spacing w:before="120" w:after="120"/>
              <w:rPr>
                <w:sz w:val="24"/>
                <w:szCs w:val="24"/>
              </w:rPr>
            </w:pPr>
            <w:r w:rsidRPr="00F675D4">
              <w:rPr>
                <w:sz w:val="24"/>
                <w:szCs w:val="24"/>
              </w:rPr>
              <w:t>Sorghum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A0FBE04" w14:textId="19550104" w:rsidR="00E534BA" w:rsidRPr="00F675D4" w:rsidRDefault="00E534BA" w:rsidP="00E534BA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Qld (3 PH, 1 C</w:t>
            </w:r>
            <w:r w:rsidRPr="19DAC822">
              <w:rPr>
                <w:sz w:val="24"/>
                <w:szCs w:val="24"/>
              </w:rPr>
              <w:t>)</w:t>
            </w:r>
          </w:p>
        </w:tc>
      </w:tr>
    </w:tbl>
    <w:p w14:paraId="3AAB7181" w14:textId="7E80F620" w:rsidR="00340117" w:rsidRDefault="00340117" w:rsidP="00340117">
      <w:pPr>
        <w:pStyle w:val="Default"/>
        <w:rPr>
          <w:b/>
          <w:bCs/>
        </w:rPr>
      </w:pPr>
    </w:p>
    <w:p w14:paraId="346F2CFA" w14:textId="77777777" w:rsidR="00F675D4" w:rsidRDefault="00F675D4" w:rsidP="00340117">
      <w:pPr>
        <w:pStyle w:val="Default"/>
        <w:rPr>
          <w:b/>
          <w:bCs/>
        </w:rPr>
      </w:pPr>
    </w:p>
    <w:p w14:paraId="3B45D40E" w14:textId="25654F99" w:rsidR="00BC3739" w:rsidRPr="00FF3E6A" w:rsidRDefault="00BC3739" w:rsidP="002F4463">
      <w:pPr>
        <w:rPr>
          <w:b/>
          <w:bCs/>
        </w:rPr>
      </w:pPr>
      <w:r w:rsidRPr="00FF3E6A">
        <w:rPr>
          <w:b/>
          <w:bCs/>
        </w:rPr>
        <w:t>Monitoring of GMO Dealings Not involving Intentional Release (DNIR), certified facilities and DIR clinical trials</w:t>
      </w:r>
    </w:p>
    <w:p w14:paraId="78F6938B" w14:textId="619C604C" w:rsidR="003D4225" w:rsidRPr="002F5EC8" w:rsidRDefault="003D4225" w:rsidP="002F4463">
      <w:pPr>
        <w:rPr>
          <w:bCs/>
        </w:rPr>
      </w:pPr>
      <w:r w:rsidRPr="00373408">
        <w:rPr>
          <w:bCs/>
        </w:rPr>
        <w:t xml:space="preserve">During the quarter </w:t>
      </w:r>
      <w:r w:rsidR="008D7F41" w:rsidRPr="00373408">
        <w:rPr>
          <w:bCs/>
        </w:rPr>
        <w:t xml:space="preserve">the </w:t>
      </w:r>
      <w:r w:rsidRPr="00373408">
        <w:rPr>
          <w:bCs/>
        </w:rPr>
        <w:t xml:space="preserve">OGTR inspected </w:t>
      </w:r>
      <w:r w:rsidR="00373408" w:rsidRPr="00373408">
        <w:rPr>
          <w:b/>
          <w:bCs/>
        </w:rPr>
        <w:t>nine</w:t>
      </w:r>
      <w:r w:rsidRPr="00373408">
        <w:rPr>
          <w:b/>
          <w:bCs/>
        </w:rPr>
        <w:t xml:space="preserve"> </w:t>
      </w:r>
      <w:r w:rsidRPr="00373408">
        <w:rPr>
          <w:bCs/>
        </w:rPr>
        <w:t xml:space="preserve">organisations holding certified facilities </w:t>
      </w:r>
      <w:r w:rsidRPr="002F5EC8">
        <w:rPr>
          <w:bCs/>
        </w:rPr>
        <w:t>(</w:t>
      </w:r>
      <w:r w:rsidR="00F023EF" w:rsidRPr="002F5EC8">
        <w:rPr>
          <w:b/>
          <w:bCs/>
        </w:rPr>
        <w:t>Table 2</w:t>
      </w:r>
      <w:r w:rsidRPr="002F5EC8">
        <w:rPr>
          <w:b/>
          <w:bCs/>
        </w:rPr>
        <w:t xml:space="preserve">) </w:t>
      </w:r>
      <w:r w:rsidRPr="002F5EC8">
        <w:rPr>
          <w:bCs/>
        </w:rPr>
        <w:t xml:space="preserve">and </w:t>
      </w:r>
      <w:r w:rsidR="00A4002B">
        <w:rPr>
          <w:b/>
          <w:bCs/>
        </w:rPr>
        <w:t>five</w:t>
      </w:r>
      <w:r w:rsidRPr="002F5EC8">
        <w:rPr>
          <w:b/>
          <w:bCs/>
        </w:rPr>
        <w:t xml:space="preserve"> </w:t>
      </w:r>
      <w:r w:rsidRPr="002F5EC8">
        <w:rPr>
          <w:bCs/>
        </w:rPr>
        <w:t>undertaking a DIR or DNIR licence (</w:t>
      </w:r>
      <w:r w:rsidR="00F023EF" w:rsidRPr="002F5EC8">
        <w:rPr>
          <w:b/>
          <w:bCs/>
        </w:rPr>
        <w:t>Table 3</w:t>
      </w:r>
      <w:r w:rsidRPr="002F5EC8">
        <w:rPr>
          <w:bCs/>
        </w:rPr>
        <w:t xml:space="preserve">). </w:t>
      </w:r>
    </w:p>
    <w:p w14:paraId="25186192" w14:textId="65F798D0" w:rsidR="00E2174B" w:rsidRPr="00FF3E6A" w:rsidRDefault="009E2710" w:rsidP="002F4463">
      <w:r>
        <w:t>Table 2</w:t>
      </w:r>
      <w:r w:rsidR="003D4225" w:rsidRPr="00FF3E6A">
        <w:t xml:space="preserve"> – Summary of organisations and facility types that the OGTR inspected for the </w:t>
      </w:r>
      <w:r w:rsidR="00AC6800">
        <w:t>April - June</w:t>
      </w:r>
      <w:r w:rsidR="00AD577C">
        <w:t xml:space="preserve"> 2021 </w:t>
      </w:r>
      <w:r w:rsidR="003D4225" w:rsidRPr="00FF3E6A">
        <w:t>quarter.</w:t>
      </w:r>
    </w:p>
    <w:tbl>
      <w:tblPr>
        <w:tblStyle w:val="TableSimple1"/>
        <w:tblW w:w="0" w:type="auto"/>
        <w:tblBorders>
          <w:insideH w:val="single" w:sz="12" w:space="0" w:color="008000"/>
        </w:tblBorders>
        <w:tblLook w:val="01E0" w:firstRow="1" w:lastRow="1" w:firstColumn="1" w:lastColumn="1" w:noHBand="0" w:noVBand="0"/>
        <w:tblCaption w:val="Table 2 – Summary of organisations and facility types that the OGTR inspected for the Jan – Mar 2018 quarter. "/>
        <w:tblDescription w:val="This table contains six rows and three columns. Column one is organisation, column two is PC level and column three is number of facilities monitored"/>
      </w:tblPr>
      <w:tblGrid>
        <w:gridCol w:w="4536"/>
        <w:gridCol w:w="2235"/>
        <w:gridCol w:w="2255"/>
      </w:tblGrid>
      <w:tr w:rsidR="00FF3E6A" w:rsidRPr="00FF3E6A" w14:paraId="47A16366" w14:textId="77777777" w:rsidTr="00711E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536" w:type="dxa"/>
          </w:tcPr>
          <w:p w14:paraId="11EFBB72" w14:textId="77777777" w:rsidR="00FF3E6A" w:rsidRPr="00FF3E6A" w:rsidRDefault="00FF3E6A" w:rsidP="00775CE2">
            <w:pPr>
              <w:spacing w:before="120" w:after="60"/>
              <w:rPr>
                <w:b/>
                <w:sz w:val="24"/>
                <w:szCs w:val="24"/>
              </w:rPr>
            </w:pPr>
            <w:r w:rsidRPr="00FF3E6A">
              <w:rPr>
                <w:b/>
                <w:sz w:val="24"/>
                <w:szCs w:val="24"/>
              </w:rPr>
              <w:t>Organisation</w:t>
            </w:r>
          </w:p>
        </w:tc>
        <w:tc>
          <w:tcPr>
            <w:tcW w:w="2235" w:type="dxa"/>
          </w:tcPr>
          <w:p w14:paraId="34F6CD78" w14:textId="77777777" w:rsidR="00FF3E6A" w:rsidRPr="00FF3E6A" w:rsidRDefault="00FF3E6A" w:rsidP="00775CE2">
            <w:pPr>
              <w:spacing w:before="120" w:after="60"/>
              <w:rPr>
                <w:b/>
                <w:sz w:val="24"/>
                <w:szCs w:val="24"/>
              </w:rPr>
            </w:pPr>
            <w:r w:rsidRPr="00FF3E6A">
              <w:rPr>
                <w:b/>
                <w:sz w:val="24"/>
                <w:szCs w:val="24"/>
              </w:rPr>
              <w:t xml:space="preserve">Physical Containment (PC) level </w:t>
            </w:r>
          </w:p>
        </w:tc>
        <w:tc>
          <w:tcPr>
            <w:tcW w:w="2255" w:type="dxa"/>
          </w:tcPr>
          <w:p w14:paraId="7B355240" w14:textId="77777777" w:rsidR="00FF3E6A" w:rsidRPr="00FF3E6A" w:rsidRDefault="00FF3E6A" w:rsidP="00775CE2">
            <w:pPr>
              <w:spacing w:before="120" w:after="60"/>
              <w:jc w:val="right"/>
              <w:rPr>
                <w:b/>
                <w:sz w:val="24"/>
                <w:szCs w:val="24"/>
              </w:rPr>
            </w:pPr>
            <w:r w:rsidRPr="00FF3E6A">
              <w:rPr>
                <w:b/>
                <w:sz w:val="24"/>
                <w:szCs w:val="24"/>
              </w:rPr>
              <w:t>Number of facilities monitored</w:t>
            </w:r>
          </w:p>
        </w:tc>
      </w:tr>
      <w:tr w:rsidR="000343A1" w:rsidRPr="00FF3E6A" w14:paraId="7D5FB7B7" w14:textId="77777777" w:rsidTr="00711E49">
        <w:trPr>
          <w:trHeight w:val="514"/>
        </w:trPr>
        <w:tc>
          <w:tcPr>
            <w:tcW w:w="4536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</w:tcPr>
          <w:p w14:paraId="60D968DF" w14:textId="093A7B59" w:rsidR="000343A1" w:rsidRPr="007D6E06" w:rsidRDefault="000343A1" w:rsidP="002806E9">
            <w:pPr>
              <w:spacing w:before="100" w:after="100"/>
              <w:rPr>
                <w:rStyle w:val="normaltextrun"/>
                <w:bdr w:val="none" w:sz="0" w:space="0" w:color="auto" w:frame="1"/>
              </w:rPr>
            </w:pPr>
            <w:proofErr w:type="spellStart"/>
            <w:r w:rsidRPr="000343A1">
              <w:rPr>
                <w:rStyle w:val="normaltextrun"/>
                <w:sz w:val="24"/>
                <w:szCs w:val="24"/>
                <w:bdr w:val="none" w:sz="0" w:space="0" w:color="auto" w:frame="1"/>
              </w:rPr>
              <w:t>Austech</w:t>
            </w:r>
            <w:proofErr w:type="spellEnd"/>
            <w:r w:rsidRPr="000343A1">
              <w:rPr>
                <w:rStyle w:val="normaltextrun"/>
                <w:sz w:val="24"/>
                <w:szCs w:val="24"/>
                <w:bdr w:val="none" w:sz="0" w:space="0" w:color="auto" w:frame="1"/>
              </w:rPr>
              <w:t xml:space="preserve"> Medical Laboratories Pty Ltd </w:t>
            </w:r>
            <w:r w:rsidR="00A4002B">
              <w:rPr>
                <w:rStyle w:val="FootnoteReference"/>
                <w:sz w:val="24"/>
                <w:szCs w:val="24"/>
                <w:bdr w:val="none" w:sz="0" w:space="0" w:color="auto" w:frame="1"/>
              </w:rPr>
              <w:footnoteReference w:id="2"/>
            </w:r>
          </w:p>
        </w:tc>
        <w:tc>
          <w:tcPr>
            <w:tcW w:w="2235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</w:tcPr>
          <w:p w14:paraId="0CDA9797" w14:textId="77777777" w:rsidR="000343A1" w:rsidRPr="0084408A" w:rsidRDefault="000343A1" w:rsidP="000343A1">
            <w:pPr>
              <w:rPr>
                <w:bCs/>
                <w:sz w:val="24"/>
                <w:szCs w:val="24"/>
              </w:rPr>
            </w:pPr>
            <w:r w:rsidRPr="0084408A">
              <w:rPr>
                <w:bCs/>
                <w:sz w:val="24"/>
                <w:szCs w:val="24"/>
              </w:rPr>
              <w:t>PC2 Laboratory</w:t>
            </w:r>
          </w:p>
          <w:p w14:paraId="0F992043" w14:textId="77777777" w:rsidR="000343A1" w:rsidRPr="0084408A" w:rsidRDefault="000343A1" w:rsidP="007D6E06">
            <w:pPr>
              <w:rPr>
                <w:bCs/>
              </w:rPr>
            </w:pPr>
          </w:p>
        </w:tc>
        <w:tc>
          <w:tcPr>
            <w:tcW w:w="2255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</w:tcPr>
          <w:p w14:paraId="00775760" w14:textId="388EF0D6" w:rsidR="000343A1" w:rsidRPr="000343A1" w:rsidRDefault="000343A1" w:rsidP="00BC1505">
            <w:pPr>
              <w:jc w:val="right"/>
              <w:rPr>
                <w:bCs/>
                <w:sz w:val="24"/>
                <w:szCs w:val="24"/>
              </w:rPr>
            </w:pPr>
            <w:r w:rsidRPr="000343A1">
              <w:rPr>
                <w:bCs/>
                <w:sz w:val="24"/>
                <w:szCs w:val="24"/>
              </w:rPr>
              <w:t>1</w:t>
            </w:r>
          </w:p>
        </w:tc>
      </w:tr>
      <w:tr w:rsidR="007D6E06" w:rsidRPr="00FF3E6A" w14:paraId="326B61B1" w14:textId="77777777" w:rsidTr="002F5EC8">
        <w:trPr>
          <w:trHeight w:val="514"/>
        </w:trPr>
        <w:tc>
          <w:tcPr>
            <w:tcW w:w="4536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FFFFFF" w:themeFill="background1"/>
          </w:tcPr>
          <w:p w14:paraId="208938B8" w14:textId="7B8A0CAC" w:rsidR="007D6E06" w:rsidRPr="0084408A" w:rsidRDefault="007D6E06" w:rsidP="002806E9">
            <w:pPr>
              <w:spacing w:before="100" w:after="100"/>
              <w:rPr>
                <w:rStyle w:val="normaltextrun"/>
                <w:bdr w:val="none" w:sz="0" w:space="0" w:color="auto" w:frame="1"/>
              </w:rPr>
            </w:pPr>
            <w:proofErr w:type="spellStart"/>
            <w:r w:rsidRPr="007D6E06">
              <w:rPr>
                <w:rStyle w:val="normaltextrun"/>
                <w:sz w:val="24"/>
                <w:szCs w:val="24"/>
                <w:bdr w:val="none" w:sz="0" w:space="0" w:color="auto" w:frame="1"/>
              </w:rPr>
              <w:t>LaTrobe</w:t>
            </w:r>
            <w:proofErr w:type="spellEnd"/>
            <w:r w:rsidRPr="007D6E06">
              <w:rPr>
                <w:rStyle w:val="normaltextrun"/>
                <w:sz w:val="24"/>
                <w:szCs w:val="24"/>
                <w:bdr w:val="none" w:sz="0" w:space="0" w:color="auto" w:frame="1"/>
              </w:rPr>
              <w:t xml:space="preserve"> University</w:t>
            </w:r>
            <w:r>
              <w:rPr>
                <w:rStyle w:val="normaltextrun"/>
                <w:bdr w:val="none" w:sz="0" w:space="0" w:color="auto" w:frame="1"/>
              </w:rPr>
              <w:t xml:space="preserve"> </w:t>
            </w:r>
          </w:p>
        </w:tc>
        <w:tc>
          <w:tcPr>
            <w:tcW w:w="2235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FFFFFF" w:themeFill="background1"/>
          </w:tcPr>
          <w:p w14:paraId="0E3688E5" w14:textId="77777777" w:rsidR="007D6E06" w:rsidRPr="0084408A" w:rsidRDefault="007D6E06" w:rsidP="007D6E06">
            <w:pPr>
              <w:rPr>
                <w:bCs/>
                <w:sz w:val="24"/>
                <w:szCs w:val="24"/>
              </w:rPr>
            </w:pPr>
            <w:r w:rsidRPr="0084408A">
              <w:rPr>
                <w:bCs/>
                <w:sz w:val="24"/>
                <w:szCs w:val="24"/>
              </w:rPr>
              <w:t>PC2 Laboratory</w:t>
            </w:r>
          </w:p>
          <w:p w14:paraId="4B51B552" w14:textId="77777777" w:rsidR="007D6E06" w:rsidRPr="0084408A" w:rsidRDefault="007D6E06" w:rsidP="00BC1505">
            <w:pPr>
              <w:rPr>
                <w:bCs/>
              </w:rPr>
            </w:pPr>
          </w:p>
        </w:tc>
        <w:tc>
          <w:tcPr>
            <w:tcW w:w="2255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FFFFFF" w:themeFill="background1"/>
          </w:tcPr>
          <w:p w14:paraId="18A5F9C3" w14:textId="72A44754" w:rsidR="007D6E06" w:rsidRPr="007D6E06" w:rsidRDefault="007D6E06" w:rsidP="00BC1505">
            <w:pPr>
              <w:jc w:val="right"/>
              <w:rPr>
                <w:bCs/>
                <w:sz w:val="24"/>
                <w:szCs w:val="24"/>
              </w:rPr>
            </w:pPr>
            <w:r w:rsidRPr="007D6E06">
              <w:rPr>
                <w:bCs/>
                <w:sz w:val="24"/>
                <w:szCs w:val="24"/>
              </w:rPr>
              <w:t>1</w:t>
            </w:r>
          </w:p>
        </w:tc>
      </w:tr>
      <w:tr w:rsidR="00FF3E6A" w:rsidRPr="00FF3E6A" w14:paraId="016CBA34" w14:textId="77777777" w:rsidTr="00711E49">
        <w:trPr>
          <w:trHeight w:val="514"/>
        </w:trPr>
        <w:tc>
          <w:tcPr>
            <w:tcW w:w="4536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</w:tcPr>
          <w:p w14:paraId="156F2D87" w14:textId="5C2D7A3A" w:rsidR="00FF3E6A" w:rsidRPr="0084408A" w:rsidRDefault="0084408A" w:rsidP="002806E9">
            <w:pPr>
              <w:spacing w:before="100" w:after="100"/>
              <w:rPr>
                <w:sz w:val="24"/>
                <w:szCs w:val="24"/>
              </w:rPr>
            </w:pPr>
            <w:r w:rsidRPr="0084408A">
              <w:rPr>
                <w:rStyle w:val="normaltextrun"/>
                <w:sz w:val="24"/>
                <w:szCs w:val="24"/>
                <w:bdr w:val="none" w:sz="0" w:space="0" w:color="auto" w:frame="1"/>
              </w:rPr>
              <w:lastRenderedPageBreak/>
              <w:t>University</w:t>
            </w:r>
            <w:r w:rsidR="008408FC">
              <w:rPr>
                <w:rStyle w:val="normaltextrun"/>
                <w:sz w:val="24"/>
                <w:szCs w:val="24"/>
                <w:bdr w:val="none" w:sz="0" w:space="0" w:color="auto" w:frame="1"/>
              </w:rPr>
              <w:t xml:space="preserve"> of Canberra</w:t>
            </w:r>
          </w:p>
        </w:tc>
        <w:tc>
          <w:tcPr>
            <w:tcW w:w="2235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</w:tcPr>
          <w:p w14:paraId="63EB9D32" w14:textId="77777777" w:rsidR="00FF3E6A" w:rsidRPr="0084408A" w:rsidRDefault="00FF3E6A" w:rsidP="00BC1505">
            <w:pPr>
              <w:rPr>
                <w:bCs/>
                <w:sz w:val="24"/>
                <w:szCs w:val="24"/>
              </w:rPr>
            </w:pPr>
            <w:r w:rsidRPr="0084408A">
              <w:rPr>
                <w:bCs/>
                <w:sz w:val="24"/>
                <w:szCs w:val="24"/>
              </w:rPr>
              <w:t>P</w:t>
            </w:r>
            <w:r w:rsidR="00BC1505" w:rsidRPr="0084408A">
              <w:rPr>
                <w:bCs/>
                <w:sz w:val="24"/>
                <w:szCs w:val="24"/>
              </w:rPr>
              <w:t>C2 Laboratory</w:t>
            </w:r>
          </w:p>
          <w:p w14:paraId="653255FA" w14:textId="2F665AC0" w:rsidR="0084408A" w:rsidRPr="0084408A" w:rsidRDefault="0084408A" w:rsidP="00BC1505">
            <w:pPr>
              <w:rPr>
                <w:bCs/>
                <w:sz w:val="24"/>
                <w:szCs w:val="24"/>
              </w:rPr>
            </w:pPr>
            <w:r w:rsidRPr="0084408A">
              <w:rPr>
                <w:bCs/>
                <w:sz w:val="24"/>
                <w:szCs w:val="24"/>
              </w:rPr>
              <w:t>PC2 Animal</w:t>
            </w:r>
          </w:p>
        </w:tc>
        <w:tc>
          <w:tcPr>
            <w:tcW w:w="2255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</w:tcPr>
          <w:p w14:paraId="07F94C04" w14:textId="68FDB862" w:rsidR="00FF3E6A" w:rsidRPr="0084408A" w:rsidRDefault="00156166" w:rsidP="00BC1505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14:paraId="57195207" w14:textId="2DC11671" w:rsidR="0084408A" w:rsidRPr="0084408A" w:rsidRDefault="0084408A" w:rsidP="00156166">
            <w:pPr>
              <w:jc w:val="right"/>
              <w:rPr>
                <w:bCs/>
                <w:sz w:val="24"/>
                <w:szCs w:val="24"/>
              </w:rPr>
            </w:pPr>
            <w:r w:rsidRPr="0084408A">
              <w:rPr>
                <w:bCs/>
                <w:sz w:val="24"/>
                <w:szCs w:val="24"/>
              </w:rPr>
              <w:t>1</w:t>
            </w:r>
          </w:p>
        </w:tc>
      </w:tr>
      <w:tr w:rsidR="0008684D" w:rsidRPr="00FF3E6A" w14:paraId="5550E6FA" w14:textId="77777777" w:rsidTr="008305B3">
        <w:trPr>
          <w:trHeight w:val="514"/>
        </w:trPr>
        <w:tc>
          <w:tcPr>
            <w:tcW w:w="4536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FFFFFF" w:themeFill="background1"/>
          </w:tcPr>
          <w:p w14:paraId="44597155" w14:textId="120448A5" w:rsidR="0008684D" w:rsidRPr="0084408A" w:rsidRDefault="0008684D" w:rsidP="002806E9">
            <w:pPr>
              <w:spacing w:before="100" w:after="100"/>
              <w:rPr>
                <w:rStyle w:val="normaltextrun"/>
                <w:bdr w:val="none" w:sz="0" w:space="0" w:color="auto" w:frame="1"/>
              </w:rPr>
            </w:pPr>
            <w:r w:rsidRPr="0008684D">
              <w:rPr>
                <w:rStyle w:val="normaltextrun"/>
                <w:sz w:val="24"/>
                <w:szCs w:val="24"/>
                <w:bdr w:val="none" w:sz="0" w:space="0" w:color="auto" w:frame="1"/>
              </w:rPr>
              <w:t>University Wollongong</w:t>
            </w:r>
          </w:p>
        </w:tc>
        <w:tc>
          <w:tcPr>
            <w:tcW w:w="2235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FFFFFF" w:themeFill="background1"/>
          </w:tcPr>
          <w:p w14:paraId="70C0A896" w14:textId="77777777" w:rsidR="0008684D" w:rsidRPr="007268FE" w:rsidRDefault="0008684D" w:rsidP="0008684D">
            <w:pPr>
              <w:rPr>
                <w:bCs/>
                <w:sz w:val="24"/>
                <w:szCs w:val="24"/>
              </w:rPr>
            </w:pPr>
            <w:r w:rsidRPr="007268FE">
              <w:rPr>
                <w:bCs/>
                <w:sz w:val="24"/>
                <w:szCs w:val="24"/>
              </w:rPr>
              <w:t>PC2 Laboratory</w:t>
            </w:r>
          </w:p>
          <w:p w14:paraId="365DB51A" w14:textId="1D457E7B" w:rsidR="0008684D" w:rsidRPr="0084408A" w:rsidRDefault="0008684D" w:rsidP="0008684D">
            <w:pPr>
              <w:rPr>
                <w:bCs/>
              </w:rPr>
            </w:pPr>
            <w:r w:rsidRPr="007268FE">
              <w:rPr>
                <w:bCs/>
                <w:sz w:val="24"/>
                <w:szCs w:val="24"/>
              </w:rPr>
              <w:t>PC2 Animal</w:t>
            </w:r>
          </w:p>
        </w:tc>
        <w:tc>
          <w:tcPr>
            <w:tcW w:w="2255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FFFFFF" w:themeFill="background1"/>
          </w:tcPr>
          <w:p w14:paraId="3FDF75FC" w14:textId="77777777" w:rsidR="0008684D" w:rsidRPr="0008684D" w:rsidRDefault="0008684D" w:rsidP="00BC1505">
            <w:pPr>
              <w:jc w:val="right"/>
              <w:rPr>
                <w:bCs/>
                <w:sz w:val="24"/>
                <w:szCs w:val="24"/>
              </w:rPr>
            </w:pPr>
            <w:r w:rsidRPr="0008684D">
              <w:rPr>
                <w:bCs/>
                <w:sz w:val="24"/>
                <w:szCs w:val="24"/>
              </w:rPr>
              <w:t>5</w:t>
            </w:r>
          </w:p>
          <w:p w14:paraId="43F97D83" w14:textId="7ABE0C40" w:rsidR="0008684D" w:rsidRPr="0008684D" w:rsidRDefault="0008684D" w:rsidP="00BC1505">
            <w:pPr>
              <w:jc w:val="right"/>
              <w:rPr>
                <w:bCs/>
                <w:sz w:val="24"/>
                <w:szCs w:val="24"/>
              </w:rPr>
            </w:pPr>
            <w:r w:rsidRPr="0008684D">
              <w:rPr>
                <w:bCs/>
                <w:sz w:val="24"/>
                <w:szCs w:val="24"/>
              </w:rPr>
              <w:t>1</w:t>
            </w:r>
          </w:p>
        </w:tc>
      </w:tr>
      <w:tr w:rsidR="0008684D" w:rsidRPr="0008684D" w14:paraId="70463245" w14:textId="77777777" w:rsidTr="00711E49">
        <w:trPr>
          <w:trHeight w:val="514"/>
        </w:trPr>
        <w:tc>
          <w:tcPr>
            <w:tcW w:w="4536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</w:tcPr>
          <w:p w14:paraId="62E07B32" w14:textId="5D484FF0" w:rsidR="0008684D" w:rsidRPr="0008684D" w:rsidRDefault="0008684D" w:rsidP="002806E9">
            <w:pPr>
              <w:spacing w:before="100" w:after="100"/>
              <w:rPr>
                <w:rStyle w:val="normaltextrun"/>
                <w:bdr w:val="none" w:sz="0" w:space="0" w:color="auto" w:frame="1"/>
              </w:rPr>
            </w:pPr>
            <w:r w:rsidRPr="0008684D">
              <w:rPr>
                <w:rStyle w:val="normaltextrun"/>
                <w:sz w:val="24"/>
                <w:szCs w:val="24"/>
                <w:bdr w:val="none" w:sz="0" w:space="0" w:color="auto" w:frame="1"/>
              </w:rPr>
              <w:t>The University of Adelaide</w:t>
            </w:r>
          </w:p>
        </w:tc>
        <w:tc>
          <w:tcPr>
            <w:tcW w:w="2235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</w:tcPr>
          <w:p w14:paraId="32C8F691" w14:textId="77777777" w:rsidR="0008684D" w:rsidRPr="007268FE" w:rsidRDefault="0008684D" w:rsidP="0008684D">
            <w:pPr>
              <w:rPr>
                <w:bCs/>
                <w:sz w:val="24"/>
                <w:szCs w:val="24"/>
              </w:rPr>
            </w:pPr>
            <w:r w:rsidRPr="007268FE">
              <w:rPr>
                <w:bCs/>
                <w:sz w:val="24"/>
                <w:szCs w:val="24"/>
              </w:rPr>
              <w:t>PC2 Laboratory</w:t>
            </w:r>
          </w:p>
          <w:p w14:paraId="58E32A38" w14:textId="77777777" w:rsidR="0008684D" w:rsidRPr="007268FE" w:rsidRDefault="0008684D" w:rsidP="0008684D">
            <w:pPr>
              <w:rPr>
                <w:bCs/>
              </w:rPr>
            </w:pPr>
          </w:p>
        </w:tc>
        <w:tc>
          <w:tcPr>
            <w:tcW w:w="2255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</w:tcPr>
          <w:p w14:paraId="1DD78641" w14:textId="4B8C2615" w:rsidR="0008684D" w:rsidRPr="0008684D" w:rsidRDefault="0008684D" w:rsidP="00BC1505">
            <w:pPr>
              <w:jc w:val="right"/>
              <w:rPr>
                <w:bCs/>
                <w:sz w:val="24"/>
                <w:szCs w:val="24"/>
              </w:rPr>
            </w:pPr>
            <w:r w:rsidRPr="0008684D">
              <w:rPr>
                <w:bCs/>
                <w:sz w:val="24"/>
                <w:szCs w:val="24"/>
              </w:rPr>
              <w:t>7</w:t>
            </w:r>
          </w:p>
        </w:tc>
      </w:tr>
      <w:tr w:rsidR="00FF3E6A" w:rsidRPr="00FF3E6A" w14:paraId="4DE704F1" w14:textId="77777777" w:rsidTr="00711E49">
        <w:trPr>
          <w:trHeight w:val="514"/>
        </w:trPr>
        <w:tc>
          <w:tcPr>
            <w:tcW w:w="4536" w:type="dxa"/>
            <w:tcBorders>
              <w:top w:val="single" w:sz="6" w:space="0" w:color="008000"/>
              <w:bottom w:val="single" w:sz="6" w:space="0" w:color="008000"/>
            </w:tcBorders>
          </w:tcPr>
          <w:p w14:paraId="43300055" w14:textId="32EECF93" w:rsidR="00FF3E6A" w:rsidRPr="007268FE" w:rsidRDefault="00156166" w:rsidP="007268FE">
            <w:pPr>
              <w:spacing w:before="100" w:after="100"/>
              <w:rPr>
                <w:sz w:val="24"/>
                <w:szCs w:val="24"/>
              </w:rPr>
            </w:pPr>
            <w:r w:rsidRPr="00156166">
              <w:rPr>
                <w:rStyle w:val="normaltextrun"/>
                <w:sz w:val="24"/>
                <w:szCs w:val="24"/>
                <w:bdr w:val="none" w:sz="0" w:space="0" w:color="auto" w:frame="1"/>
              </w:rPr>
              <w:t>Western Sydney University</w:t>
            </w:r>
          </w:p>
        </w:tc>
        <w:tc>
          <w:tcPr>
            <w:tcW w:w="2235" w:type="dxa"/>
            <w:tcBorders>
              <w:top w:val="single" w:sz="6" w:space="0" w:color="008000"/>
              <w:bottom w:val="single" w:sz="6" w:space="0" w:color="008000"/>
            </w:tcBorders>
          </w:tcPr>
          <w:p w14:paraId="190E8592" w14:textId="77777777" w:rsidR="00FF3E6A" w:rsidRPr="007268FE" w:rsidRDefault="00FF3E6A" w:rsidP="00A14801">
            <w:pPr>
              <w:rPr>
                <w:bCs/>
                <w:sz w:val="24"/>
                <w:szCs w:val="24"/>
              </w:rPr>
            </w:pPr>
            <w:r w:rsidRPr="007268FE">
              <w:rPr>
                <w:bCs/>
                <w:sz w:val="24"/>
                <w:szCs w:val="24"/>
              </w:rPr>
              <w:t>PC</w:t>
            </w:r>
            <w:r w:rsidR="00A14801" w:rsidRPr="007268FE">
              <w:rPr>
                <w:bCs/>
                <w:sz w:val="24"/>
                <w:szCs w:val="24"/>
              </w:rPr>
              <w:t>2 Laboratory</w:t>
            </w:r>
          </w:p>
          <w:p w14:paraId="16503F88" w14:textId="77777777" w:rsidR="007268FE" w:rsidRDefault="007268FE" w:rsidP="00A14801">
            <w:pPr>
              <w:rPr>
                <w:bCs/>
                <w:sz w:val="24"/>
                <w:szCs w:val="24"/>
              </w:rPr>
            </w:pPr>
            <w:r w:rsidRPr="007268FE">
              <w:rPr>
                <w:bCs/>
                <w:sz w:val="24"/>
                <w:szCs w:val="24"/>
              </w:rPr>
              <w:t>PC2 Animal</w:t>
            </w:r>
          </w:p>
          <w:p w14:paraId="54F475D7" w14:textId="77777777" w:rsidR="00156166" w:rsidRDefault="00156166" w:rsidP="00A148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PC2 Plant</w:t>
            </w:r>
          </w:p>
          <w:p w14:paraId="6FEC538A" w14:textId="2ED41718" w:rsidR="00156166" w:rsidRPr="007268FE" w:rsidRDefault="00156166" w:rsidP="00A1480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PC2 Invertebrate</w:t>
            </w:r>
          </w:p>
        </w:tc>
        <w:tc>
          <w:tcPr>
            <w:tcW w:w="2255" w:type="dxa"/>
            <w:tcBorders>
              <w:top w:val="single" w:sz="6" w:space="0" w:color="008000"/>
              <w:bottom w:val="single" w:sz="6" w:space="0" w:color="008000"/>
            </w:tcBorders>
          </w:tcPr>
          <w:p w14:paraId="0BD890FC" w14:textId="78AC8A06" w:rsidR="00FF3E6A" w:rsidRPr="007268FE" w:rsidRDefault="00156166" w:rsidP="00A14801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14:paraId="15EE71A1" w14:textId="77777777" w:rsidR="007268FE" w:rsidRDefault="007268FE" w:rsidP="00A14801">
            <w:pPr>
              <w:jc w:val="right"/>
              <w:rPr>
                <w:bCs/>
                <w:sz w:val="24"/>
                <w:szCs w:val="24"/>
              </w:rPr>
            </w:pPr>
            <w:r w:rsidRPr="007268FE">
              <w:rPr>
                <w:bCs/>
                <w:sz w:val="24"/>
                <w:szCs w:val="24"/>
              </w:rPr>
              <w:t>1</w:t>
            </w:r>
          </w:p>
          <w:p w14:paraId="6A005C9D" w14:textId="77777777" w:rsidR="00156166" w:rsidRDefault="00156166" w:rsidP="00A14801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14:paraId="3988BDD2" w14:textId="639B2DA6" w:rsidR="00156166" w:rsidRPr="007268FE" w:rsidRDefault="00156166" w:rsidP="00A14801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F3E6A" w:rsidRPr="00FF3E6A" w14:paraId="7FFB971A" w14:textId="77777777" w:rsidTr="00711E49">
        <w:trPr>
          <w:trHeight w:val="514"/>
        </w:trPr>
        <w:tc>
          <w:tcPr>
            <w:tcW w:w="4536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</w:tcPr>
          <w:p w14:paraId="22CEC11A" w14:textId="5C24BCB1" w:rsidR="00FF3E6A" w:rsidRPr="008305B3" w:rsidRDefault="008305B3" w:rsidP="00A2145A">
            <w:pPr>
              <w:spacing w:before="100" w:after="100"/>
              <w:rPr>
                <w:rStyle w:val="normaltextrun"/>
                <w:sz w:val="24"/>
                <w:szCs w:val="24"/>
                <w:bdr w:val="none" w:sz="0" w:space="0" w:color="auto" w:frame="1"/>
              </w:rPr>
            </w:pPr>
            <w:r w:rsidRPr="008305B3">
              <w:rPr>
                <w:rStyle w:val="normaltextrun"/>
                <w:sz w:val="24"/>
                <w:szCs w:val="24"/>
                <w:bdr w:val="none" w:sz="0" w:space="0" w:color="auto" w:frame="1"/>
              </w:rPr>
              <w:t>CSIRO</w:t>
            </w:r>
            <w:r w:rsidR="00A2145A" w:rsidRPr="0089352A">
              <w:rPr>
                <w:rStyle w:val="normaltextru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A2145A" w:rsidRPr="0089352A">
              <w:rPr>
                <w:rStyle w:val="FootnoteReference"/>
              </w:rPr>
              <w:t>3</w:t>
            </w:r>
          </w:p>
        </w:tc>
        <w:tc>
          <w:tcPr>
            <w:tcW w:w="2235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</w:tcPr>
          <w:p w14:paraId="70D2B4A5" w14:textId="3444FB17" w:rsidR="00755229" w:rsidRPr="008305B3" w:rsidRDefault="008305B3" w:rsidP="00FF3E6A">
            <w:pPr>
              <w:rPr>
                <w:bCs/>
                <w:sz w:val="24"/>
                <w:szCs w:val="24"/>
              </w:rPr>
            </w:pPr>
            <w:r w:rsidRPr="008305B3">
              <w:rPr>
                <w:bCs/>
                <w:sz w:val="24"/>
                <w:szCs w:val="24"/>
              </w:rPr>
              <w:t>PC4 Facility</w:t>
            </w:r>
          </w:p>
        </w:tc>
        <w:tc>
          <w:tcPr>
            <w:tcW w:w="2255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</w:tcPr>
          <w:p w14:paraId="5E69129A" w14:textId="0F545755" w:rsidR="00755229" w:rsidRPr="008305B3" w:rsidRDefault="008305B3" w:rsidP="00FF3E6A">
            <w:pPr>
              <w:jc w:val="right"/>
              <w:rPr>
                <w:bCs/>
                <w:sz w:val="24"/>
                <w:szCs w:val="24"/>
              </w:rPr>
            </w:pPr>
            <w:r w:rsidRPr="008305B3">
              <w:rPr>
                <w:bCs/>
                <w:sz w:val="24"/>
                <w:szCs w:val="24"/>
              </w:rPr>
              <w:t>1</w:t>
            </w:r>
          </w:p>
        </w:tc>
      </w:tr>
      <w:tr w:rsidR="00045306" w:rsidRPr="00045306" w14:paraId="16244C3B" w14:textId="77777777" w:rsidTr="00711E49">
        <w:trPr>
          <w:trHeight w:val="514"/>
        </w:trPr>
        <w:tc>
          <w:tcPr>
            <w:tcW w:w="4536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FFFFFF" w:themeFill="background1"/>
          </w:tcPr>
          <w:p w14:paraId="348CBA65" w14:textId="3D2DF372" w:rsidR="00675079" w:rsidRPr="008305B3" w:rsidRDefault="008305B3" w:rsidP="003636D0">
            <w:pPr>
              <w:spacing w:before="100" w:after="100"/>
              <w:rPr>
                <w:rStyle w:val="normaltextrun"/>
                <w:bdr w:val="none" w:sz="0" w:space="0" w:color="auto" w:frame="1"/>
              </w:rPr>
            </w:pPr>
            <w:proofErr w:type="spellStart"/>
            <w:r w:rsidRPr="008305B3">
              <w:rPr>
                <w:rStyle w:val="normaltextrun"/>
                <w:sz w:val="24"/>
                <w:szCs w:val="24"/>
                <w:bdr w:val="none" w:sz="0" w:space="0" w:color="auto" w:frame="1"/>
              </w:rPr>
              <w:t>Intervet</w:t>
            </w:r>
            <w:proofErr w:type="spellEnd"/>
            <w:r w:rsidRPr="008305B3">
              <w:rPr>
                <w:rStyle w:val="normaltextrun"/>
                <w:sz w:val="24"/>
                <w:szCs w:val="24"/>
                <w:bdr w:val="none" w:sz="0" w:space="0" w:color="auto" w:frame="1"/>
              </w:rPr>
              <w:t xml:space="preserve"> Australia Pty Ltd</w:t>
            </w:r>
            <w:r w:rsidR="00A2145A">
              <w:rPr>
                <w:rStyle w:val="normaltextru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A2145A" w:rsidRPr="0089352A">
              <w:rPr>
                <w:rStyle w:val="FootnoteReference"/>
              </w:rPr>
              <w:t>3</w:t>
            </w:r>
          </w:p>
        </w:tc>
        <w:tc>
          <w:tcPr>
            <w:tcW w:w="2235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FFFFFF" w:themeFill="background1"/>
          </w:tcPr>
          <w:p w14:paraId="15D785EB" w14:textId="4A5F865D" w:rsidR="00045306" w:rsidRPr="008305B3" w:rsidRDefault="008305B3" w:rsidP="00FF3E6A">
            <w:pPr>
              <w:rPr>
                <w:bCs/>
                <w:sz w:val="24"/>
                <w:szCs w:val="24"/>
              </w:rPr>
            </w:pPr>
            <w:r w:rsidRPr="008305B3">
              <w:rPr>
                <w:bCs/>
                <w:sz w:val="24"/>
                <w:szCs w:val="24"/>
              </w:rPr>
              <w:t>PC2 Large Scale</w:t>
            </w:r>
          </w:p>
        </w:tc>
        <w:tc>
          <w:tcPr>
            <w:tcW w:w="2255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FFFFFF" w:themeFill="background1"/>
          </w:tcPr>
          <w:p w14:paraId="083937F4" w14:textId="32570741" w:rsidR="00045306" w:rsidRPr="008305B3" w:rsidRDefault="008305B3" w:rsidP="00FF3E6A">
            <w:pPr>
              <w:jc w:val="right"/>
              <w:rPr>
                <w:bCs/>
                <w:sz w:val="24"/>
                <w:szCs w:val="24"/>
              </w:rPr>
            </w:pPr>
            <w:r w:rsidRPr="008305B3">
              <w:rPr>
                <w:bCs/>
                <w:sz w:val="24"/>
                <w:szCs w:val="24"/>
              </w:rPr>
              <w:t>1</w:t>
            </w:r>
          </w:p>
        </w:tc>
      </w:tr>
      <w:tr w:rsidR="00045306" w:rsidRPr="00045306" w14:paraId="082EE72D" w14:textId="77777777" w:rsidTr="00F023EF">
        <w:trPr>
          <w:trHeight w:val="514"/>
        </w:trPr>
        <w:tc>
          <w:tcPr>
            <w:tcW w:w="4536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</w:tcPr>
          <w:p w14:paraId="0D1114ED" w14:textId="5C6D8D26" w:rsidR="00023EF7" w:rsidRDefault="008305B3" w:rsidP="00023EF7">
            <w:pPr>
              <w:rPr>
                <w:b/>
              </w:rPr>
            </w:pPr>
            <w:r w:rsidRPr="008305B3">
              <w:rPr>
                <w:rStyle w:val="normaltextrun"/>
                <w:sz w:val="24"/>
                <w:szCs w:val="24"/>
                <w:bdr w:val="none" w:sz="0" w:space="0" w:color="auto" w:frame="1"/>
              </w:rPr>
              <w:t>Monash University</w:t>
            </w:r>
            <w:r w:rsidR="00A2145A">
              <w:rPr>
                <w:rStyle w:val="normaltextru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023EF7" w:rsidRPr="0089352A">
              <w:rPr>
                <w:rStyle w:val="FootnoteReference"/>
              </w:rPr>
              <w:footnoteReference w:id="3"/>
            </w:r>
          </w:p>
          <w:p w14:paraId="54055AFC" w14:textId="3B15B5E5" w:rsidR="00045306" w:rsidRPr="008305B3" w:rsidRDefault="00045306" w:rsidP="008305B3">
            <w:pPr>
              <w:spacing w:before="100" w:after="100"/>
              <w:rPr>
                <w:rStyle w:val="normaltextrun"/>
                <w:bdr w:val="none" w:sz="0" w:space="0" w:color="auto" w:frame="1"/>
              </w:rPr>
            </w:pPr>
          </w:p>
        </w:tc>
        <w:tc>
          <w:tcPr>
            <w:tcW w:w="2235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</w:tcPr>
          <w:p w14:paraId="6C805F7E" w14:textId="73A2DC5C" w:rsidR="00045306" w:rsidRPr="008305B3" w:rsidRDefault="008305B3" w:rsidP="00FF3E6A">
            <w:pPr>
              <w:rPr>
                <w:bCs/>
                <w:sz w:val="24"/>
                <w:szCs w:val="24"/>
              </w:rPr>
            </w:pPr>
            <w:r w:rsidRPr="008305B3">
              <w:rPr>
                <w:bCs/>
                <w:sz w:val="24"/>
                <w:szCs w:val="24"/>
              </w:rPr>
              <w:t>PC3 Invertebrate</w:t>
            </w:r>
          </w:p>
        </w:tc>
        <w:tc>
          <w:tcPr>
            <w:tcW w:w="2255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</w:tcPr>
          <w:p w14:paraId="13DC5ED6" w14:textId="49EC99AD" w:rsidR="00045306" w:rsidRPr="008305B3" w:rsidRDefault="008305B3" w:rsidP="00FF3E6A">
            <w:pPr>
              <w:jc w:val="right"/>
              <w:rPr>
                <w:bCs/>
                <w:sz w:val="24"/>
                <w:szCs w:val="24"/>
              </w:rPr>
            </w:pPr>
            <w:r w:rsidRPr="008305B3">
              <w:rPr>
                <w:bCs/>
                <w:sz w:val="24"/>
                <w:szCs w:val="24"/>
              </w:rPr>
              <w:t>1</w:t>
            </w:r>
          </w:p>
        </w:tc>
      </w:tr>
      <w:tr w:rsidR="00045306" w:rsidRPr="00045306" w14:paraId="1BD5FB11" w14:textId="77777777" w:rsidTr="00711E4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6" w:type="dxa"/>
            <w:shd w:val="clear" w:color="auto" w:fill="FFFFFF" w:themeFill="background1"/>
          </w:tcPr>
          <w:p w14:paraId="3A63CB2C" w14:textId="3A2E6317" w:rsidR="00FF3E6A" w:rsidRPr="00045306" w:rsidRDefault="00FF3E6A" w:rsidP="00FF3E6A">
            <w:pPr>
              <w:spacing w:after="60"/>
              <w:rPr>
                <w:b/>
                <w:sz w:val="24"/>
                <w:szCs w:val="24"/>
              </w:rPr>
            </w:pPr>
            <w:r w:rsidRPr="00045306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235" w:type="dxa"/>
            <w:shd w:val="clear" w:color="auto" w:fill="FFFFFF" w:themeFill="background1"/>
          </w:tcPr>
          <w:p w14:paraId="21761C98" w14:textId="77777777" w:rsidR="00FF3E6A" w:rsidRPr="00045306" w:rsidRDefault="00FF3E6A" w:rsidP="00FF3E6A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FFFFFF" w:themeFill="background1"/>
          </w:tcPr>
          <w:p w14:paraId="4B33C33E" w14:textId="1228929A" w:rsidR="00FF3E6A" w:rsidRPr="00045306" w:rsidRDefault="00A2145A" w:rsidP="00045306">
            <w:pPr>
              <w:spacing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</w:tr>
    </w:tbl>
    <w:p w14:paraId="6217B4EA" w14:textId="6CB43FC1" w:rsidR="00FF3E6A" w:rsidRPr="00045306" w:rsidRDefault="00FF3E6A" w:rsidP="002F4463"/>
    <w:p w14:paraId="79243A8A" w14:textId="3A29039F" w:rsidR="00BC3739" w:rsidRPr="00FF3E6A" w:rsidRDefault="00140FDD" w:rsidP="002F4463">
      <w:r w:rsidRPr="00FF3E6A">
        <w:t xml:space="preserve">Table </w:t>
      </w:r>
      <w:r w:rsidR="00B57C4A">
        <w:t>3</w:t>
      </w:r>
      <w:r w:rsidRPr="00FF3E6A">
        <w:t xml:space="preserve"> – Summary of inspection activities for DNIR and DIR licences for the </w:t>
      </w:r>
      <w:r w:rsidR="0008684D">
        <w:t xml:space="preserve">April </w:t>
      </w:r>
      <w:r w:rsidR="0084408A">
        <w:t xml:space="preserve">– </w:t>
      </w:r>
      <w:r w:rsidR="0008684D">
        <w:t>June</w:t>
      </w:r>
      <w:r w:rsidR="0084408A">
        <w:t xml:space="preserve"> 2021 </w:t>
      </w:r>
      <w:r w:rsidRPr="00FF3E6A">
        <w:t>quarter.</w:t>
      </w:r>
    </w:p>
    <w:tbl>
      <w:tblPr>
        <w:tblStyle w:val="TableSimple1"/>
        <w:tblW w:w="9039" w:type="dxa"/>
        <w:tblBorders>
          <w:top w:val="single" w:sz="6" w:space="0" w:color="008000"/>
          <w:bottom w:val="single" w:sz="6" w:space="0" w:color="008000"/>
          <w:insideH w:val="single" w:sz="6" w:space="0" w:color="008000"/>
        </w:tblBorders>
        <w:tblLook w:val="01E0" w:firstRow="1" w:lastRow="1" w:firstColumn="1" w:lastColumn="1" w:noHBand="0" w:noVBand="0"/>
        <w:tblCaption w:val="Table 1 – Summary of inspection activities of GM crop field trials for the Jan – Mar 2018 quarter."/>
        <w:tblDescription w:val="This table contains four columns and three rows. Column one is Licence holder, column two is licence number, column three is GM crop and column four is Site location"/>
      </w:tblPr>
      <w:tblGrid>
        <w:gridCol w:w="3369"/>
        <w:gridCol w:w="1417"/>
        <w:gridCol w:w="1843"/>
        <w:gridCol w:w="2410"/>
      </w:tblGrid>
      <w:tr w:rsidR="00FF3E6A" w:rsidRPr="00FF3E6A" w14:paraId="54621A39" w14:textId="77777777" w:rsidTr="00775C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tblHeader/>
        </w:trPr>
        <w:tc>
          <w:tcPr>
            <w:tcW w:w="3369" w:type="dxa"/>
            <w:tcBorders>
              <w:top w:val="single" w:sz="12" w:space="0" w:color="008000"/>
              <w:bottom w:val="single" w:sz="12" w:space="0" w:color="008000"/>
            </w:tcBorders>
          </w:tcPr>
          <w:p w14:paraId="745DB8BD" w14:textId="77777777" w:rsidR="00FF3E6A" w:rsidRPr="00FF3E6A" w:rsidRDefault="00FF3E6A" w:rsidP="00775CE2">
            <w:pPr>
              <w:keepNext/>
              <w:spacing w:before="120" w:after="120"/>
              <w:rPr>
                <w:b/>
                <w:sz w:val="24"/>
                <w:szCs w:val="24"/>
              </w:rPr>
            </w:pPr>
            <w:r w:rsidRPr="00FF3E6A">
              <w:rPr>
                <w:b/>
                <w:sz w:val="24"/>
                <w:szCs w:val="24"/>
              </w:rPr>
              <w:t>Licence holder</w:t>
            </w:r>
          </w:p>
        </w:tc>
        <w:tc>
          <w:tcPr>
            <w:tcW w:w="1417" w:type="dxa"/>
            <w:tcBorders>
              <w:top w:val="single" w:sz="12" w:space="0" w:color="008000"/>
              <w:bottom w:val="single" w:sz="12" w:space="0" w:color="008000"/>
            </w:tcBorders>
          </w:tcPr>
          <w:p w14:paraId="4A852744" w14:textId="77777777" w:rsidR="00FF3E6A" w:rsidRPr="00FF3E6A" w:rsidRDefault="00FF3E6A" w:rsidP="00775CE2">
            <w:pPr>
              <w:keepNext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008000"/>
              <w:bottom w:val="single" w:sz="12" w:space="0" w:color="008000"/>
            </w:tcBorders>
          </w:tcPr>
          <w:p w14:paraId="7140383D" w14:textId="77777777" w:rsidR="00FF3E6A" w:rsidRPr="00FF3E6A" w:rsidRDefault="00FF3E6A" w:rsidP="00775CE2">
            <w:pPr>
              <w:keepNext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008000"/>
              <w:bottom w:val="single" w:sz="12" w:space="0" w:color="008000"/>
            </w:tcBorders>
          </w:tcPr>
          <w:p w14:paraId="47BA6283" w14:textId="77777777" w:rsidR="00FF3E6A" w:rsidRPr="00FF3E6A" w:rsidRDefault="00FF3E6A" w:rsidP="00775CE2">
            <w:pPr>
              <w:keepNext/>
              <w:spacing w:before="120" w:after="120"/>
              <w:rPr>
                <w:b/>
                <w:sz w:val="24"/>
                <w:szCs w:val="24"/>
              </w:rPr>
            </w:pPr>
            <w:r w:rsidRPr="00FF3E6A">
              <w:rPr>
                <w:b/>
                <w:sz w:val="24"/>
                <w:szCs w:val="24"/>
              </w:rPr>
              <w:t xml:space="preserve">Licence number </w:t>
            </w:r>
          </w:p>
        </w:tc>
      </w:tr>
      <w:tr w:rsidR="008408FC" w:rsidRPr="00FF3E6A" w14:paraId="41D27E39" w14:textId="77777777" w:rsidTr="002F5EC8">
        <w:tc>
          <w:tcPr>
            <w:tcW w:w="3369" w:type="dxa"/>
            <w:shd w:val="clear" w:color="auto" w:fill="D9D9D9" w:themeFill="background1" w:themeFillShade="D9"/>
          </w:tcPr>
          <w:p w14:paraId="06BE7162" w14:textId="2C1B997E" w:rsidR="008408FC" w:rsidRPr="008408FC" w:rsidRDefault="008408FC" w:rsidP="008408FC">
            <w:pPr>
              <w:spacing w:before="100" w:after="100"/>
              <w:rPr>
                <w:rStyle w:val="normaltextrun"/>
                <w:sz w:val="24"/>
                <w:szCs w:val="24"/>
                <w:bdr w:val="none" w:sz="0" w:space="0" w:color="auto" w:frame="1"/>
              </w:rPr>
            </w:pPr>
            <w:r w:rsidRPr="008408FC">
              <w:rPr>
                <w:rStyle w:val="normaltextrun"/>
                <w:sz w:val="24"/>
                <w:szCs w:val="24"/>
                <w:bdr w:val="none" w:sz="0" w:space="0" w:color="auto" w:frame="1"/>
              </w:rPr>
              <w:t>University of Canberra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31070E7" w14:textId="77777777" w:rsidR="008408FC" w:rsidRPr="008408FC" w:rsidRDefault="008408FC" w:rsidP="008408FC">
            <w:pPr>
              <w:spacing w:before="100" w:after="100"/>
              <w:jc w:val="right"/>
              <w:rPr>
                <w:rStyle w:val="normaltextru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8C81F84" w14:textId="77777777" w:rsidR="008408FC" w:rsidRPr="008408FC" w:rsidRDefault="008408FC" w:rsidP="008408FC">
            <w:pPr>
              <w:spacing w:before="100" w:after="100"/>
              <w:rPr>
                <w:rStyle w:val="normaltextru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706DDD5F" w14:textId="12CC13B4" w:rsidR="008408FC" w:rsidRPr="008408FC" w:rsidRDefault="008408FC" w:rsidP="008408FC">
            <w:pPr>
              <w:spacing w:before="100" w:after="100"/>
              <w:rPr>
                <w:rStyle w:val="normaltextrun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rmaltextrun"/>
                <w:sz w:val="24"/>
                <w:szCs w:val="24"/>
                <w:bdr w:val="none" w:sz="0" w:space="0" w:color="auto" w:frame="1"/>
              </w:rPr>
              <w:t>DNIR 478</w:t>
            </w:r>
          </w:p>
        </w:tc>
      </w:tr>
      <w:tr w:rsidR="0008684D" w:rsidRPr="00FF3E6A" w14:paraId="09E3DF7E" w14:textId="77777777" w:rsidTr="008408FC">
        <w:tc>
          <w:tcPr>
            <w:tcW w:w="3369" w:type="dxa"/>
            <w:shd w:val="clear" w:color="auto" w:fill="FFFFFF" w:themeFill="background1"/>
          </w:tcPr>
          <w:p w14:paraId="4F54A34D" w14:textId="572B966C" w:rsidR="0008684D" w:rsidRPr="008408FC" w:rsidRDefault="0008684D" w:rsidP="008408FC">
            <w:pPr>
              <w:spacing w:before="100" w:after="100"/>
              <w:rPr>
                <w:rStyle w:val="normaltextrun"/>
                <w:bdr w:val="none" w:sz="0" w:space="0" w:color="auto" w:frame="1"/>
              </w:rPr>
            </w:pPr>
            <w:r w:rsidRPr="0008684D">
              <w:rPr>
                <w:rStyle w:val="normaltextrun"/>
                <w:sz w:val="24"/>
                <w:szCs w:val="24"/>
                <w:bdr w:val="none" w:sz="0" w:space="0" w:color="auto" w:frame="1"/>
              </w:rPr>
              <w:t>University Wollongong</w:t>
            </w:r>
          </w:p>
        </w:tc>
        <w:tc>
          <w:tcPr>
            <w:tcW w:w="1417" w:type="dxa"/>
            <w:shd w:val="clear" w:color="auto" w:fill="FFFFFF" w:themeFill="background1"/>
          </w:tcPr>
          <w:p w14:paraId="7D09A5E6" w14:textId="77777777" w:rsidR="0008684D" w:rsidRPr="008408FC" w:rsidRDefault="0008684D" w:rsidP="008408FC">
            <w:pPr>
              <w:spacing w:before="100" w:after="100"/>
              <w:jc w:val="right"/>
              <w:rPr>
                <w:rStyle w:val="normaltextrun"/>
                <w:bdr w:val="none" w:sz="0" w:space="0" w:color="auto" w:frame="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62E5C17" w14:textId="77777777" w:rsidR="0008684D" w:rsidRPr="008408FC" w:rsidRDefault="0008684D" w:rsidP="008408FC">
            <w:pPr>
              <w:spacing w:before="100" w:after="100"/>
              <w:rPr>
                <w:rStyle w:val="normaltextrun"/>
                <w:bdr w:val="none" w:sz="0" w:space="0" w:color="auto" w:frame="1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B8FE227" w14:textId="10431E34" w:rsidR="0008684D" w:rsidRDefault="0008684D" w:rsidP="008408FC">
            <w:pPr>
              <w:spacing w:before="100" w:after="100"/>
              <w:rPr>
                <w:rStyle w:val="normaltextrun"/>
                <w:bdr w:val="none" w:sz="0" w:space="0" w:color="auto" w:frame="1"/>
              </w:rPr>
            </w:pPr>
            <w:r w:rsidRPr="0008684D">
              <w:rPr>
                <w:rStyle w:val="normaltextrun"/>
                <w:sz w:val="24"/>
                <w:szCs w:val="24"/>
                <w:bdr w:val="none" w:sz="0" w:space="0" w:color="auto" w:frame="1"/>
              </w:rPr>
              <w:t>DNIR 081</w:t>
            </w:r>
          </w:p>
        </w:tc>
      </w:tr>
      <w:tr w:rsidR="002F5EC8" w:rsidRPr="00FF3E6A" w14:paraId="61A7CE8E" w14:textId="77777777" w:rsidTr="002F5EC8">
        <w:tc>
          <w:tcPr>
            <w:tcW w:w="3369" w:type="dxa"/>
            <w:shd w:val="clear" w:color="auto" w:fill="D9D9D9" w:themeFill="background1" w:themeFillShade="D9"/>
          </w:tcPr>
          <w:p w14:paraId="11355B0F" w14:textId="03EF9503" w:rsidR="002F5EC8" w:rsidRPr="0008684D" w:rsidRDefault="002F5EC8" w:rsidP="002F5EC8">
            <w:pPr>
              <w:spacing w:before="100" w:after="100"/>
              <w:rPr>
                <w:rStyle w:val="normaltextrun"/>
                <w:bdr w:val="none" w:sz="0" w:space="0" w:color="auto" w:frame="1"/>
              </w:rPr>
            </w:pPr>
            <w:r w:rsidRPr="0008684D">
              <w:rPr>
                <w:rStyle w:val="normaltextrun"/>
                <w:sz w:val="24"/>
                <w:szCs w:val="24"/>
                <w:bdr w:val="none" w:sz="0" w:space="0" w:color="auto" w:frame="1"/>
              </w:rPr>
              <w:t>The University of Adelaide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6F30E37" w14:textId="77777777" w:rsidR="002F5EC8" w:rsidRPr="008408FC" w:rsidRDefault="002F5EC8" w:rsidP="002F5EC8">
            <w:pPr>
              <w:spacing w:before="100" w:after="100"/>
              <w:jc w:val="right"/>
              <w:rPr>
                <w:rStyle w:val="normaltextrun"/>
                <w:bdr w:val="none" w:sz="0" w:space="0" w:color="auto" w:frame="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5751D8F" w14:textId="77777777" w:rsidR="002F5EC8" w:rsidRPr="008408FC" w:rsidRDefault="002F5EC8" w:rsidP="002F5EC8">
            <w:pPr>
              <w:spacing w:before="100" w:after="100"/>
              <w:rPr>
                <w:rStyle w:val="normaltextrun"/>
                <w:bdr w:val="none" w:sz="0" w:space="0" w:color="auto" w:frame="1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28FBDF07" w14:textId="19343D14" w:rsidR="002F5EC8" w:rsidRPr="0008684D" w:rsidRDefault="002F5EC8" w:rsidP="002F5EC8">
            <w:pPr>
              <w:spacing w:before="100" w:after="100"/>
              <w:rPr>
                <w:rStyle w:val="normaltextrun"/>
                <w:bdr w:val="none" w:sz="0" w:space="0" w:color="auto" w:frame="1"/>
              </w:rPr>
            </w:pPr>
            <w:r w:rsidRPr="0008684D">
              <w:rPr>
                <w:rStyle w:val="normaltextrun"/>
                <w:sz w:val="24"/>
                <w:szCs w:val="24"/>
                <w:bdr w:val="none" w:sz="0" w:space="0" w:color="auto" w:frame="1"/>
              </w:rPr>
              <w:t>DNIR 230</w:t>
            </w:r>
          </w:p>
        </w:tc>
      </w:tr>
      <w:tr w:rsidR="00BC2421" w:rsidRPr="00FF3E6A" w14:paraId="5482D6F6" w14:textId="77777777" w:rsidTr="00BC2421">
        <w:tc>
          <w:tcPr>
            <w:tcW w:w="3369" w:type="dxa"/>
          </w:tcPr>
          <w:p w14:paraId="14A3006E" w14:textId="38899E3E" w:rsidR="00BC2421" w:rsidRPr="00BC2421" w:rsidRDefault="00BC2421" w:rsidP="00BC2421">
            <w:pPr>
              <w:spacing w:before="100" w:after="100"/>
              <w:rPr>
                <w:rStyle w:val="normaltextrun"/>
                <w:b/>
                <w:bdr w:val="none" w:sz="0" w:space="0" w:color="auto" w:frame="1"/>
              </w:rPr>
            </w:pPr>
            <w:proofErr w:type="spellStart"/>
            <w:r w:rsidRPr="0008684D">
              <w:rPr>
                <w:rStyle w:val="normaltextrun"/>
                <w:sz w:val="24"/>
                <w:szCs w:val="24"/>
                <w:bdr w:val="none" w:sz="0" w:space="0" w:color="auto" w:frame="1"/>
              </w:rPr>
              <w:t>TheraVir</w:t>
            </w:r>
            <w:proofErr w:type="spellEnd"/>
            <w:r w:rsidRPr="0008684D">
              <w:rPr>
                <w:rStyle w:val="normaltextrun"/>
                <w:sz w:val="24"/>
                <w:szCs w:val="24"/>
                <w:bdr w:val="none" w:sz="0" w:space="0" w:color="auto" w:frame="1"/>
              </w:rPr>
              <w:t xml:space="preserve"> Pty Ltd</w:t>
            </w:r>
          </w:p>
        </w:tc>
        <w:tc>
          <w:tcPr>
            <w:tcW w:w="1417" w:type="dxa"/>
          </w:tcPr>
          <w:p w14:paraId="4C542EC3" w14:textId="77777777" w:rsidR="00BC2421" w:rsidRPr="008408FC" w:rsidRDefault="00BC2421" w:rsidP="00BC2421">
            <w:pPr>
              <w:spacing w:before="100" w:after="100"/>
              <w:jc w:val="right"/>
              <w:rPr>
                <w:rStyle w:val="normaltextrun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14:paraId="5492CE86" w14:textId="77777777" w:rsidR="00BC2421" w:rsidRPr="008408FC" w:rsidRDefault="00BC2421" w:rsidP="00BC2421">
            <w:pPr>
              <w:spacing w:before="100" w:after="100"/>
              <w:rPr>
                <w:rStyle w:val="normaltextrun"/>
                <w:bdr w:val="none" w:sz="0" w:space="0" w:color="auto" w:frame="1"/>
              </w:rPr>
            </w:pPr>
          </w:p>
        </w:tc>
        <w:tc>
          <w:tcPr>
            <w:tcW w:w="2410" w:type="dxa"/>
          </w:tcPr>
          <w:p w14:paraId="1F09C2CC" w14:textId="128886EB" w:rsidR="00BC2421" w:rsidRPr="0008684D" w:rsidRDefault="00BC2421" w:rsidP="00BC2421">
            <w:pPr>
              <w:spacing w:before="100" w:after="100"/>
              <w:rPr>
                <w:rStyle w:val="normaltextrun"/>
                <w:bdr w:val="none" w:sz="0" w:space="0" w:color="auto" w:frame="1"/>
              </w:rPr>
            </w:pPr>
            <w:r>
              <w:rPr>
                <w:rStyle w:val="normaltextrun"/>
                <w:sz w:val="24"/>
                <w:szCs w:val="24"/>
                <w:bdr w:val="none" w:sz="0" w:space="0" w:color="auto" w:frame="1"/>
              </w:rPr>
              <w:t xml:space="preserve">DNIR </w:t>
            </w:r>
            <w:r w:rsidRPr="0008684D">
              <w:rPr>
                <w:rStyle w:val="normaltextrun"/>
                <w:sz w:val="24"/>
                <w:szCs w:val="24"/>
                <w:bdr w:val="none" w:sz="0" w:space="0" w:color="auto" w:frame="1"/>
              </w:rPr>
              <w:t>602</w:t>
            </w:r>
          </w:p>
        </w:tc>
      </w:tr>
      <w:tr w:rsidR="00BC2421" w:rsidRPr="00FF3E6A" w14:paraId="2E5408C5" w14:textId="77777777" w:rsidTr="00BC242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3369" w:type="dxa"/>
            <w:shd w:val="clear" w:color="auto" w:fill="D9D9D9" w:themeFill="background1" w:themeFillShade="D9"/>
          </w:tcPr>
          <w:p w14:paraId="1A4E10B6" w14:textId="4B7EF099" w:rsidR="00BC2421" w:rsidRPr="00156166" w:rsidRDefault="00BC2421" w:rsidP="00BC2421">
            <w:pPr>
              <w:spacing w:before="100" w:after="100"/>
              <w:rPr>
                <w:rStyle w:val="normaltextrun"/>
                <w:sz w:val="24"/>
                <w:szCs w:val="24"/>
                <w:bdr w:val="none" w:sz="0" w:space="0" w:color="auto" w:frame="1"/>
              </w:rPr>
            </w:pPr>
            <w:r w:rsidRPr="00156166">
              <w:rPr>
                <w:rStyle w:val="normaltextrun"/>
                <w:sz w:val="24"/>
                <w:szCs w:val="24"/>
                <w:bdr w:val="none" w:sz="0" w:space="0" w:color="auto" w:frame="1"/>
              </w:rPr>
              <w:t>Western Sydney</w:t>
            </w:r>
            <w:r>
              <w:rPr>
                <w:rStyle w:val="normaltextrun"/>
                <w:sz w:val="24"/>
                <w:szCs w:val="24"/>
                <w:bdr w:val="none" w:sz="0" w:space="0" w:color="auto" w:frame="1"/>
              </w:rPr>
              <w:t xml:space="preserve"> University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FE3D462" w14:textId="77777777" w:rsidR="00BC2421" w:rsidRPr="00156166" w:rsidRDefault="00BC2421" w:rsidP="00BC2421">
            <w:pPr>
              <w:spacing w:before="100" w:after="100"/>
              <w:jc w:val="right"/>
              <w:rPr>
                <w:rStyle w:val="normaltextru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2578B45" w14:textId="77777777" w:rsidR="00BC2421" w:rsidRPr="00156166" w:rsidRDefault="00BC2421" w:rsidP="00BC2421">
            <w:pPr>
              <w:spacing w:before="100" w:after="100"/>
              <w:rPr>
                <w:rStyle w:val="normaltextru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13869D7A" w14:textId="2B865DE1" w:rsidR="00BC2421" w:rsidRPr="00156166" w:rsidRDefault="00BC2421" w:rsidP="00BC2421">
            <w:pPr>
              <w:spacing w:before="100" w:after="100"/>
              <w:rPr>
                <w:rStyle w:val="normaltextrun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rmaltextrun"/>
                <w:sz w:val="24"/>
                <w:szCs w:val="24"/>
                <w:bdr w:val="none" w:sz="0" w:space="0" w:color="auto" w:frame="1"/>
              </w:rPr>
              <w:t>DNIR 552</w:t>
            </w:r>
          </w:p>
        </w:tc>
      </w:tr>
    </w:tbl>
    <w:p w14:paraId="1C2DA33B" w14:textId="77777777" w:rsidR="00023EF7" w:rsidRDefault="00023EF7" w:rsidP="0085012D">
      <w:pPr>
        <w:rPr>
          <w:b/>
        </w:rPr>
      </w:pPr>
    </w:p>
    <w:p w14:paraId="0F43D2E2" w14:textId="331A8A05" w:rsidR="008B2CD5" w:rsidRPr="00FF3E6A" w:rsidRDefault="008B2CD5" w:rsidP="0085012D">
      <w:pPr>
        <w:rPr>
          <w:b/>
        </w:rPr>
      </w:pPr>
      <w:r w:rsidRPr="00FF3E6A">
        <w:rPr>
          <w:b/>
        </w:rPr>
        <w:t xml:space="preserve">Practice Reviews, </w:t>
      </w:r>
      <w:proofErr w:type="gramStart"/>
      <w:r w:rsidRPr="00FF3E6A">
        <w:rPr>
          <w:b/>
        </w:rPr>
        <w:t>Audits</w:t>
      </w:r>
      <w:proofErr w:type="gramEnd"/>
      <w:r w:rsidRPr="00FF3E6A">
        <w:rPr>
          <w:b/>
        </w:rPr>
        <w:t xml:space="preserve"> and Investigations </w:t>
      </w:r>
    </w:p>
    <w:p w14:paraId="1489D8A8" w14:textId="11A66B84" w:rsidR="00D707AB" w:rsidRPr="00530C6A" w:rsidRDefault="00D707AB">
      <w:r w:rsidRPr="00530C6A">
        <w:t xml:space="preserve">The Monitoring and Compliance section may initiate </w:t>
      </w:r>
      <w:r w:rsidR="000934E3" w:rsidRPr="00530C6A">
        <w:t>practice r</w:t>
      </w:r>
      <w:r w:rsidRPr="00530C6A">
        <w:t>eviews in response to observations made during earlier monitoring activities, or to follow up incident reports</w:t>
      </w:r>
      <w:r w:rsidR="004605F8">
        <w:t xml:space="preserve"> or to assess the effectiveness of systems used by licence holders and IBC(s)</w:t>
      </w:r>
      <w:r w:rsidRPr="00530C6A">
        <w:t>. The objective is to determine if licence conditions can be, and are being, effectively implemented.</w:t>
      </w:r>
    </w:p>
    <w:p w14:paraId="44718A09" w14:textId="70724AE4" w:rsidR="000343A1" w:rsidRDefault="000343A1" w:rsidP="000343A1">
      <w:pPr>
        <w:rPr>
          <w:rFonts w:eastAsia="Times New Roman"/>
          <w:color w:val="000000" w:themeColor="text1"/>
        </w:rPr>
      </w:pPr>
      <w:r w:rsidRPr="6118EB40">
        <w:rPr>
          <w:rFonts w:eastAsia="Times New Roman"/>
          <w:color w:val="000000" w:themeColor="text1"/>
        </w:rPr>
        <w:t xml:space="preserve">During the </w:t>
      </w:r>
      <w:r>
        <w:rPr>
          <w:rFonts w:eastAsia="Times New Roman"/>
          <w:color w:val="000000" w:themeColor="text1"/>
        </w:rPr>
        <w:t>April – June 2021</w:t>
      </w:r>
      <w:r w:rsidRPr="6118EB40">
        <w:rPr>
          <w:rFonts w:eastAsia="Times New Roman"/>
          <w:color w:val="000000" w:themeColor="text1"/>
        </w:rPr>
        <w:t xml:space="preserve"> quarter the</w:t>
      </w:r>
      <w:r>
        <w:rPr>
          <w:rFonts w:eastAsia="Times New Roman"/>
          <w:color w:val="000000" w:themeColor="text1"/>
        </w:rPr>
        <w:t xml:space="preserve"> OGTR continued its program of practice r</w:t>
      </w:r>
      <w:r w:rsidR="007F4F09">
        <w:rPr>
          <w:rFonts w:eastAsia="Times New Roman"/>
          <w:color w:val="000000" w:themeColor="text1"/>
        </w:rPr>
        <w:t xml:space="preserve">eviews, undertaking </w:t>
      </w:r>
      <w:r w:rsidRPr="6118EB40">
        <w:rPr>
          <w:rFonts w:eastAsia="Times New Roman"/>
          <w:color w:val="000000" w:themeColor="text1"/>
        </w:rPr>
        <w:t>meetings with:</w:t>
      </w:r>
    </w:p>
    <w:p w14:paraId="1C1E276A" w14:textId="0025418D" w:rsidR="000343A1" w:rsidRPr="007F4F09" w:rsidRDefault="000343A1" w:rsidP="000343A1">
      <w:pPr>
        <w:pStyle w:val="ListParagraph"/>
        <w:numPr>
          <w:ilvl w:val="0"/>
          <w:numId w:val="7"/>
        </w:numPr>
        <w:rPr>
          <w:rFonts w:eastAsia="Times New Roman"/>
        </w:rPr>
      </w:pPr>
      <w:proofErr w:type="spellStart"/>
      <w:r>
        <w:lastRenderedPageBreak/>
        <w:t>Avance</w:t>
      </w:r>
      <w:proofErr w:type="spellEnd"/>
      <w:r>
        <w:t xml:space="preserve"> Clinical Pty Ltd to undertake licensed dealings not involving intentional release (DNIR-636 – </w:t>
      </w:r>
      <w:r w:rsidRPr="000343A1">
        <w:rPr>
          <w:i/>
        </w:rPr>
        <w:t>Clinical trial to determine the safety and efficacy of SC-Ad6-1, an adenovirus based COVID-19 vaccine</w:t>
      </w:r>
      <w:r w:rsidR="00BD42BF">
        <w:t xml:space="preserve">) and </w:t>
      </w:r>
    </w:p>
    <w:p w14:paraId="59E2B53E" w14:textId="3745E264" w:rsidR="007F4F09" w:rsidRPr="000343A1" w:rsidRDefault="006F2F96" w:rsidP="006F2F96">
      <w:pPr>
        <w:pStyle w:val="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The University of Queensland to undertake</w:t>
      </w:r>
      <w:r>
        <w:t xml:space="preserve"> licensed dealings not involving intentional release (DNIR-634 - </w:t>
      </w:r>
      <w:r w:rsidRPr="006F2F96">
        <w:rPr>
          <w:i/>
        </w:rPr>
        <w:t>Dissecting Covid-19 pathogenesis by advanced molecular technologies</w:t>
      </w:r>
      <w:r>
        <w:t>).</w:t>
      </w:r>
    </w:p>
    <w:p w14:paraId="610C3517" w14:textId="21955070" w:rsidR="000343A1" w:rsidRPr="006F2F96" w:rsidRDefault="000343A1" w:rsidP="000343A1">
      <w:r w:rsidRPr="006F2F96">
        <w:t xml:space="preserve">No audits and no investigations were undertaken during the quarter. </w:t>
      </w:r>
    </w:p>
    <w:p w14:paraId="71F4F854" w14:textId="4C49DCF3" w:rsidR="00D707AB" w:rsidRPr="00FF3E6A" w:rsidRDefault="00D707AB" w:rsidP="00D707AB">
      <w:pPr>
        <w:spacing w:before="480"/>
        <w:rPr>
          <w:b/>
          <w:bCs/>
        </w:rPr>
      </w:pPr>
      <w:r w:rsidRPr="00FF3E6A">
        <w:rPr>
          <w:b/>
          <w:bCs/>
        </w:rPr>
        <w:t>Monitoring and Compliance Findings</w:t>
      </w:r>
    </w:p>
    <w:p w14:paraId="5DE7AA4C" w14:textId="14424FE9" w:rsidR="00D707AB" w:rsidRPr="00FF3E6A" w:rsidRDefault="00D707AB" w:rsidP="00D707AB">
      <w:pPr>
        <w:spacing w:after="120"/>
      </w:pPr>
      <w:r w:rsidRPr="00FF3E6A">
        <w:t xml:space="preserve">Findings from </w:t>
      </w:r>
      <w:r w:rsidRPr="00FF3E6A">
        <w:tab/>
        <w:t xml:space="preserve">routine monitoring, auditing and investigations, and related enforcement activities, are provided in the Regulator’s Annual Report in accordance with section 136 of the </w:t>
      </w:r>
      <w:r w:rsidRPr="00FF3E6A">
        <w:rPr>
          <w:i/>
        </w:rPr>
        <w:t>Gene Technology Act 2000</w:t>
      </w:r>
      <w:r w:rsidRPr="00FF3E6A">
        <w:t>.</w:t>
      </w:r>
    </w:p>
    <w:p w14:paraId="3099B2A4" w14:textId="7663FE55" w:rsidR="00D707AB" w:rsidRPr="00FF3E6A" w:rsidRDefault="00D707AB" w:rsidP="00D707AB">
      <w:pPr>
        <w:rPr>
          <w:b/>
        </w:rPr>
      </w:pPr>
    </w:p>
    <w:sectPr w:rsidR="00D707AB" w:rsidRPr="00FF3E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8A68B" w14:textId="77777777" w:rsidR="008A1172" w:rsidRDefault="008A1172" w:rsidP="00FF57FF">
      <w:pPr>
        <w:spacing w:after="0" w:line="240" w:lineRule="auto"/>
      </w:pPr>
      <w:r>
        <w:separator/>
      </w:r>
    </w:p>
  </w:endnote>
  <w:endnote w:type="continuationSeparator" w:id="0">
    <w:p w14:paraId="06253158" w14:textId="77777777" w:rsidR="008A1172" w:rsidRDefault="008A1172" w:rsidP="00FF5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B979B" w14:textId="77777777" w:rsidR="008A1172" w:rsidRDefault="008A1172" w:rsidP="00FF57FF">
      <w:pPr>
        <w:spacing w:after="0" w:line="240" w:lineRule="auto"/>
      </w:pPr>
      <w:r>
        <w:separator/>
      </w:r>
    </w:p>
  </w:footnote>
  <w:footnote w:type="continuationSeparator" w:id="0">
    <w:p w14:paraId="2E9B3EC2" w14:textId="77777777" w:rsidR="008A1172" w:rsidRDefault="008A1172" w:rsidP="00FF57FF">
      <w:pPr>
        <w:spacing w:after="0" w:line="240" w:lineRule="auto"/>
      </w:pPr>
      <w:r>
        <w:continuationSeparator/>
      </w:r>
    </w:p>
  </w:footnote>
  <w:footnote w:id="1">
    <w:p w14:paraId="28B50146" w14:textId="527A4B62" w:rsidR="009B010C" w:rsidRPr="00A4002B" w:rsidRDefault="009E2710" w:rsidP="009E2710">
      <w:pPr>
        <w:pStyle w:val="FootnoteText"/>
      </w:pPr>
      <w:r w:rsidRPr="00456FBE">
        <w:rPr>
          <w:rStyle w:val="FootnoteReference"/>
        </w:rPr>
        <w:footnoteRef/>
      </w:r>
      <w:r>
        <w:t xml:space="preserve"> </w:t>
      </w:r>
      <w:r w:rsidR="003B3D89">
        <w:t xml:space="preserve">PH </w:t>
      </w:r>
      <w:r>
        <w:t>= post-harvest site</w:t>
      </w:r>
      <w:r w:rsidR="003A469C">
        <w:t>; C = current site</w:t>
      </w:r>
    </w:p>
  </w:footnote>
  <w:footnote w:id="2">
    <w:p w14:paraId="2971F787" w14:textId="77777777" w:rsidR="00A4002B" w:rsidRDefault="00A4002B" w:rsidP="00A4002B">
      <w:pPr>
        <w:pStyle w:val="FootnoteText"/>
      </w:pPr>
      <w:r>
        <w:rPr>
          <w:rStyle w:val="FootnoteReference"/>
        </w:rPr>
        <w:footnoteRef/>
      </w:r>
      <w:r>
        <w:t xml:space="preserve"> Desktop inspection</w:t>
      </w:r>
    </w:p>
    <w:p w14:paraId="4C1EC801" w14:textId="15AE8164" w:rsidR="00A4002B" w:rsidRDefault="00A4002B">
      <w:pPr>
        <w:pStyle w:val="FootnoteText"/>
      </w:pPr>
    </w:p>
  </w:footnote>
  <w:footnote w:id="3">
    <w:p w14:paraId="635C816A" w14:textId="77777777" w:rsidR="00023EF7" w:rsidRDefault="00023EF7" w:rsidP="00023EF7">
      <w:pPr>
        <w:pStyle w:val="FootnoteText"/>
      </w:pPr>
      <w:r>
        <w:rPr>
          <w:rStyle w:val="FootnoteReference"/>
        </w:rPr>
        <w:t>3</w:t>
      </w:r>
      <w:r>
        <w:t xml:space="preserve"> Facilities were subject to joint inspections with the Contained Dealings Evaluation Section for re-certification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44015"/>
    <w:multiLevelType w:val="hybridMultilevel"/>
    <w:tmpl w:val="31C2346A"/>
    <w:lvl w:ilvl="0" w:tplc="569655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FCC0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E3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00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80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A69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7C4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5A7A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728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57268"/>
    <w:multiLevelType w:val="hybridMultilevel"/>
    <w:tmpl w:val="B72ED068"/>
    <w:lvl w:ilvl="0" w:tplc="0C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40215"/>
    <w:multiLevelType w:val="hybridMultilevel"/>
    <w:tmpl w:val="E754104E"/>
    <w:lvl w:ilvl="0" w:tplc="0C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B61FA"/>
    <w:multiLevelType w:val="hybridMultilevel"/>
    <w:tmpl w:val="6C9E88EA"/>
    <w:lvl w:ilvl="0" w:tplc="C36239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E6126"/>
    <w:multiLevelType w:val="hybridMultilevel"/>
    <w:tmpl w:val="A822B706"/>
    <w:lvl w:ilvl="0" w:tplc="60D2AD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833F4"/>
    <w:multiLevelType w:val="hybridMultilevel"/>
    <w:tmpl w:val="8D7A175E"/>
    <w:lvl w:ilvl="0" w:tplc="E26E4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820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A40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6C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86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1A2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4E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C00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84A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106B9"/>
    <w:multiLevelType w:val="hybridMultilevel"/>
    <w:tmpl w:val="414C6E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63"/>
    <w:rsid w:val="00023EF7"/>
    <w:rsid w:val="000343A1"/>
    <w:rsid w:val="00045306"/>
    <w:rsid w:val="0008684D"/>
    <w:rsid w:val="000934E3"/>
    <w:rsid w:val="00095E21"/>
    <w:rsid w:val="000B1C0C"/>
    <w:rsid w:val="00114D61"/>
    <w:rsid w:val="001275B7"/>
    <w:rsid w:val="00132B7A"/>
    <w:rsid w:val="00140FDD"/>
    <w:rsid w:val="00156166"/>
    <w:rsid w:val="00196E9B"/>
    <w:rsid w:val="001A1655"/>
    <w:rsid w:val="001C54B4"/>
    <w:rsid w:val="00254B7A"/>
    <w:rsid w:val="00273B11"/>
    <w:rsid w:val="0027513D"/>
    <w:rsid w:val="00280050"/>
    <w:rsid w:val="002806E9"/>
    <w:rsid w:val="002F4463"/>
    <w:rsid w:val="002F5EC8"/>
    <w:rsid w:val="00303FE9"/>
    <w:rsid w:val="00340117"/>
    <w:rsid w:val="00351F50"/>
    <w:rsid w:val="00356DF4"/>
    <w:rsid w:val="003636D0"/>
    <w:rsid w:val="00372871"/>
    <w:rsid w:val="00373408"/>
    <w:rsid w:val="003A469C"/>
    <w:rsid w:val="003B3C94"/>
    <w:rsid w:val="003B3D89"/>
    <w:rsid w:val="003D4225"/>
    <w:rsid w:val="003D5044"/>
    <w:rsid w:val="003E1FDC"/>
    <w:rsid w:val="00414775"/>
    <w:rsid w:val="004605F8"/>
    <w:rsid w:val="00474DF4"/>
    <w:rsid w:val="004870BB"/>
    <w:rsid w:val="0048719E"/>
    <w:rsid w:val="004E023F"/>
    <w:rsid w:val="00502F58"/>
    <w:rsid w:val="00503626"/>
    <w:rsid w:val="00503AD9"/>
    <w:rsid w:val="00530C6A"/>
    <w:rsid w:val="005555BF"/>
    <w:rsid w:val="00577816"/>
    <w:rsid w:val="005815B6"/>
    <w:rsid w:val="005A4DAF"/>
    <w:rsid w:val="005B2D2E"/>
    <w:rsid w:val="0062614D"/>
    <w:rsid w:val="00675079"/>
    <w:rsid w:val="00686DB8"/>
    <w:rsid w:val="006A25A2"/>
    <w:rsid w:val="006F2F96"/>
    <w:rsid w:val="006F4056"/>
    <w:rsid w:val="006F5EC8"/>
    <w:rsid w:val="00711E49"/>
    <w:rsid w:val="007268FE"/>
    <w:rsid w:val="00737243"/>
    <w:rsid w:val="00750044"/>
    <w:rsid w:val="00755229"/>
    <w:rsid w:val="0079478B"/>
    <w:rsid w:val="00794D4E"/>
    <w:rsid w:val="007A72FD"/>
    <w:rsid w:val="007D4464"/>
    <w:rsid w:val="007D6E06"/>
    <w:rsid w:val="007E5CF3"/>
    <w:rsid w:val="007F4F09"/>
    <w:rsid w:val="00804EFE"/>
    <w:rsid w:val="00816FFA"/>
    <w:rsid w:val="008305B3"/>
    <w:rsid w:val="008408FC"/>
    <w:rsid w:val="0084408A"/>
    <w:rsid w:val="0084476F"/>
    <w:rsid w:val="0085012D"/>
    <w:rsid w:val="00877D62"/>
    <w:rsid w:val="0089352A"/>
    <w:rsid w:val="008A1172"/>
    <w:rsid w:val="008B1282"/>
    <w:rsid w:val="008B2CD5"/>
    <w:rsid w:val="008D7648"/>
    <w:rsid w:val="008D7F41"/>
    <w:rsid w:val="008E46BA"/>
    <w:rsid w:val="0091225B"/>
    <w:rsid w:val="0092574A"/>
    <w:rsid w:val="00930E09"/>
    <w:rsid w:val="00937642"/>
    <w:rsid w:val="00971133"/>
    <w:rsid w:val="009B010C"/>
    <w:rsid w:val="009B5AFC"/>
    <w:rsid w:val="009C4AEA"/>
    <w:rsid w:val="009E2710"/>
    <w:rsid w:val="00A14801"/>
    <w:rsid w:val="00A21119"/>
    <w:rsid w:val="00A2145A"/>
    <w:rsid w:val="00A4002B"/>
    <w:rsid w:val="00A657FF"/>
    <w:rsid w:val="00AB4436"/>
    <w:rsid w:val="00AC6800"/>
    <w:rsid w:val="00AD577C"/>
    <w:rsid w:val="00B072CA"/>
    <w:rsid w:val="00B413F1"/>
    <w:rsid w:val="00B57C4A"/>
    <w:rsid w:val="00B83850"/>
    <w:rsid w:val="00BA6B30"/>
    <w:rsid w:val="00BC1505"/>
    <w:rsid w:val="00BC2421"/>
    <w:rsid w:val="00BC3739"/>
    <w:rsid w:val="00BD42BF"/>
    <w:rsid w:val="00BD60C5"/>
    <w:rsid w:val="00C158D8"/>
    <w:rsid w:val="00C420E6"/>
    <w:rsid w:val="00C7775A"/>
    <w:rsid w:val="00CA3BC7"/>
    <w:rsid w:val="00CD3FAD"/>
    <w:rsid w:val="00CF2DD8"/>
    <w:rsid w:val="00D420FE"/>
    <w:rsid w:val="00D432A3"/>
    <w:rsid w:val="00D707AB"/>
    <w:rsid w:val="00D73824"/>
    <w:rsid w:val="00E2174B"/>
    <w:rsid w:val="00E32DE0"/>
    <w:rsid w:val="00E33092"/>
    <w:rsid w:val="00E4499D"/>
    <w:rsid w:val="00E534BA"/>
    <w:rsid w:val="00E964EE"/>
    <w:rsid w:val="00EA2F7D"/>
    <w:rsid w:val="00EC7D1F"/>
    <w:rsid w:val="00ED0B04"/>
    <w:rsid w:val="00F023EF"/>
    <w:rsid w:val="00F06F77"/>
    <w:rsid w:val="00F14D6C"/>
    <w:rsid w:val="00F675D4"/>
    <w:rsid w:val="00F74D3C"/>
    <w:rsid w:val="00FD3776"/>
    <w:rsid w:val="00FF3E6A"/>
    <w:rsid w:val="00FF57FF"/>
    <w:rsid w:val="0939C9EC"/>
    <w:rsid w:val="0941EECC"/>
    <w:rsid w:val="1189A7B5"/>
    <w:rsid w:val="13ECCC09"/>
    <w:rsid w:val="19DAC822"/>
    <w:rsid w:val="1C853682"/>
    <w:rsid w:val="1E1763F9"/>
    <w:rsid w:val="20884ADE"/>
    <w:rsid w:val="28631D71"/>
    <w:rsid w:val="2B94DF16"/>
    <w:rsid w:val="2D8EF601"/>
    <w:rsid w:val="46FDDE14"/>
    <w:rsid w:val="54A75E72"/>
    <w:rsid w:val="6118EB40"/>
    <w:rsid w:val="6BE0906D"/>
    <w:rsid w:val="6D11662C"/>
    <w:rsid w:val="78DD840E"/>
    <w:rsid w:val="7FA8C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94B05"/>
  <w15:chartTrackingRefBased/>
  <w15:docId w15:val="{623D4B0E-E2EC-4B54-9D90-EBD7F910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4463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normaltextrun">
    <w:name w:val="normaltextrun"/>
    <w:basedOn w:val="DefaultParagraphFont"/>
    <w:rsid w:val="00BC3739"/>
  </w:style>
  <w:style w:type="paragraph" w:styleId="ListParagraph">
    <w:name w:val="List Paragraph"/>
    <w:basedOn w:val="Normal"/>
    <w:uiPriority w:val="34"/>
    <w:qFormat/>
    <w:rsid w:val="00BC37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3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7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7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7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7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F5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5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7FF"/>
  </w:style>
  <w:style w:type="paragraph" w:styleId="Footer">
    <w:name w:val="footer"/>
    <w:basedOn w:val="Normal"/>
    <w:link w:val="FooterChar"/>
    <w:uiPriority w:val="99"/>
    <w:unhideWhenUsed/>
    <w:rsid w:val="00FF5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7FF"/>
  </w:style>
  <w:style w:type="paragraph" w:styleId="FootnoteText">
    <w:name w:val="footnote text"/>
    <w:basedOn w:val="Normal"/>
    <w:link w:val="FootnoteTextChar"/>
    <w:rsid w:val="00FF3E6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F3E6A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rsid w:val="00FF3E6A"/>
    <w:rPr>
      <w:vertAlign w:val="superscript"/>
    </w:rPr>
  </w:style>
  <w:style w:type="table" w:styleId="GridTable2-Accent6">
    <w:name w:val="Grid Table 2 Accent 6"/>
    <w:basedOn w:val="TableNormal"/>
    <w:uiPriority w:val="47"/>
    <w:rsid w:val="00FF3E6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1Light-Accent6">
    <w:name w:val="Grid Table 1 Light Accent 6"/>
    <w:basedOn w:val="TableNormal"/>
    <w:uiPriority w:val="46"/>
    <w:rsid w:val="00FF3E6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">
    <w:name w:val="Grid Table 6 Colorful"/>
    <w:basedOn w:val="TableNormal"/>
    <w:uiPriority w:val="51"/>
    <w:rsid w:val="00FF3E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3">
    <w:name w:val="Plain Table 3"/>
    <w:basedOn w:val="TableNormal"/>
    <w:uiPriority w:val="43"/>
    <w:rsid w:val="00FF3E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FF3E6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Simple1">
    <w:name w:val="Table Simple 1"/>
    <w:basedOn w:val="TableNormal"/>
    <w:rsid w:val="00FF3E6A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94F50ADF99014B9A2A7FD423FED020" ma:contentTypeVersion="4" ma:contentTypeDescription="Create a new document." ma:contentTypeScope="" ma:versionID="2a71551f7553eefdf96555dc76e4999d">
  <xsd:schema xmlns:xsd="http://www.w3.org/2001/XMLSchema" xmlns:xs="http://www.w3.org/2001/XMLSchema" xmlns:p="http://schemas.microsoft.com/office/2006/metadata/properties" xmlns:ns2="35ff0fdb-27e9-4101-a9ec-a68eaadfa029" targetNamespace="http://schemas.microsoft.com/office/2006/metadata/properties" ma:root="true" ma:fieldsID="690abe80adaae7287739c4d1e5cfdce4" ns2:_="">
    <xsd:import namespace="35ff0fdb-27e9-4101-a9ec-a68eaadfa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f0fdb-27e9-4101-a9ec-a68eaadfa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CEA8DB-96A1-4E7E-9546-0FB22958E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EF876A-B7DC-4D08-A0F2-9B6E3856F2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B0F790-4BE0-4C27-BDD4-4FFEA5EB7E55}">
  <ds:schemaRefs>
    <ds:schemaRef ds:uri="http://purl.org/dc/dcmitype/"/>
    <ds:schemaRef ds:uri="http://schemas.microsoft.com/office/infopath/2007/PartnerControls"/>
    <ds:schemaRef ds:uri="35ff0fdb-27e9-4101-a9ec-a68eaadfa029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5FEA953-5DDF-4347-A56F-CEC8FCAD9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f0fdb-27e9-4101-a9ec-a68eaadfa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3078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Activities Report Oct-Dec 2020</vt:lpstr>
    </vt:vector>
  </TitlesOfParts>
  <Company>Department of Health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Activities Report Apr-Jun 2021</dc:title>
  <dc:subject/>
  <dc:creator>OGTR.Voicemail@health.gov.au</dc:creator>
  <cp:keywords/>
  <dc:description/>
  <cp:lastModifiedBy>SMITH, Justine</cp:lastModifiedBy>
  <cp:revision>2</cp:revision>
  <dcterms:created xsi:type="dcterms:W3CDTF">2021-08-25T22:27:00Z</dcterms:created>
  <dcterms:modified xsi:type="dcterms:W3CDTF">2021-08-25T22:27:00Z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0x010100D794F50ADF99014B9A2A7FD423FED020</vt:lpwstr>
  </property>
</Properties>
</file>