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92FC" w14:textId="77777777" w:rsidR="008A1EA6" w:rsidRPr="0000143A" w:rsidRDefault="008A1EA6" w:rsidP="0009657C">
      <w:pPr>
        <w:pStyle w:val="Heading1"/>
      </w:pPr>
      <w:bookmarkStart w:id="0" w:name="_Toc47536733"/>
      <w:bookmarkStart w:id="1" w:name="_Toc73427546"/>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00143A">
        <w:t>Summary of the Risk Assessment and Risk Management Plan</w:t>
      </w:r>
      <w:bookmarkEnd w:id="0"/>
      <w:bookmarkEnd w:id="1"/>
    </w:p>
    <w:p w14:paraId="6113C92D" w14:textId="77777777" w:rsidR="008A1EA6" w:rsidRPr="0000143A" w:rsidRDefault="008A1EA6" w:rsidP="0009657C">
      <w:pPr>
        <w:keepNext/>
        <w:ind w:right="-188"/>
        <w:jc w:val="center"/>
        <w:rPr>
          <w:rFonts w:cs="Arial"/>
          <w:b/>
          <w:bCs/>
          <w:kern w:val="32"/>
          <w:sz w:val="28"/>
          <w:szCs w:val="28"/>
          <w:lang w:eastAsia="en-US"/>
        </w:rPr>
      </w:pPr>
      <w:r w:rsidRPr="0000143A">
        <w:rPr>
          <w:rFonts w:cs="Arial"/>
          <w:b/>
          <w:bCs/>
          <w:kern w:val="32"/>
          <w:sz w:val="28"/>
          <w:szCs w:val="28"/>
          <w:lang w:eastAsia="en-US"/>
        </w:rPr>
        <w:t>for</w:t>
      </w:r>
    </w:p>
    <w:p w14:paraId="4F19B876" w14:textId="77777777" w:rsidR="008A1EA6" w:rsidRPr="00F736DB" w:rsidRDefault="008A1EA6" w:rsidP="0009657C">
      <w:pPr>
        <w:keepNext/>
        <w:ind w:right="-188"/>
        <w:jc w:val="center"/>
        <w:rPr>
          <w:rFonts w:cs="Arial"/>
          <w:b/>
          <w:bCs/>
          <w:kern w:val="32"/>
          <w:sz w:val="36"/>
          <w:szCs w:val="36"/>
          <w:lang w:eastAsia="en-US"/>
        </w:rPr>
      </w:pPr>
      <w:r w:rsidRPr="0000143A">
        <w:rPr>
          <w:rFonts w:cs="Arial"/>
          <w:b/>
          <w:bCs/>
          <w:kern w:val="32"/>
          <w:sz w:val="36"/>
          <w:szCs w:val="36"/>
          <w:lang w:eastAsia="en-US"/>
        </w:rPr>
        <w:t xml:space="preserve">Licence </w:t>
      </w:r>
      <w:r>
        <w:rPr>
          <w:rFonts w:cs="Arial"/>
          <w:b/>
          <w:bCs/>
          <w:kern w:val="32"/>
          <w:sz w:val="36"/>
          <w:szCs w:val="36"/>
          <w:lang w:eastAsia="en-US"/>
        </w:rPr>
        <w:t xml:space="preserve">Application DIR </w:t>
      </w:r>
      <w:r w:rsidRPr="002E7944">
        <w:rPr>
          <w:rFonts w:cs="Arial"/>
          <w:b/>
          <w:bCs/>
          <w:kern w:val="32"/>
          <w:sz w:val="36"/>
          <w:szCs w:val="36"/>
          <w:lang w:eastAsia="en-US"/>
        </w:rPr>
        <w:t>18</w:t>
      </w:r>
      <w:r w:rsidR="00E83938">
        <w:rPr>
          <w:rFonts w:cs="Arial"/>
          <w:b/>
          <w:bCs/>
          <w:kern w:val="32"/>
          <w:sz w:val="36"/>
          <w:szCs w:val="36"/>
          <w:lang w:eastAsia="en-US"/>
        </w:rPr>
        <w:t>3</w:t>
      </w:r>
    </w:p>
    <w:p w14:paraId="28C65D09" w14:textId="77777777" w:rsidR="00E83938" w:rsidRPr="00F736DB" w:rsidRDefault="00E83938" w:rsidP="00E83938">
      <w:pPr>
        <w:pStyle w:val="Heading2"/>
        <w:numPr>
          <w:ilvl w:val="0"/>
          <w:numId w:val="0"/>
        </w:numPr>
        <w:rPr>
          <w:lang w:eastAsia="en-US"/>
        </w:rPr>
      </w:pPr>
      <w:bookmarkStart w:id="10" w:name="_Toc73427547"/>
      <w:bookmarkStart w:id="11" w:name="_Toc75772080"/>
      <w:bookmarkStart w:id="12" w:name="_Toc57127977"/>
      <w:bookmarkEnd w:id="2"/>
      <w:bookmarkEnd w:id="3"/>
      <w:bookmarkEnd w:id="4"/>
      <w:bookmarkEnd w:id="5"/>
      <w:bookmarkEnd w:id="6"/>
      <w:bookmarkEnd w:id="7"/>
      <w:bookmarkEnd w:id="8"/>
      <w:bookmarkEnd w:id="9"/>
      <w:r>
        <w:rPr>
          <w:lang w:eastAsia="en-US"/>
        </w:rPr>
        <w:t>Decision</w:t>
      </w:r>
      <w:bookmarkEnd w:id="10"/>
      <w:bookmarkEnd w:id="11"/>
    </w:p>
    <w:p w14:paraId="5CEBF7C3" w14:textId="77777777" w:rsidR="00E83938" w:rsidRDefault="00E83938" w:rsidP="00E83938">
      <w:pPr>
        <w:pStyle w:val="-"/>
        <w:rPr>
          <w:lang w:eastAsia="en-US"/>
        </w:rPr>
      </w:pPr>
      <w:r>
        <w:rPr>
          <w:lang w:eastAsia="en-US"/>
        </w:rPr>
        <w:t xml:space="preserve">The Gene Technology Regulator (the regulator) has decided to issue a licence (DIR 183) to allow the Westmead Institute for Medical Research to conduct a clinical trial to evaluate the safety and efficacy of genetically modified (GM) </w:t>
      </w:r>
      <w:r w:rsidRPr="009029C5">
        <w:rPr>
          <w:i/>
          <w:lang w:eastAsia="en-US"/>
        </w:rPr>
        <w:t>E.coli</w:t>
      </w:r>
      <w:r>
        <w:rPr>
          <w:lang w:eastAsia="en-US"/>
        </w:rPr>
        <w:t xml:space="preserve"> to deliver genes that restore sensitivity to antibiotics in gut bacteria.</w:t>
      </w:r>
    </w:p>
    <w:p w14:paraId="638CD758" w14:textId="77777777" w:rsidR="00E83938" w:rsidRPr="00DF71E9" w:rsidRDefault="00E83938" w:rsidP="00E83938">
      <w:pPr>
        <w:pStyle w:val="-"/>
        <w:rPr>
          <w:lang w:eastAsia="en-US"/>
        </w:rPr>
      </w:pPr>
      <w:r w:rsidRPr="00DF71E9">
        <w:rPr>
          <w:lang w:eastAsia="en-US"/>
        </w:rPr>
        <w:t xml:space="preserve">Clinical trials conducted in Australia must be conducted in accordance with the National Statement on Ethical Conduct in Human Research and with the Guidelines for Good Clinical Practice of the International Council for Harmonisation of Technical Requirements for Registration of Pharmaceuticals for Human Use. </w:t>
      </w:r>
    </w:p>
    <w:p w14:paraId="2D2E2D34" w14:textId="77777777" w:rsidR="00E83938" w:rsidRPr="00086A1A" w:rsidRDefault="00E83938" w:rsidP="00E83938">
      <w:pPr>
        <w:pStyle w:val="-"/>
        <w:rPr>
          <w:color w:val="4472C4" w:themeColor="accent5"/>
        </w:rPr>
      </w:pPr>
      <w:r w:rsidRPr="00DF71E9">
        <w:rPr>
          <w:lang w:eastAsia="en-US"/>
        </w:rPr>
        <w:t xml:space="preserve">The Regulator has prepared a Risk Assessment and Risk Management Plan (RARMP) for this application, which concludes that the proposed clinical trials pose negligible risks to human health and safety and the environment. Licence conditions have been </w:t>
      </w:r>
      <w:r>
        <w:rPr>
          <w:lang w:eastAsia="en-US"/>
        </w:rPr>
        <w:t>imposed</w:t>
      </w:r>
      <w:r w:rsidRPr="00DF71E9">
        <w:rPr>
          <w:lang w:eastAsia="en-US"/>
        </w:rPr>
        <w:t xml:space="preserve"> for the proposed clinical trial</w:t>
      </w:r>
      <w:r>
        <w:rPr>
          <w:lang w:eastAsia="en-US"/>
        </w:rPr>
        <w:t xml:space="preserve"> to manage any risk posed by the dealings</w:t>
      </w:r>
      <w:r w:rsidRPr="00DF71E9">
        <w:rPr>
          <w:lang w:eastAsia="en-US"/>
        </w:rPr>
        <w:t xml:space="preserve">. </w:t>
      </w:r>
      <w:bookmarkStart w:id="13" w:name="_Toc342042135"/>
      <w:bookmarkStart w:id="14" w:name="_Toc47536735"/>
      <w:bookmarkStart w:id="15" w:name="_Toc291151777"/>
      <w:bookmarkStart w:id="16" w:name="_Toc274904727"/>
      <w:bookmarkStart w:id="17" w:name="_Toc209859548"/>
      <w:bookmarkEnd w:id="12"/>
    </w:p>
    <w:p w14:paraId="5F88DC63" w14:textId="77777777" w:rsidR="00E83938" w:rsidRPr="00DB5481" w:rsidRDefault="00E83938" w:rsidP="00E83938">
      <w:pPr>
        <w:pStyle w:val="Heading2"/>
        <w:numPr>
          <w:ilvl w:val="0"/>
          <w:numId w:val="0"/>
        </w:numPr>
      </w:pPr>
      <w:bookmarkStart w:id="18" w:name="_Toc57127978"/>
      <w:bookmarkStart w:id="19" w:name="_Toc75772081"/>
      <w:r w:rsidRPr="0000143A">
        <w:t>The application</w:t>
      </w:r>
      <w:bookmarkEnd w:id="13"/>
      <w:bookmarkEnd w:id="14"/>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376"/>
        <w:gridCol w:w="7230"/>
      </w:tblGrid>
      <w:tr w:rsidR="00E83938" w:rsidRPr="0000143A" w14:paraId="638DDE05"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207B9A28" w14:textId="77777777" w:rsidR="00E83938" w:rsidRPr="007A29DB" w:rsidRDefault="00E83938" w:rsidP="00AE4B09">
            <w:pPr>
              <w:spacing w:before="60" w:after="60"/>
              <w:rPr>
                <w:b/>
              </w:rPr>
            </w:pPr>
            <w:r w:rsidRPr="007A29DB">
              <w:rPr>
                <w:b/>
              </w:rPr>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40D5C25A" w14:textId="77777777" w:rsidR="00E83938" w:rsidRPr="00D679D8" w:rsidRDefault="00E83938" w:rsidP="00AE4B09">
            <w:pPr>
              <w:spacing w:before="60" w:after="60"/>
            </w:pPr>
            <w:r>
              <w:t>DIR 183</w:t>
            </w:r>
          </w:p>
        </w:tc>
      </w:tr>
      <w:tr w:rsidR="00E83938" w:rsidRPr="0000143A" w14:paraId="3170BAC6"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548B5229" w14:textId="77777777" w:rsidR="00E83938" w:rsidRPr="007A29DB" w:rsidRDefault="00E83938" w:rsidP="00AE4B09">
            <w:pPr>
              <w:spacing w:before="60" w:after="60"/>
              <w:rPr>
                <w:b/>
              </w:rPr>
            </w:pPr>
            <w:r w:rsidRPr="007A29DB">
              <w:rPr>
                <w:b/>
              </w:rPr>
              <w:t>Applicant</w:t>
            </w:r>
          </w:p>
        </w:tc>
        <w:tc>
          <w:tcPr>
            <w:tcW w:w="7230" w:type="dxa"/>
            <w:tcBorders>
              <w:top w:val="single" w:sz="4" w:space="0" w:color="auto"/>
              <w:left w:val="single" w:sz="4" w:space="0" w:color="auto"/>
              <w:bottom w:val="single" w:sz="4" w:space="0" w:color="auto"/>
              <w:right w:val="single" w:sz="4" w:space="0" w:color="auto"/>
            </w:tcBorders>
            <w:hideMark/>
          </w:tcPr>
          <w:p w14:paraId="7FDBE1C2" w14:textId="77777777" w:rsidR="00E83938" w:rsidRPr="00D679D8" w:rsidRDefault="00E83938" w:rsidP="00AE4B09">
            <w:pPr>
              <w:spacing w:before="60" w:after="60"/>
            </w:pPr>
            <w:r>
              <w:t>The Westmead Institute for Medical Research</w:t>
            </w:r>
          </w:p>
        </w:tc>
      </w:tr>
      <w:tr w:rsidR="00E83938" w:rsidRPr="0000143A" w14:paraId="2BDFD16E"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4CBA1BF7" w14:textId="77777777" w:rsidR="00E83938" w:rsidRPr="007A29DB" w:rsidRDefault="00E83938" w:rsidP="00AE4B09">
            <w:pPr>
              <w:spacing w:before="60" w:after="60"/>
              <w:rPr>
                <w:b/>
              </w:rPr>
            </w:pPr>
            <w:r w:rsidRPr="007A29DB">
              <w:rPr>
                <w:b/>
              </w:rPr>
              <w:t>Project title</w:t>
            </w:r>
          </w:p>
        </w:tc>
        <w:tc>
          <w:tcPr>
            <w:tcW w:w="7230" w:type="dxa"/>
            <w:tcBorders>
              <w:top w:val="single" w:sz="4" w:space="0" w:color="auto"/>
              <w:left w:val="single" w:sz="4" w:space="0" w:color="auto"/>
              <w:bottom w:val="single" w:sz="4" w:space="0" w:color="auto"/>
              <w:right w:val="single" w:sz="4" w:space="0" w:color="auto"/>
            </w:tcBorders>
            <w:hideMark/>
          </w:tcPr>
          <w:p w14:paraId="1ACFAB00" w14:textId="77777777" w:rsidR="00E83938" w:rsidRPr="00D679D8" w:rsidRDefault="00E83938" w:rsidP="00AE4B09">
            <w:pPr>
              <w:spacing w:before="60" w:after="60"/>
            </w:pPr>
            <w:r>
              <w:t xml:space="preserve">Clinical trial with genetically modified </w:t>
            </w:r>
            <w:r w:rsidRPr="002A7948">
              <w:rPr>
                <w:i/>
              </w:rPr>
              <w:t>E.coli</w:t>
            </w:r>
            <w:r>
              <w:t xml:space="preserve"> to reduce antibiotic resistance</w:t>
            </w:r>
          </w:p>
        </w:tc>
      </w:tr>
      <w:tr w:rsidR="00E83938" w:rsidRPr="0000143A" w14:paraId="125D4526"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447225CE" w14:textId="77777777" w:rsidR="00E83938" w:rsidRPr="007A29DB" w:rsidRDefault="00E83938" w:rsidP="00AE4B09">
            <w:pPr>
              <w:spacing w:before="60" w:after="60"/>
              <w:rPr>
                <w:b/>
              </w:rPr>
            </w:pPr>
            <w:r w:rsidRPr="007A29DB">
              <w:rPr>
                <w:b/>
              </w:rPr>
              <w:t>Parent organism</w:t>
            </w:r>
          </w:p>
        </w:tc>
        <w:tc>
          <w:tcPr>
            <w:tcW w:w="7230" w:type="dxa"/>
            <w:tcBorders>
              <w:top w:val="single" w:sz="4" w:space="0" w:color="auto"/>
              <w:left w:val="single" w:sz="4" w:space="0" w:color="auto"/>
              <w:bottom w:val="single" w:sz="4" w:space="0" w:color="auto"/>
              <w:right w:val="single" w:sz="4" w:space="0" w:color="auto"/>
            </w:tcBorders>
            <w:hideMark/>
          </w:tcPr>
          <w:p w14:paraId="6A211631" w14:textId="77777777" w:rsidR="00E83938" w:rsidRPr="00D679D8" w:rsidRDefault="00E83938" w:rsidP="00AE4B09">
            <w:pPr>
              <w:spacing w:before="60" w:after="60"/>
            </w:pPr>
            <w:r>
              <w:rPr>
                <w:i/>
              </w:rPr>
              <w:t>Escherichia coli</w:t>
            </w:r>
            <w:r w:rsidRPr="0066090B">
              <w:t xml:space="preserve"> (</w:t>
            </w:r>
            <w:proofErr w:type="spellStart"/>
            <w:r>
              <w:t>Nissle</w:t>
            </w:r>
            <w:proofErr w:type="spellEnd"/>
            <w:r w:rsidRPr="0066090B">
              <w:t xml:space="preserve"> strain)</w:t>
            </w:r>
            <w:r>
              <w:t xml:space="preserve"> and human gut bacteria</w:t>
            </w:r>
          </w:p>
        </w:tc>
      </w:tr>
      <w:tr w:rsidR="00E83938" w:rsidRPr="0000143A" w14:paraId="085FC57C"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1F327323" w14:textId="77777777" w:rsidR="00E83938" w:rsidRPr="007A29DB" w:rsidRDefault="00E83938" w:rsidP="00AE4B09">
            <w:pPr>
              <w:spacing w:before="60" w:after="60"/>
              <w:rPr>
                <w:b/>
              </w:rPr>
            </w:pPr>
            <w:r w:rsidRPr="007A29DB">
              <w:rPr>
                <w:b/>
              </w:rPr>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14:paraId="6D77BF42" w14:textId="77777777" w:rsidR="00E83938" w:rsidRDefault="00E83938" w:rsidP="00AE4B09">
            <w:pPr>
              <w:pStyle w:val="RIGHTLIST"/>
              <w:keepNext w:val="0"/>
              <w:widowControl w:val="0"/>
              <w:spacing w:before="60" w:after="60"/>
              <w:rPr>
                <w:rFonts w:asciiTheme="minorHAnsi" w:hAnsiTheme="minorHAnsi" w:cstheme="minorHAnsi"/>
              </w:rPr>
            </w:pPr>
            <w:r>
              <w:rPr>
                <w:rFonts w:asciiTheme="minorHAnsi" w:hAnsiTheme="minorHAnsi" w:cstheme="minorHAnsi"/>
              </w:rPr>
              <w:t xml:space="preserve">Two antibiotic resistance plasmids  (circular pieces of  bacterial DNA) were modified by  </w:t>
            </w:r>
          </w:p>
          <w:p w14:paraId="25F13400" w14:textId="77777777" w:rsidR="00E83938" w:rsidRPr="00FE5D83" w:rsidRDefault="00E83938" w:rsidP="00E83938">
            <w:pPr>
              <w:pStyle w:val="RIGHTLIST"/>
              <w:widowControl w:val="0"/>
              <w:numPr>
                <w:ilvl w:val="0"/>
                <w:numId w:val="8"/>
              </w:numPr>
              <w:spacing w:before="60" w:after="60"/>
              <w:rPr>
                <w:rFonts w:asciiTheme="minorHAnsi" w:hAnsiTheme="minorHAnsi" w:cstheme="minorHAnsi"/>
              </w:rPr>
            </w:pPr>
            <w:r w:rsidRPr="00FE5D83">
              <w:rPr>
                <w:rFonts w:asciiTheme="minorHAnsi" w:hAnsiTheme="minorHAnsi" w:cstheme="minorHAnsi"/>
              </w:rPr>
              <w:t>Deletion of genes responsible for</w:t>
            </w:r>
            <w:r>
              <w:rPr>
                <w:rFonts w:asciiTheme="minorHAnsi" w:hAnsiTheme="minorHAnsi" w:cstheme="minorHAnsi"/>
              </w:rPr>
              <w:t xml:space="preserve"> </w:t>
            </w:r>
            <w:r w:rsidRPr="00FE5D83">
              <w:rPr>
                <w:rFonts w:asciiTheme="minorHAnsi" w:hAnsiTheme="minorHAnsi" w:cstheme="minorHAnsi"/>
              </w:rPr>
              <w:t xml:space="preserve"> resistance to </w:t>
            </w:r>
            <w:r>
              <w:rPr>
                <w:rFonts w:asciiTheme="minorHAnsi" w:hAnsiTheme="minorHAnsi" w:cstheme="minorHAnsi"/>
              </w:rPr>
              <w:t xml:space="preserve">multiple classes of </w:t>
            </w:r>
            <w:r w:rsidRPr="00FE5D83">
              <w:rPr>
                <w:rFonts w:asciiTheme="minorHAnsi" w:hAnsiTheme="minorHAnsi" w:cstheme="minorHAnsi"/>
              </w:rPr>
              <w:t xml:space="preserve">antibiotics </w:t>
            </w:r>
          </w:p>
          <w:p w14:paraId="3164A291" w14:textId="77777777" w:rsidR="00E83938" w:rsidRPr="00FE5D83" w:rsidRDefault="00E83938" w:rsidP="00E83938">
            <w:pPr>
              <w:pStyle w:val="RIGHTLIST"/>
              <w:widowControl w:val="0"/>
              <w:numPr>
                <w:ilvl w:val="0"/>
                <w:numId w:val="8"/>
              </w:numPr>
              <w:spacing w:before="60" w:after="60"/>
              <w:rPr>
                <w:rFonts w:asciiTheme="minorHAnsi" w:hAnsiTheme="minorHAnsi" w:cstheme="minorHAnsi"/>
              </w:rPr>
            </w:pPr>
            <w:r>
              <w:rPr>
                <w:rFonts w:asciiTheme="minorHAnsi" w:hAnsiTheme="minorHAnsi" w:cstheme="minorHAnsi"/>
              </w:rPr>
              <w:t>D</w:t>
            </w:r>
            <w:r w:rsidRPr="00FE5D83">
              <w:rPr>
                <w:rFonts w:asciiTheme="minorHAnsi" w:hAnsiTheme="minorHAnsi" w:cstheme="minorHAnsi"/>
              </w:rPr>
              <w:t>eletion of g</w:t>
            </w:r>
            <w:r>
              <w:rPr>
                <w:rFonts w:asciiTheme="minorHAnsi" w:hAnsiTheme="minorHAnsi" w:cstheme="minorHAnsi"/>
              </w:rPr>
              <w:t xml:space="preserve">enes that enable </w:t>
            </w:r>
            <w:r w:rsidRPr="0031796E">
              <w:rPr>
                <w:rFonts w:asciiTheme="minorHAnsi" w:hAnsiTheme="minorHAnsi" w:cstheme="minorHAnsi"/>
              </w:rPr>
              <w:t>plasmids</w:t>
            </w:r>
            <w:r>
              <w:rPr>
                <w:rFonts w:asciiTheme="minorHAnsi" w:hAnsiTheme="minorHAnsi" w:cstheme="minorHAnsi"/>
              </w:rPr>
              <w:t xml:space="preserve"> to persist in bacteria </w:t>
            </w:r>
          </w:p>
          <w:p w14:paraId="7CBD61D9" w14:textId="77777777" w:rsidR="00E83938" w:rsidRPr="00540C28" w:rsidRDefault="00E83938" w:rsidP="00E83938">
            <w:pPr>
              <w:pStyle w:val="RIGHTLIST"/>
              <w:keepNext w:val="0"/>
              <w:widowControl w:val="0"/>
              <w:numPr>
                <w:ilvl w:val="0"/>
                <w:numId w:val="8"/>
              </w:numPr>
              <w:spacing w:before="60" w:after="60"/>
              <w:rPr>
                <w:rFonts w:asciiTheme="minorHAnsi" w:hAnsiTheme="minorHAnsi" w:cstheme="minorHAnsi"/>
              </w:rPr>
            </w:pPr>
            <w:r w:rsidRPr="00FE5D83">
              <w:rPr>
                <w:rFonts w:asciiTheme="minorHAnsi" w:hAnsiTheme="minorHAnsi" w:cstheme="minorHAnsi"/>
              </w:rPr>
              <w:t>Introduction of genes for resistance to specific antibiotics (</w:t>
            </w:r>
            <w:proofErr w:type="spellStart"/>
            <w:r w:rsidRPr="00FE5D83">
              <w:rPr>
                <w:rFonts w:asciiTheme="minorHAnsi" w:hAnsiTheme="minorHAnsi" w:cstheme="minorHAnsi"/>
              </w:rPr>
              <w:t>fosfomycin</w:t>
            </w:r>
            <w:proofErr w:type="spellEnd"/>
            <w:r w:rsidRPr="00FE5D83">
              <w:rPr>
                <w:rFonts w:asciiTheme="minorHAnsi" w:hAnsiTheme="minorHAnsi" w:cstheme="minorHAnsi"/>
              </w:rPr>
              <w:t xml:space="preserve"> or tetracycline)</w:t>
            </w:r>
            <w:r>
              <w:rPr>
                <w:rFonts w:asciiTheme="minorHAnsi" w:hAnsiTheme="minorHAnsi" w:cstheme="minorHAnsi"/>
              </w:rPr>
              <w:t xml:space="preserve"> to enable selection for the GMO</w:t>
            </w:r>
          </w:p>
        </w:tc>
      </w:tr>
      <w:tr w:rsidR="00E83938" w:rsidRPr="0000143A" w14:paraId="2F0AE0FF" w14:textId="77777777" w:rsidTr="00AE4B09">
        <w:tc>
          <w:tcPr>
            <w:tcW w:w="2376" w:type="dxa"/>
            <w:tcBorders>
              <w:top w:val="single" w:sz="4" w:space="0" w:color="auto"/>
              <w:left w:val="single" w:sz="4" w:space="0" w:color="auto"/>
              <w:bottom w:val="single" w:sz="4" w:space="0" w:color="auto"/>
              <w:right w:val="single" w:sz="4" w:space="0" w:color="auto"/>
            </w:tcBorders>
          </w:tcPr>
          <w:p w14:paraId="5D27DF11" w14:textId="77777777" w:rsidR="00E83938" w:rsidRPr="00422A6D" w:rsidRDefault="00E83938" w:rsidP="00AE4B09">
            <w:pPr>
              <w:spacing w:before="60" w:after="60"/>
            </w:pPr>
            <w:r w:rsidRPr="00DB5481">
              <w:rPr>
                <w:b/>
              </w:rPr>
              <w:t>Previous releases</w:t>
            </w:r>
            <w:r>
              <w:rPr>
                <w:b/>
              </w:rPr>
              <w:t xml:space="preserve"> / approvals</w:t>
            </w:r>
          </w:p>
        </w:tc>
        <w:tc>
          <w:tcPr>
            <w:tcW w:w="7230" w:type="dxa"/>
            <w:tcBorders>
              <w:top w:val="single" w:sz="4" w:space="0" w:color="auto"/>
              <w:left w:val="single" w:sz="4" w:space="0" w:color="auto"/>
              <w:right w:val="single" w:sz="4" w:space="0" w:color="auto"/>
            </w:tcBorders>
          </w:tcPr>
          <w:p w14:paraId="5DA571C8" w14:textId="77777777" w:rsidR="00E83938" w:rsidRPr="00D74F4C" w:rsidRDefault="00E83938" w:rsidP="00AE4B09">
            <w:pPr>
              <w:pStyle w:val="Para"/>
              <w:widowControl w:val="0"/>
              <w:numPr>
                <w:ilvl w:val="0"/>
                <w:numId w:val="0"/>
              </w:numPr>
              <w:tabs>
                <w:tab w:val="clear" w:pos="567"/>
              </w:tabs>
              <w:spacing w:before="60" w:after="100"/>
              <w:rPr>
                <w:rFonts w:ascii="Calibri" w:hAnsi="Calibri" w:cs="Calibri"/>
                <w:sz w:val="22"/>
                <w:szCs w:val="22"/>
              </w:rPr>
            </w:pPr>
            <w:r>
              <w:rPr>
                <w:rFonts w:ascii="Calibri" w:hAnsi="Calibri" w:cs="Calibri"/>
                <w:sz w:val="22"/>
                <w:szCs w:val="22"/>
              </w:rPr>
              <w:t>First in human trial</w:t>
            </w:r>
          </w:p>
        </w:tc>
      </w:tr>
      <w:tr w:rsidR="00E83938" w:rsidRPr="0000143A" w14:paraId="2BA21523"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4F665A39" w14:textId="77777777" w:rsidR="00E83938" w:rsidRPr="007A29DB" w:rsidRDefault="00E83938" w:rsidP="00AE4B09">
            <w:pPr>
              <w:spacing w:before="60" w:after="60"/>
              <w:rPr>
                <w:b/>
              </w:rPr>
            </w:pPr>
            <w:r w:rsidRPr="007A29DB">
              <w:rPr>
                <w:b/>
              </w:rPr>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24A01067" w14:textId="77777777" w:rsidR="00E83938" w:rsidRPr="0000143A" w:rsidRDefault="00E83938" w:rsidP="00AE4B09">
            <w:pPr>
              <w:spacing w:before="60" w:after="60"/>
            </w:pPr>
            <w:r>
              <w:t>Westmead hospital</w:t>
            </w:r>
          </w:p>
        </w:tc>
      </w:tr>
      <w:tr w:rsidR="00E83938" w:rsidRPr="0000143A" w14:paraId="08140EBE" w14:textId="77777777" w:rsidTr="00AE4B09">
        <w:tc>
          <w:tcPr>
            <w:tcW w:w="2376" w:type="dxa"/>
            <w:tcBorders>
              <w:top w:val="single" w:sz="4" w:space="0" w:color="auto"/>
              <w:left w:val="single" w:sz="4" w:space="0" w:color="auto"/>
              <w:bottom w:val="single" w:sz="4" w:space="0" w:color="auto"/>
              <w:right w:val="single" w:sz="4" w:space="0" w:color="auto"/>
            </w:tcBorders>
            <w:hideMark/>
          </w:tcPr>
          <w:p w14:paraId="0411B1C4" w14:textId="77777777" w:rsidR="00E83938" w:rsidRPr="007A29DB" w:rsidRDefault="00E83938" w:rsidP="00AE4B09">
            <w:pPr>
              <w:spacing w:before="60" w:after="60"/>
              <w:rPr>
                <w:b/>
              </w:rPr>
            </w:pPr>
            <w:r w:rsidRPr="007A29DB">
              <w:rPr>
                <w:b/>
              </w:rPr>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35DD5BB5" w14:textId="77777777" w:rsidR="00E83938" w:rsidRPr="0000143A" w:rsidRDefault="00E83938" w:rsidP="00AE4B09">
            <w:pPr>
              <w:spacing w:before="60" w:after="60"/>
            </w:pPr>
            <w:r w:rsidRPr="00044BBD">
              <w:rPr>
                <w:rFonts w:asciiTheme="minorHAnsi" w:hAnsiTheme="minorHAnsi" w:cstheme="minorHAnsi"/>
              </w:rPr>
              <w:t xml:space="preserve">The proposed trial is designed to evaluate the safety and </w:t>
            </w:r>
            <w:r w:rsidRPr="00E66776">
              <w:rPr>
                <w:rFonts w:asciiTheme="minorHAnsi" w:hAnsiTheme="minorHAnsi" w:cstheme="minorHAnsi"/>
              </w:rPr>
              <w:t>efficacy of</w:t>
            </w:r>
            <w:r>
              <w:rPr>
                <w:rFonts w:asciiTheme="minorHAnsi" w:hAnsiTheme="minorHAnsi" w:cstheme="minorHAnsi"/>
              </w:rPr>
              <w:t xml:space="preserve"> GM </w:t>
            </w:r>
            <w:r w:rsidRPr="0031796E">
              <w:rPr>
                <w:rFonts w:asciiTheme="minorHAnsi" w:hAnsiTheme="minorHAnsi" w:cstheme="minorHAnsi"/>
                <w:i/>
              </w:rPr>
              <w:t xml:space="preserve">E.coli </w:t>
            </w:r>
            <w:r>
              <w:rPr>
                <w:rFonts w:asciiTheme="minorHAnsi" w:hAnsiTheme="minorHAnsi" w:cstheme="minorHAnsi"/>
              </w:rPr>
              <w:t>to deliver genes to gut bacteria that restore sensitivity to antibiotics</w:t>
            </w:r>
          </w:p>
        </w:tc>
      </w:tr>
    </w:tbl>
    <w:p w14:paraId="0486364A" w14:textId="77777777" w:rsidR="00E83938" w:rsidRPr="0000143A" w:rsidRDefault="00E83938" w:rsidP="00E83938">
      <w:pPr>
        <w:pStyle w:val="Heading2"/>
        <w:numPr>
          <w:ilvl w:val="0"/>
          <w:numId w:val="0"/>
        </w:numPr>
      </w:pPr>
      <w:bookmarkStart w:id="20" w:name="_Toc342042136"/>
      <w:bookmarkStart w:id="21" w:name="_Toc47536736"/>
      <w:bookmarkStart w:id="22" w:name="_Toc57127979"/>
      <w:bookmarkStart w:id="23" w:name="_Toc75772082"/>
      <w:r w:rsidRPr="0000143A">
        <w:lastRenderedPageBreak/>
        <w:t>Risk assessment</w:t>
      </w:r>
      <w:bookmarkEnd w:id="15"/>
      <w:bookmarkEnd w:id="16"/>
      <w:bookmarkEnd w:id="17"/>
      <w:bookmarkEnd w:id="20"/>
      <w:bookmarkEnd w:id="21"/>
      <w:bookmarkEnd w:id="22"/>
      <w:bookmarkEnd w:id="23"/>
    </w:p>
    <w:p w14:paraId="2BDD6F41" w14:textId="77777777" w:rsidR="00E83938" w:rsidRPr="00542A03" w:rsidRDefault="00E83938" w:rsidP="00E83938">
      <w:pPr>
        <w:rPr>
          <w:bCs/>
          <w:color w:val="4472C4" w:themeColor="accent5"/>
        </w:rPr>
      </w:pPr>
      <w:r w:rsidRPr="0000143A">
        <w:t xml:space="preserve">The risk assessment concludes that risks to the health and safety of people or the environment from the proposed </w:t>
      </w:r>
      <w:r>
        <w:t>clini</w:t>
      </w:r>
      <w:r w:rsidRPr="003F3957">
        <w:t xml:space="preserve">cal trial are </w:t>
      </w:r>
      <w:r w:rsidRPr="003F3957">
        <w:rPr>
          <w:bCs/>
        </w:rPr>
        <w:t>negligible</w:t>
      </w:r>
      <w:r w:rsidRPr="003F3957">
        <w:t>. N</w:t>
      </w:r>
      <w:r w:rsidRPr="003F3957">
        <w:rPr>
          <w:bCs/>
        </w:rPr>
        <w:t>o specific risk treatment measures are required to manage these negligible risks.</w:t>
      </w:r>
    </w:p>
    <w:p w14:paraId="6901D732" w14:textId="77777777" w:rsidR="00E83938" w:rsidRDefault="00E83938" w:rsidP="00E83938">
      <w:r w:rsidRPr="00D72A1B">
        <w:t>The current assessment focuses on risks posed to</w:t>
      </w:r>
      <w:r>
        <w:t xml:space="preserve"> </w:t>
      </w:r>
      <w:r w:rsidRPr="00D72A1B">
        <w:t>people</w:t>
      </w:r>
      <w:r>
        <w:t xml:space="preserve"> other than the </w:t>
      </w:r>
      <w:r w:rsidRPr="008E3675">
        <w:t>intended treatment recipient and to the environment, including long term persistence of the GMOs, which may arise from the administration and disposal of the GMO.</w:t>
      </w:r>
      <w:r>
        <w:t xml:space="preserve"> </w:t>
      </w:r>
    </w:p>
    <w:p w14:paraId="06A9770E" w14:textId="77777777" w:rsidR="00E83938" w:rsidRPr="00A23295" w:rsidRDefault="00E83938" w:rsidP="00E83938">
      <w:pPr>
        <w:rPr>
          <w:rFonts w:cs="Calibri"/>
          <w:szCs w:val="22"/>
        </w:rPr>
      </w:pPr>
      <w:r w:rsidRPr="00A23295">
        <w:rPr>
          <w:rFonts w:cs="Calibri"/>
        </w:rPr>
        <w:t>The risk assessment process considers how the genetic modification</w:t>
      </w:r>
      <w:r>
        <w:rPr>
          <w:rFonts w:cs="Calibri"/>
        </w:rPr>
        <w:t>s</w:t>
      </w:r>
      <w:r w:rsidRPr="00A23295">
        <w:rPr>
          <w:rFonts w:cs="Calibri"/>
        </w:rPr>
        <w:t xml:space="preserve"> and activities conducted with the GMO might lead to harm to people or the environment. Risks are characterised in relation to both</w:t>
      </w:r>
      <w:r w:rsidRPr="00A23295">
        <w:rPr>
          <w:rFonts w:cs="Calibri"/>
          <w:szCs w:val="22"/>
        </w:rPr>
        <w:t xml:space="preserve"> the seriousness and likelihood of harm, taking into account information in the application</w:t>
      </w:r>
      <w:r>
        <w:rPr>
          <w:rFonts w:cs="Calibri"/>
          <w:szCs w:val="22"/>
        </w:rPr>
        <w:t xml:space="preserve"> (including proposed controls)</w:t>
      </w:r>
      <w:r w:rsidRPr="00A23295">
        <w:rPr>
          <w:rFonts w:cs="Calibri"/>
          <w:szCs w:val="22"/>
        </w:rPr>
        <w:t>, relevant previous approvals, current scientific</w:t>
      </w:r>
      <w:r>
        <w:rPr>
          <w:rFonts w:cs="Calibri"/>
          <w:szCs w:val="22"/>
        </w:rPr>
        <w:t>/technical</w:t>
      </w:r>
      <w:r w:rsidRPr="00A23295">
        <w:rPr>
          <w:rFonts w:cs="Calibri"/>
          <w:szCs w:val="22"/>
        </w:rPr>
        <w:t xml:space="preserve"> knowledge and advice received from a wide range of experts, agencies and authorities. Both the short and long term risks were considered.</w:t>
      </w:r>
    </w:p>
    <w:p w14:paraId="2E48F80E" w14:textId="77777777" w:rsidR="00E83938" w:rsidRPr="008E3675" w:rsidRDefault="00E83938" w:rsidP="00E83938">
      <w:pPr>
        <w:pStyle w:val="Paranonumbers"/>
        <w:rPr>
          <w:rFonts w:ascii="Calibri" w:hAnsi="Calibri" w:cs="Calibri"/>
          <w:sz w:val="22"/>
          <w:szCs w:val="22"/>
        </w:rPr>
      </w:pPr>
      <w:r w:rsidRPr="00A23295">
        <w:rPr>
          <w:rFonts w:ascii="Calibri" w:hAnsi="Calibri" w:cs="Calibri"/>
          <w:sz w:val="22"/>
          <w:szCs w:val="22"/>
        </w:rPr>
        <w:t xml:space="preserve">Credible pathways to potential harm that were considered included: </w:t>
      </w:r>
      <w:r w:rsidRPr="008E3675">
        <w:rPr>
          <w:rFonts w:ascii="Calibri" w:hAnsi="Calibri" w:cs="Calibri"/>
          <w:sz w:val="22"/>
          <w:szCs w:val="22"/>
        </w:rPr>
        <w:t xml:space="preserve">whether people and animals can be inadvertently exposed to the GMO, and the potential for transfer of genetic material to and from the GMO. The potential for GMO to be released into the environment and its effects was also considered. </w:t>
      </w:r>
    </w:p>
    <w:p w14:paraId="4060EBC1" w14:textId="77777777" w:rsidR="00E83938" w:rsidRPr="003F3957" w:rsidRDefault="00E83938" w:rsidP="00E83938">
      <w:pPr>
        <w:rPr>
          <w:rFonts w:cs="Calibri"/>
          <w:szCs w:val="22"/>
        </w:rPr>
      </w:pPr>
      <w:r w:rsidRPr="003F3957">
        <w:rPr>
          <w:rFonts w:cs="Calibri"/>
          <w:szCs w:val="22"/>
        </w:rPr>
        <w:t xml:space="preserve">The principal reasons for the conclusion of </w:t>
      </w:r>
      <w:r w:rsidRPr="003F3957">
        <w:rPr>
          <w:bCs/>
        </w:rPr>
        <w:t>negligible</w:t>
      </w:r>
      <w:r w:rsidRPr="003F3957">
        <w:rPr>
          <w:rFonts w:cs="Calibri"/>
          <w:szCs w:val="22"/>
        </w:rPr>
        <w:t xml:space="preserve"> risks are that the</w:t>
      </w:r>
      <w:r>
        <w:rPr>
          <w:rFonts w:cs="Calibri"/>
          <w:szCs w:val="22"/>
        </w:rPr>
        <w:t xml:space="preserve"> potential risks that could arise would be the</w:t>
      </w:r>
      <w:r w:rsidRPr="003F3957">
        <w:rPr>
          <w:rFonts w:cs="Calibri"/>
          <w:szCs w:val="22"/>
        </w:rPr>
        <w:t xml:space="preserve"> result of genetic recombination and transmission events that are unlikely to occur given the limits and controls imposed. </w:t>
      </w:r>
    </w:p>
    <w:p w14:paraId="61412D91" w14:textId="77777777" w:rsidR="00E83938" w:rsidRPr="0000143A" w:rsidRDefault="00E83938" w:rsidP="00E83938">
      <w:pPr>
        <w:pStyle w:val="Heading2"/>
        <w:numPr>
          <w:ilvl w:val="0"/>
          <w:numId w:val="0"/>
        </w:numPr>
      </w:pPr>
      <w:bookmarkStart w:id="24" w:name="_Toc47536737"/>
      <w:bookmarkStart w:id="25" w:name="_Toc57127980"/>
      <w:bookmarkStart w:id="26" w:name="_Toc75772083"/>
      <w:r w:rsidRPr="009842DD">
        <w:t>Risk ma</w:t>
      </w:r>
      <w:bookmarkStart w:id="27" w:name="_Toc209859549"/>
      <w:bookmarkStart w:id="28" w:name="_Toc342042137"/>
      <w:bookmarkStart w:id="29" w:name="_Toc291151778"/>
      <w:bookmarkStart w:id="30" w:name="_Toc274904728"/>
      <w:r w:rsidRPr="009842DD">
        <w:t>nagement</w:t>
      </w:r>
      <w:bookmarkEnd w:id="24"/>
      <w:bookmarkEnd w:id="25"/>
      <w:bookmarkEnd w:id="27"/>
      <w:bookmarkEnd w:id="28"/>
      <w:bookmarkEnd w:id="29"/>
      <w:bookmarkEnd w:id="30"/>
      <w:r>
        <w:t xml:space="preserve"> plan</w:t>
      </w:r>
      <w:bookmarkEnd w:id="26"/>
    </w:p>
    <w:p w14:paraId="1C7E0771" w14:textId="77777777" w:rsidR="00E83938" w:rsidRDefault="00E83938" w:rsidP="00E83938">
      <w:r>
        <w:t xml:space="preserve">The risk management plan describes measures to protect the health and safety of people and to protect the environment by controlling or mitigating risk. The risk management plan is given effect through licence conditions. </w:t>
      </w:r>
    </w:p>
    <w:p w14:paraId="29F045E1" w14:textId="77777777" w:rsidR="00280050" w:rsidRDefault="00E83938" w:rsidP="00E83938">
      <w:r>
        <w:t>As the level of risk is considered negligible, specific risk treatment is not required. However, since this is a clinical trial, the licence includes limits on the number of trial participants, location limited to hospitals and clinical trial sites, limits on the duration of the trial, as well as a range of controls to minimise the potential for the GMO to spread to non-participants. In addition, there are several general conditions relating to ongoing licence holder suitability, auditing and monitoring, and reporting requirements which include an obligation to report any unintended effects.</w:t>
      </w:r>
    </w:p>
    <w:sectPr w:rsidR="00280050" w:rsidSect="008220EE">
      <w:footerReference w:type="even"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CA7E0" w14:textId="77777777" w:rsidR="008A1EA6" w:rsidRDefault="008A1EA6" w:rsidP="008A1EA6">
      <w:pPr>
        <w:spacing w:before="0" w:after="0"/>
      </w:pPr>
      <w:r>
        <w:separator/>
      </w:r>
    </w:p>
  </w:endnote>
  <w:endnote w:type="continuationSeparator" w:id="0">
    <w:p w14:paraId="0A9B48BE" w14:textId="77777777" w:rsidR="008A1EA6" w:rsidRDefault="008A1EA6" w:rsidP="008A1E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68A61" w14:textId="77777777" w:rsidR="00E83938" w:rsidRPr="00236287" w:rsidRDefault="00E83938" w:rsidP="00E83938">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72978A9F" w14:textId="77777777" w:rsidR="00E83938" w:rsidRPr="004A40C5" w:rsidRDefault="00E83938" w:rsidP="00E83938">
    <w:pPr>
      <w:pStyle w:val="Footer"/>
      <w:jc w:val="center"/>
      <w:rPr>
        <w:rFonts w:cs="Calibri"/>
        <w:sz w:val="20"/>
        <w:szCs w:val="20"/>
      </w:rPr>
    </w:pPr>
    <w:r w:rsidRPr="00236287">
      <w:rPr>
        <w:rFonts w:cs="Calibri"/>
        <w:noProof/>
        <w:sz w:val="20"/>
        <w:szCs w:val="20"/>
      </w:rPr>
      <w:t>Telephone: 1800 181 030  Email: ogtr@health.gov.au</w:t>
    </w:r>
  </w:p>
  <w:p w14:paraId="3AADEF5F" w14:textId="77777777" w:rsidR="00E83938" w:rsidRDefault="00E83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9804D" w14:textId="77777777" w:rsidR="008220EE" w:rsidRPr="00236287" w:rsidRDefault="008220EE" w:rsidP="008220EE">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7E5BD978" w14:textId="77777777" w:rsidR="008220EE" w:rsidRPr="004A40C5" w:rsidRDefault="008220EE" w:rsidP="008220EE">
    <w:pPr>
      <w:pStyle w:val="Footer"/>
      <w:jc w:val="center"/>
      <w:rPr>
        <w:rFonts w:cs="Calibri"/>
        <w:sz w:val="20"/>
        <w:szCs w:val="20"/>
      </w:rPr>
    </w:pPr>
    <w:r w:rsidRPr="00236287">
      <w:rPr>
        <w:rFonts w:cs="Calibri"/>
        <w:noProof/>
        <w:sz w:val="20"/>
        <w:szCs w:val="20"/>
      </w:rPr>
      <w:t>Telephone: 1800 181 030  Email: ogtr@health.gov.au</w:t>
    </w:r>
  </w:p>
  <w:p w14:paraId="24B2C615" w14:textId="77777777" w:rsidR="008220EE" w:rsidRDefault="0082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9BB0" w14:textId="77777777" w:rsidR="008A1EA6" w:rsidRDefault="008A1EA6" w:rsidP="008A1EA6">
      <w:pPr>
        <w:spacing w:before="0" w:after="0"/>
      </w:pPr>
      <w:r>
        <w:separator/>
      </w:r>
    </w:p>
  </w:footnote>
  <w:footnote w:type="continuationSeparator" w:id="0">
    <w:p w14:paraId="55966923" w14:textId="77777777" w:rsidR="008A1EA6" w:rsidRDefault="008A1EA6" w:rsidP="008A1E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F2AE" w14:textId="77777777" w:rsidR="008220EE" w:rsidRDefault="008220EE" w:rsidP="008220EE">
    <w:pPr>
      <w:pStyle w:val="Header"/>
    </w:pPr>
    <w:r w:rsidRPr="00542559">
      <w:rPr>
        <w:rFonts w:cs="Calibri"/>
        <w:noProof/>
        <w:szCs w:val="22"/>
      </w:rPr>
      <w:drawing>
        <wp:inline distT="0" distB="0" distL="0" distR="0" wp14:anchorId="4A528606" wp14:editId="5AEC768F">
          <wp:extent cx="3337200" cy="950400"/>
          <wp:effectExtent l="0" t="0" r="0" b="254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t xml:space="preserve">                                                    </w:t>
    </w:r>
    <w:r w:rsidR="00A8126A">
      <w:t>20 July</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773C59"/>
    <w:multiLevelType w:val="hybridMultilevel"/>
    <w:tmpl w:val="A90CB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547FF"/>
    <w:multiLevelType w:val="hybridMultilevel"/>
    <w:tmpl w:val="D46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A6"/>
    <w:rsid w:val="0009657C"/>
    <w:rsid w:val="00145D6B"/>
    <w:rsid w:val="00280050"/>
    <w:rsid w:val="004052AD"/>
    <w:rsid w:val="008220EE"/>
    <w:rsid w:val="008A1EA6"/>
    <w:rsid w:val="00A8126A"/>
    <w:rsid w:val="00CA6CB2"/>
    <w:rsid w:val="00E8393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C6C757"/>
  <w15:chartTrackingRefBased/>
  <w15:docId w15:val="{B6338F44-4723-40EA-AA7C-8107AC79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A6"/>
    <w:pPr>
      <w:spacing w:before="120" w:after="120" w:line="240" w:lineRule="auto"/>
    </w:pPr>
    <w:rPr>
      <w:rFonts w:ascii="Calibri" w:eastAsia="Times New Roman" w:hAnsi="Calibri"/>
      <w:sz w:val="22"/>
      <w:lang w:eastAsia="en-AU"/>
    </w:rPr>
  </w:style>
  <w:style w:type="paragraph" w:styleId="Heading1">
    <w:name w:val="heading 1"/>
    <w:basedOn w:val="Normal"/>
    <w:next w:val="Normal"/>
    <w:link w:val="Heading1Char"/>
    <w:autoRedefine/>
    <w:qFormat/>
    <w:rsid w:val="008220EE"/>
    <w:pPr>
      <w:keepNext/>
      <w:tabs>
        <w:tab w:val="left" w:pos="2268"/>
      </w:tabs>
      <w:spacing w:before="240" w:after="60"/>
      <w:ind w:left="1814" w:right="-188"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8A1EA6"/>
    <w:pPr>
      <w:keepNext/>
      <w:numPr>
        <w:ilvl w:val="1"/>
        <w:numId w:val="3"/>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8A1EA6"/>
    <w:pPr>
      <w:keepNext/>
      <w:numPr>
        <w:ilvl w:val="2"/>
        <w:numId w:val="3"/>
      </w:numPr>
      <w:tabs>
        <w:tab w:val="left" w:pos="851"/>
      </w:tabs>
      <w:outlineLvl w:val="2"/>
    </w:pPr>
    <w:rPr>
      <w:rFonts w:ascii="Arial (W1)" w:hAnsi="Arial (W1)"/>
      <w:b/>
      <w:szCs w:val="20"/>
    </w:rPr>
  </w:style>
  <w:style w:type="paragraph" w:styleId="Heading4">
    <w:name w:val="heading 4"/>
    <w:basedOn w:val="Normal"/>
    <w:next w:val="Normal"/>
    <w:link w:val="Heading4Char"/>
    <w:qFormat/>
    <w:rsid w:val="008A1EA6"/>
    <w:pPr>
      <w:keepNext/>
      <w:numPr>
        <w:ilvl w:val="3"/>
        <w:numId w:val="3"/>
      </w:numPr>
      <w:tabs>
        <w:tab w:val="left" w:pos="851"/>
      </w:tabs>
      <w:outlineLvl w:val="3"/>
    </w:pPr>
    <w:rPr>
      <w:rFonts w:ascii="Arial (W1)" w:hAnsi="Arial (W1)"/>
      <w:b/>
      <w:i/>
      <w:szCs w:val="22"/>
    </w:rPr>
  </w:style>
  <w:style w:type="paragraph" w:styleId="Heading5">
    <w:name w:val="heading 5"/>
    <w:basedOn w:val="Normal"/>
    <w:next w:val="Normal"/>
    <w:link w:val="Heading5Char"/>
    <w:qFormat/>
    <w:rsid w:val="008A1EA6"/>
    <w:pPr>
      <w:keepNext/>
      <w:numPr>
        <w:ilvl w:val="4"/>
        <w:numId w:val="3"/>
      </w:numPr>
      <w:spacing w:before="240" w:after="60"/>
      <w:outlineLvl w:val="4"/>
    </w:pPr>
    <w:rPr>
      <w:bCs/>
      <w:iCs/>
      <w:u w:val="single"/>
    </w:rPr>
  </w:style>
  <w:style w:type="paragraph" w:styleId="Heading6">
    <w:name w:val="heading 6"/>
    <w:basedOn w:val="Normal"/>
    <w:next w:val="Normal"/>
    <w:link w:val="Heading6Char"/>
    <w:unhideWhenUsed/>
    <w:qFormat/>
    <w:rsid w:val="008A1EA6"/>
    <w:pPr>
      <w:numPr>
        <w:ilvl w:val="5"/>
        <w:numId w:val="3"/>
      </w:numPr>
      <w:spacing w:before="240" w:after="60"/>
      <w:outlineLvl w:val="5"/>
    </w:pPr>
    <w:rPr>
      <w:b/>
      <w:bCs/>
      <w:szCs w:val="22"/>
    </w:rPr>
  </w:style>
  <w:style w:type="paragraph" w:styleId="Heading7">
    <w:name w:val="heading 7"/>
    <w:basedOn w:val="Normal"/>
    <w:next w:val="Normal"/>
    <w:link w:val="Heading7Char"/>
    <w:unhideWhenUsed/>
    <w:qFormat/>
    <w:rsid w:val="008A1EA6"/>
    <w:pPr>
      <w:numPr>
        <w:ilvl w:val="6"/>
        <w:numId w:val="3"/>
      </w:numPr>
      <w:spacing w:before="240" w:after="60"/>
      <w:outlineLvl w:val="6"/>
    </w:pPr>
  </w:style>
  <w:style w:type="paragraph" w:styleId="Heading8">
    <w:name w:val="heading 8"/>
    <w:basedOn w:val="Normal"/>
    <w:next w:val="Normal"/>
    <w:link w:val="Heading8Char"/>
    <w:qFormat/>
    <w:rsid w:val="008A1EA6"/>
    <w:pPr>
      <w:numPr>
        <w:ilvl w:val="7"/>
        <w:numId w:val="3"/>
      </w:numPr>
      <w:spacing w:before="240" w:after="60"/>
      <w:outlineLvl w:val="7"/>
    </w:pPr>
    <w:rPr>
      <w:i/>
      <w:iCs/>
    </w:rPr>
  </w:style>
  <w:style w:type="paragraph" w:styleId="Heading9">
    <w:name w:val="heading 9"/>
    <w:basedOn w:val="Normal"/>
    <w:next w:val="Normal"/>
    <w:link w:val="Heading9Char"/>
    <w:unhideWhenUsed/>
    <w:qFormat/>
    <w:rsid w:val="008A1EA6"/>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0EE"/>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8A1EA6"/>
    <w:rPr>
      <w:rFonts w:ascii="Calibri" w:eastAsia="Times New Roman" w:hAnsi="Calibri"/>
      <w:b/>
      <w:i/>
      <w:sz w:val="28"/>
      <w:szCs w:val="28"/>
      <w:lang w:eastAsia="en-AU"/>
    </w:rPr>
  </w:style>
  <w:style w:type="character" w:customStyle="1" w:styleId="Heading3Char">
    <w:name w:val="Heading 3 Char"/>
    <w:basedOn w:val="DefaultParagraphFont"/>
    <w:link w:val="Heading3"/>
    <w:rsid w:val="008A1EA6"/>
    <w:rPr>
      <w:rFonts w:ascii="Arial (W1)" w:eastAsia="Times New Roman" w:hAnsi="Arial (W1)"/>
      <w:b/>
      <w:sz w:val="22"/>
      <w:szCs w:val="20"/>
      <w:lang w:eastAsia="en-AU"/>
    </w:rPr>
  </w:style>
  <w:style w:type="character" w:customStyle="1" w:styleId="Heading4Char">
    <w:name w:val="Heading 4 Char"/>
    <w:basedOn w:val="DefaultParagraphFont"/>
    <w:link w:val="Heading4"/>
    <w:rsid w:val="008A1EA6"/>
    <w:rPr>
      <w:rFonts w:ascii="Arial (W1)" w:eastAsia="Times New Roman" w:hAnsi="Arial (W1)"/>
      <w:b/>
      <w:i/>
      <w:sz w:val="22"/>
      <w:szCs w:val="22"/>
      <w:lang w:eastAsia="en-AU"/>
    </w:rPr>
  </w:style>
  <w:style w:type="character" w:customStyle="1" w:styleId="Heading5Char">
    <w:name w:val="Heading 5 Char"/>
    <w:basedOn w:val="DefaultParagraphFont"/>
    <w:link w:val="Heading5"/>
    <w:rsid w:val="008A1EA6"/>
    <w:rPr>
      <w:rFonts w:ascii="Calibri" w:eastAsia="Times New Roman" w:hAnsi="Calibri"/>
      <w:bCs/>
      <w:iCs/>
      <w:sz w:val="22"/>
      <w:u w:val="single"/>
      <w:lang w:eastAsia="en-AU"/>
    </w:rPr>
  </w:style>
  <w:style w:type="character" w:customStyle="1" w:styleId="Heading6Char">
    <w:name w:val="Heading 6 Char"/>
    <w:basedOn w:val="DefaultParagraphFont"/>
    <w:link w:val="Heading6"/>
    <w:rsid w:val="008A1EA6"/>
    <w:rPr>
      <w:rFonts w:ascii="Calibri" w:eastAsia="Times New Roman" w:hAnsi="Calibri"/>
      <w:b/>
      <w:bCs/>
      <w:sz w:val="22"/>
      <w:szCs w:val="22"/>
      <w:lang w:eastAsia="en-AU"/>
    </w:rPr>
  </w:style>
  <w:style w:type="character" w:customStyle="1" w:styleId="Heading7Char">
    <w:name w:val="Heading 7 Char"/>
    <w:basedOn w:val="DefaultParagraphFont"/>
    <w:link w:val="Heading7"/>
    <w:rsid w:val="008A1EA6"/>
    <w:rPr>
      <w:rFonts w:ascii="Calibri" w:eastAsia="Times New Roman" w:hAnsi="Calibri"/>
      <w:sz w:val="22"/>
      <w:lang w:eastAsia="en-AU"/>
    </w:rPr>
  </w:style>
  <w:style w:type="character" w:customStyle="1" w:styleId="Heading8Char">
    <w:name w:val="Heading 8 Char"/>
    <w:basedOn w:val="DefaultParagraphFont"/>
    <w:link w:val="Heading8"/>
    <w:rsid w:val="008A1EA6"/>
    <w:rPr>
      <w:rFonts w:ascii="Calibri" w:eastAsia="Times New Roman" w:hAnsi="Calibri"/>
      <w:i/>
      <w:iCs/>
      <w:sz w:val="22"/>
      <w:lang w:eastAsia="en-AU"/>
    </w:rPr>
  </w:style>
  <w:style w:type="character" w:customStyle="1" w:styleId="Heading9Char">
    <w:name w:val="Heading 9 Char"/>
    <w:basedOn w:val="DefaultParagraphFont"/>
    <w:link w:val="Heading9"/>
    <w:rsid w:val="008A1EA6"/>
    <w:rPr>
      <w:rFonts w:ascii="Arial" w:eastAsia="Times New Roman" w:hAnsi="Arial" w:cs="Arial"/>
      <w:sz w:val="22"/>
      <w:szCs w:val="22"/>
      <w:lang w:eastAsia="en-AU"/>
    </w:rPr>
  </w:style>
  <w:style w:type="character" w:styleId="FootnoteReference">
    <w:name w:val="footnote reference"/>
    <w:rsid w:val="008A1EA6"/>
    <w:rPr>
      <w:vertAlign w:val="superscript"/>
    </w:rPr>
  </w:style>
  <w:style w:type="paragraph" w:customStyle="1" w:styleId="RARMPnumberedparagraphs">
    <w:name w:val="RARMP numbered paragraphs"/>
    <w:basedOn w:val="ListParagraph"/>
    <w:link w:val="RARMPnumberedparagraphsChar"/>
    <w:qFormat/>
    <w:rsid w:val="008A1EA6"/>
    <w:pPr>
      <w:numPr>
        <w:numId w:val="1"/>
      </w:numPr>
      <w:tabs>
        <w:tab w:val="num" w:pos="567"/>
      </w:tabs>
      <w:ind w:left="0" w:firstLine="0"/>
    </w:pPr>
    <w:rPr>
      <w:rFonts w:eastAsia="Times New Roman"/>
      <w:lang w:eastAsia="en-AU"/>
    </w:rPr>
  </w:style>
  <w:style w:type="character" w:styleId="Hyperlink">
    <w:name w:val="Hyperlink"/>
    <w:basedOn w:val="DefaultParagraphFont"/>
    <w:uiPriority w:val="99"/>
    <w:rsid w:val="008A1EA6"/>
    <w:rPr>
      <w:u w:val="single"/>
    </w:rPr>
  </w:style>
  <w:style w:type="character" w:customStyle="1" w:styleId="ListParagraphChar">
    <w:name w:val="List Paragraph Char"/>
    <w:basedOn w:val="DefaultParagraphFont"/>
    <w:link w:val="ListParagraph"/>
    <w:uiPriority w:val="34"/>
    <w:rsid w:val="008A1EA6"/>
    <w:rPr>
      <w:rFonts w:ascii="Calibri" w:hAnsi="Calibri"/>
      <w:sz w:val="22"/>
    </w:rPr>
  </w:style>
  <w:style w:type="character" w:customStyle="1" w:styleId="RARMPnumberedparagraphsChar">
    <w:name w:val="RARMP numbered paragraphs Char"/>
    <w:basedOn w:val="ListParagraphChar"/>
    <w:link w:val="RARMPnumberedparagraphs"/>
    <w:rsid w:val="008A1EA6"/>
    <w:rPr>
      <w:rFonts w:ascii="Calibri" w:eastAsia="Times New Roman" w:hAnsi="Calibri"/>
      <w:sz w:val="22"/>
      <w:lang w:eastAsia="en-AU"/>
    </w:rPr>
  </w:style>
  <w:style w:type="paragraph" w:styleId="ListParagraph">
    <w:name w:val="List Paragraph"/>
    <w:basedOn w:val="Normal"/>
    <w:link w:val="ListParagraphChar"/>
    <w:uiPriority w:val="34"/>
    <w:qFormat/>
    <w:rsid w:val="008A1EA6"/>
    <w:pPr>
      <w:ind w:left="720"/>
    </w:pPr>
    <w:rPr>
      <w:rFonts w:eastAsiaTheme="minorHAnsi"/>
      <w:lang w:eastAsia="en-US"/>
    </w:rPr>
  </w:style>
  <w:style w:type="paragraph" w:customStyle="1" w:styleId="Para">
    <w:name w:val="Para"/>
    <w:basedOn w:val="Normal"/>
    <w:link w:val="ParaCharChar"/>
    <w:autoRedefine/>
    <w:rsid w:val="008A1EA6"/>
    <w:pPr>
      <w:numPr>
        <w:numId w:val="2"/>
      </w:numPr>
      <w:tabs>
        <w:tab w:val="clear" w:pos="6755"/>
        <w:tab w:val="left" w:pos="567"/>
        <w:tab w:val="num" w:pos="771"/>
      </w:tabs>
    </w:pPr>
    <w:rPr>
      <w:rFonts w:ascii="Times New Roman" w:hAnsi="Times New Roman"/>
      <w:sz w:val="24"/>
    </w:rPr>
  </w:style>
  <w:style w:type="paragraph" w:customStyle="1" w:styleId="RIGHTLIST">
    <w:name w:val="RIGHTLIST"/>
    <w:basedOn w:val="Normal"/>
    <w:link w:val="RIGHTLISTChar"/>
    <w:rsid w:val="008A1EA6"/>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8A1EA6"/>
    <w:rPr>
      <w:rFonts w:eastAsia="Times New Roman"/>
      <w:sz w:val="22"/>
      <w:szCs w:val="22"/>
      <w:lang w:eastAsia="en-AU"/>
    </w:rPr>
  </w:style>
  <w:style w:type="character" w:customStyle="1" w:styleId="ParaCharChar">
    <w:name w:val="Para Char Char"/>
    <w:basedOn w:val="DefaultParagraphFont"/>
    <w:link w:val="Para"/>
    <w:locked/>
    <w:rsid w:val="008A1EA6"/>
    <w:rPr>
      <w:rFonts w:eastAsia="Times New Roman"/>
      <w:lang w:eastAsia="en-AU"/>
    </w:rPr>
  </w:style>
  <w:style w:type="paragraph" w:styleId="Header">
    <w:name w:val="header"/>
    <w:basedOn w:val="Normal"/>
    <w:link w:val="HeaderChar"/>
    <w:uiPriority w:val="99"/>
    <w:unhideWhenUsed/>
    <w:rsid w:val="008A1EA6"/>
    <w:pPr>
      <w:tabs>
        <w:tab w:val="center" w:pos="4513"/>
        <w:tab w:val="right" w:pos="9026"/>
      </w:tabs>
      <w:spacing w:before="0" w:after="0"/>
    </w:pPr>
  </w:style>
  <w:style w:type="character" w:customStyle="1" w:styleId="HeaderChar">
    <w:name w:val="Header Char"/>
    <w:basedOn w:val="DefaultParagraphFont"/>
    <w:link w:val="Header"/>
    <w:uiPriority w:val="99"/>
    <w:rsid w:val="008A1EA6"/>
    <w:rPr>
      <w:rFonts w:ascii="Calibri" w:eastAsia="Times New Roman" w:hAnsi="Calibri"/>
      <w:sz w:val="22"/>
      <w:lang w:eastAsia="en-AU"/>
    </w:rPr>
  </w:style>
  <w:style w:type="paragraph" w:styleId="Footer">
    <w:name w:val="footer"/>
    <w:basedOn w:val="Normal"/>
    <w:link w:val="FooterChar"/>
    <w:uiPriority w:val="99"/>
    <w:unhideWhenUsed/>
    <w:rsid w:val="008A1EA6"/>
    <w:pPr>
      <w:tabs>
        <w:tab w:val="center" w:pos="4513"/>
        <w:tab w:val="right" w:pos="9026"/>
      </w:tabs>
      <w:spacing w:before="0" w:after="0"/>
    </w:pPr>
  </w:style>
  <w:style w:type="character" w:customStyle="1" w:styleId="FooterChar">
    <w:name w:val="Footer Char"/>
    <w:basedOn w:val="DefaultParagraphFont"/>
    <w:link w:val="Footer"/>
    <w:uiPriority w:val="99"/>
    <w:rsid w:val="008A1EA6"/>
    <w:rPr>
      <w:rFonts w:ascii="Calibri" w:eastAsia="Times New Roman" w:hAnsi="Calibri"/>
      <w:sz w:val="22"/>
      <w:lang w:eastAsia="en-AU"/>
    </w:rPr>
  </w:style>
  <w:style w:type="paragraph" w:customStyle="1" w:styleId="Paranonumbers">
    <w:name w:val="Para no numbers"/>
    <w:basedOn w:val="Normal"/>
    <w:link w:val="ParanonumbersChar"/>
    <w:qFormat/>
    <w:rsid w:val="00E83938"/>
    <w:rPr>
      <w:rFonts w:ascii="Times New Roman" w:eastAsiaTheme="minorEastAsia" w:hAnsi="Times New Roman"/>
      <w:sz w:val="24"/>
    </w:rPr>
  </w:style>
  <w:style w:type="character" w:customStyle="1" w:styleId="ParanonumbersChar">
    <w:name w:val="Para no numbers Char"/>
    <w:link w:val="Paranonumbers"/>
    <w:locked/>
    <w:rsid w:val="00E83938"/>
    <w:rPr>
      <w:rFonts w:eastAsiaTheme="minorEastAsia"/>
      <w:lang w:eastAsia="en-AU"/>
    </w:rPr>
  </w:style>
  <w:style w:type="paragraph" w:customStyle="1" w:styleId="-">
    <w:name w:val=":-)"/>
    <w:basedOn w:val="Normal"/>
    <w:link w:val="-Char"/>
    <w:qFormat/>
    <w:rsid w:val="00E83938"/>
    <w:pPr>
      <w:tabs>
        <w:tab w:val="left" w:pos="567"/>
        <w:tab w:val="num" w:pos="1494"/>
      </w:tabs>
      <w:ind w:right="-28"/>
    </w:pPr>
  </w:style>
  <w:style w:type="character" w:customStyle="1" w:styleId="-Char">
    <w:name w:val=":-) Char"/>
    <w:basedOn w:val="DefaultParagraphFont"/>
    <w:link w:val="-"/>
    <w:rsid w:val="00E83938"/>
    <w:rPr>
      <w:rFonts w:ascii="Calibri" w:eastAsia="Times New Roman" w:hAnsi="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183 - Summary of Risk Assessment and Risk Management Plan</dc:title>
  <dc:subject/>
  <dc:creator>OGTR.Voicemail@health.gov.au</dc:creator>
  <cp:keywords/>
  <dc:description/>
  <cp:lastModifiedBy>SMITH, Justine</cp:lastModifiedBy>
  <cp:revision>2</cp:revision>
  <dcterms:created xsi:type="dcterms:W3CDTF">2021-07-14T02:53:00Z</dcterms:created>
  <dcterms:modified xsi:type="dcterms:W3CDTF">2021-07-14T02:53:00Z</dcterms:modified>
</cp:coreProperties>
</file>