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8B002" w14:textId="77777777" w:rsidR="00516EC2" w:rsidRPr="005101C5" w:rsidRDefault="00516EC2" w:rsidP="008D13A8">
      <w:pPr>
        <w:spacing w:before="120" w:after="120"/>
        <w:rPr>
          <w:rFonts w:ascii="Arial" w:hAnsi="Arial" w:cs="Arial"/>
          <w:b/>
          <w:bCs/>
          <w:sz w:val="36"/>
          <w:szCs w:val="36"/>
          <w:lang w:eastAsia="en-AU"/>
        </w:rPr>
      </w:pPr>
      <w:bookmarkStart w:id="0" w:name="_Toc342042179"/>
      <w:bookmarkStart w:id="1" w:name="_Toc355008037"/>
      <w:bookmarkStart w:id="2" w:name="_Toc402182976"/>
      <w:r w:rsidRPr="005101C5">
        <w:rPr>
          <w:rFonts w:ascii="Arial" w:hAnsi="Arial" w:cs="Arial"/>
          <w:b/>
          <w:bCs/>
          <w:noProof/>
          <w:sz w:val="36"/>
          <w:szCs w:val="36"/>
          <w:lang w:eastAsia="en-AU"/>
        </w:rPr>
        <w:drawing>
          <wp:inline distT="0" distB="0" distL="0" distR="0" wp14:anchorId="624899FB" wp14:editId="16482880">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4E518BD" w14:textId="77777777" w:rsidR="00516EC2" w:rsidRPr="005101C5" w:rsidRDefault="00516EC2" w:rsidP="00516EC2">
      <w:pPr>
        <w:spacing w:before="960"/>
        <w:jc w:val="center"/>
        <w:rPr>
          <w:rFonts w:ascii="Arial" w:hAnsi="Arial" w:cs="Arial"/>
          <w:b/>
          <w:bCs/>
          <w:sz w:val="52"/>
          <w:szCs w:val="52"/>
          <w:lang w:eastAsia="en-AU"/>
        </w:rPr>
      </w:pPr>
      <w:r w:rsidRPr="005101C5">
        <w:rPr>
          <w:rFonts w:ascii="Arial" w:hAnsi="Arial" w:cs="Arial"/>
          <w:b/>
          <w:bCs/>
          <w:sz w:val="52"/>
          <w:szCs w:val="52"/>
          <w:lang w:eastAsia="en-AU"/>
        </w:rPr>
        <w:t>Licence for dealings involving an intentional release of a GMO into the environment</w:t>
      </w:r>
    </w:p>
    <w:p w14:paraId="73F2E698" w14:textId="77777777" w:rsidR="00516EC2" w:rsidRPr="005101C5" w:rsidRDefault="00516EC2" w:rsidP="00FF51CF">
      <w:pPr>
        <w:spacing w:before="960"/>
        <w:jc w:val="center"/>
        <w:outlineLvl w:val="0"/>
        <w:rPr>
          <w:rFonts w:ascii="Arial" w:hAnsi="Arial" w:cs="Arial"/>
          <w:b/>
          <w:bCs/>
          <w:sz w:val="36"/>
          <w:szCs w:val="36"/>
          <w:lang w:eastAsia="en-AU"/>
        </w:rPr>
      </w:pPr>
      <w:r w:rsidRPr="005101C5">
        <w:rPr>
          <w:rFonts w:ascii="Arial" w:hAnsi="Arial" w:cs="Arial"/>
          <w:b/>
          <w:bCs/>
          <w:sz w:val="36"/>
          <w:szCs w:val="36"/>
          <w:lang w:eastAsia="en-AU"/>
        </w:rPr>
        <w:t>Licence No.: DIR 1</w:t>
      </w:r>
      <w:r w:rsidR="0002235E" w:rsidRPr="005101C5">
        <w:rPr>
          <w:rFonts w:ascii="Arial" w:hAnsi="Arial" w:cs="Arial"/>
          <w:b/>
          <w:bCs/>
          <w:sz w:val="36"/>
          <w:szCs w:val="36"/>
          <w:lang w:eastAsia="en-AU"/>
        </w:rPr>
        <w:t>44</w:t>
      </w:r>
    </w:p>
    <w:p w14:paraId="4885508D" w14:textId="45CB4139" w:rsidR="001014FE" w:rsidRPr="005101C5" w:rsidRDefault="00516EC2" w:rsidP="0019712E">
      <w:pPr>
        <w:spacing w:before="480" w:after="120"/>
        <w:jc w:val="center"/>
        <w:rPr>
          <w:rFonts w:ascii="Arial" w:hAnsi="Arial" w:cs="Arial"/>
          <w:b/>
          <w:bCs/>
          <w:sz w:val="32"/>
          <w:szCs w:val="32"/>
          <w:lang w:eastAsia="en-AU"/>
        </w:rPr>
      </w:pPr>
      <w:r w:rsidRPr="005101C5">
        <w:rPr>
          <w:rFonts w:ascii="Arial" w:hAnsi="Arial" w:cs="Arial"/>
          <w:b/>
          <w:bCs/>
          <w:sz w:val="32"/>
          <w:szCs w:val="32"/>
          <w:lang w:eastAsia="en-AU"/>
        </w:rPr>
        <w:t xml:space="preserve">Licence holder: </w:t>
      </w:r>
      <w:proofErr w:type="spellStart"/>
      <w:r w:rsidR="007E112E" w:rsidRPr="005101C5">
        <w:rPr>
          <w:rFonts w:ascii="Arial" w:hAnsi="Arial" w:cs="Arial"/>
          <w:b/>
          <w:bCs/>
          <w:sz w:val="32"/>
          <w:szCs w:val="32"/>
          <w:lang w:eastAsia="en-AU"/>
        </w:rPr>
        <w:t>Novotech</w:t>
      </w:r>
      <w:proofErr w:type="spellEnd"/>
      <w:r w:rsidR="0097044B" w:rsidRPr="005101C5">
        <w:rPr>
          <w:rFonts w:ascii="Arial" w:hAnsi="Arial" w:cs="Arial"/>
          <w:b/>
          <w:bCs/>
          <w:sz w:val="32"/>
          <w:szCs w:val="32"/>
          <w:lang w:eastAsia="en-AU"/>
        </w:rPr>
        <w:t xml:space="preserve"> (</w:t>
      </w:r>
      <w:r w:rsidR="007E112E" w:rsidRPr="005101C5">
        <w:rPr>
          <w:rFonts w:ascii="Arial" w:hAnsi="Arial" w:cs="Arial"/>
          <w:b/>
          <w:bCs/>
          <w:sz w:val="32"/>
          <w:szCs w:val="32"/>
          <w:lang w:eastAsia="en-AU"/>
        </w:rPr>
        <w:t>Australia</w:t>
      </w:r>
      <w:r w:rsidR="0097044B" w:rsidRPr="005101C5">
        <w:rPr>
          <w:rFonts w:ascii="Arial" w:hAnsi="Arial" w:cs="Arial"/>
          <w:b/>
          <w:bCs/>
          <w:sz w:val="32"/>
          <w:szCs w:val="32"/>
          <w:lang w:eastAsia="en-AU"/>
        </w:rPr>
        <w:t>) Pty Ltd</w:t>
      </w:r>
    </w:p>
    <w:p w14:paraId="3D700A76" w14:textId="77777777" w:rsidR="00516EC2" w:rsidRPr="005101C5" w:rsidRDefault="00516EC2" w:rsidP="00516EC2">
      <w:pPr>
        <w:spacing w:before="960"/>
        <w:jc w:val="center"/>
        <w:rPr>
          <w:rFonts w:ascii="Arial" w:hAnsi="Arial" w:cs="Arial"/>
          <w:b/>
          <w:bCs/>
          <w:sz w:val="28"/>
          <w:szCs w:val="28"/>
          <w:lang w:eastAsia="en-AU"/>
        </w:rPr>
      </w:pPr>
      <w:r w:rsidRPr="005101C5">
        <w:rPr>
          <w:rFonts w:ascii="Arial" w:hAnsi="Arial" w:cs="Arial"/>
          <w:b/>
          <w:bCs/>
          <w:sz w:val="32"/>
          <w:szCs w:val="32"/>
          <w:lang w:eastAsia="en-AU"/>
        </w:rPr>
        <w:t>Title:</w:t>
      </w:r>
      <w:r w:rsidRPr="005101C5">
        <w:rPr>
          <w:lang w:eastAsia="en-AU"/>
        </w:rPr>
        <w:t xml:space="preserve"> </w:t>
      </w:r>
      <w:r w:rsidR="0002235E" w:rsidRPr="005101C5">
        <w:rPr>
          <w:rFonts w:ascii="Arial" w:hAnsi="Arial" w:cs="Arial"/>
          <w:b/>
          <w:bCs/>
          <w:sz w:val="28"/>
          <w:szCs w:val="28"/>
          <w:lang w:eastAsia="en-AU"/>
        </w:rPr>
        <w:t>Clinical trial of live attenuated genetically modified influenza vaccines</w:t>
      </w:r>
    </w:p>
    <w:p w14:paraId="0E4E3786" w14:textId="77777777" w:rsidR="00516EC2" w:rsidRPr="005101C5" w:rsidRDefault="00516EC2" w:rsidP="00516EC2">
      <w:pPr>
        <w:spacing w:before="960"/>
        <w:jc w:val="center"/>
        <w:rPr>
          <w:rFonts w:ascii="Arial" w:hAnsi="Arial" w:cs="Arial"/>
          <w:sz w:val="28"/>
          <w:szCs w:val="28"/>
          <w:lang w:eastAsia="en-AU"/>
        </w:rPr>
      </w:pPr>
      <w:r w:rsidRPr="005101C5">
        <w:rPr>
          <w:rFonts w:ascii="Arial" w:hAnsi="Arial" w:cs="Arial"/>
          <w:sz w:val="28"/>
          <w:szCs w:val="28"/>
          <w:lang w:eastAsia="en-AU"/>
        </w:rPr>
        <w:t>Issued:</w:t>
      </w:r>
      <w:r w:rsidR="00717B8F" w:rsidRPr="005101C5">
        <w:rPr>
          <w:rFonts w:ascii="Arial" w:hAnsi="Arial" w:cs="Arial"/>
          <w:sz w:val="28"/>
          <w:szCs w:val="28"/>
          <w:lang w:eastAsia="en-AU"/>
        </w:rPr>
        <w:t xml:space="preserve"> </w:t>
      </w:r>
      <w:r w:rsidR="00557B19" w:rsidRPr="005101C5">
        <w:rPr>
          <w:rFonts w:ascii="Arial" w:hAnsi="Arial" w:cs="Arial"/>
          <w:sz w:val="28"/>
          <w:szCs w:val="28"/>
          <w:lang w:eastAsia="en-AU"/>
        </w:rPr>
        <w:t>1</w:t>
      </w:r>
      <w:r w:rsidR="0009767D" w:rsidRPr="005101C5">
        <w:rPr>
          <w:rFonts w:ascii="Arial" w:hAnsi="Arial" w:cs="Arial"/>
          <w:sz w:val="28"/>
          <w:szCs w:val="28"/>
          <w:lang w:eastAsia="en-AU"/>
        </w:rPr>
        <w:t xml:space="preserve"> </w:t>
      </w:r>
      <w:r w:rsidR="00557B19" w:rsidRPr="005101C5">
        <w:rPr>
          <w:rFonts w:ascii="Arial" w:hAnsi="Arial" w:cs="Arial"/>
          <w:sz w:val="28"/>
          <w:szCs w:val="28"/>
          <w:lang w:eastAsia="en-AU"/>
        </w:rPr>
        <w:t>August</w:t>
      </w:r>
      <w:r w:rsidR="001014FE" w:rsidRPr="005101C5">
        <w:rPr>
          <w:rFonts w:ascii="Arial" w:hAnsi="Arial" w:cs="Arial"/>
          <w:sz w:val="28"/>
          <w:szCs w:val="28"/>
          <w:lang w:eastAsia="en-AU"/>
        </w:rPr>
        <w:t xml:space="preserve"> 201</w:t>
      </w:r>
      <w:r w:rsidR="0097044B" w:rsidRPr="005101C5">
        <w:rPr>
          <w:rFonts w:ascii="Arial" w:hAnsi="Arial" w:cs="Arial"/>
          <w:sz w:val="28"/>
          <w:szCs w:val="28"/>
          <w:lang w:eastAsia="en-AU"/>
        </w:rPr>
        <w:t>6</w:t>
      </w:r>
    </w:p>
    <w:p w14:paraId="69B4BD4F" w14:textId="77777777" w:rsidR="00552B36" w:rsidRPr="005101C5" w:rsidRDefault="00552B36" w:rsidP="004E1FCE">
      <w:pPr>
        <w:spacing w:before="120"/>
        <w:jc w:val="center"/>
        <w:rPr>
          <w:rFonts w:ascii="Arial" w:hAnsi="Arial" w:cs="Arial"/>
          <w:sz w:val="28"/>
          <w:szCs w:val="28"/>
          <w:lang w:eastAsia="en-AU"/>
        </w:rPr>
      </w:pPr>
      <w:r w:rsidRPr="005101C5">
        <w:rPr>
          <w:rFonts w:ascii="Arial" w:hAnsi="Arial" w:cs="Arial"/>
          <w:sz w:val="28"/>
          <w:szCs w:val="28"/>
          <w:lang w:eastAsia="en-AU"/>
        </w:rPr>
        <w:t xml:space="preserve">Varied: </w:t>
      </w:r>
      <w:r w:rsidR="00590EC3" w:rsidRPr="005101C5">
        <w:rPr>
          <w:rFonts w:ascii="Arial" w:hAnsi="Arial" w:cs="Arial"/>
          <w:sz w:val="28"/>
          <w:szCs w:val="28"/>
          <w:lang w:eastAsia="en-AU"/>
        </w:rPr>
        <w:t>9</w:t>
      </w:r>
      <w:r w:rsidRPr="005101C5">
        <w:rPr>
          <w:rFonts w:ascii="Arial" w:hAnsi="Arial" w:cs="Arial"/>
          <w:sz w:val="28"/>
          <w:szCs w:val="28"/>
          <w:lang w:eastAsia="en-AU"/>
        </w:rPr>
        <w:t xml:space="preserve"> December 2016</w:t>
      </w:r>
    </w:p>
    <w:p w14:paraId="55CF714A" w14:textId="3A80D44C" w:rsidR="00934172" w:rsidRPr="005101C5" w:rsidRDefault="00934172" w:rsidP="004E1FCE">
      <w:pPr>
        <w:spacing w:before="120"/>
        <w:jc w:val="center"/>
        <w:rPr>
          <w:rFonts w:ascii="Arial" w:hAnsi="Arial" w:cs="Arial"/>
          <w:sz w:val="28"/>
          <w:szCs w:val="28"/>
          <w:lang w:eastAsia="en-AU"/>
        </w:rPr>
      </w:pPr>
      <w:r w:rsidRPr="005101C5">
        <w:rPr>
          <w:rFonts w:ascii="Arial" w:hAnsi="Arial" w:cs="Arial"/>
          <w:sz w:val="28"/>
          <w:szCs w:val="28"/>
          <w:lang w:eastAsia="en-AU"/>
        </w:rPr>
        <w:t xml:space="preserve">Varied: </w:t>
      </w:r>
      <w:r w:rsidR="00650338" w:rsidRPr="005101C5">
        <w:rPr>
          <w:rFonts w:ascii="Arial" w:hAnsi="Arial" w:cs="Arial"/>
          <w:sz w:val="28"/>
          <w:szCs w:val="28"/>
          <w:lang w:eastAsia="en-AU"/>
        </w:rPr>
        <w:t>06</w:t>
      </w:r>
      <w:r w:rsidRPr="005101C5">
        <w:rPr>
          <w:rFonts w:ascii="Arial" w:hAnsi="Arial" w:cs="Arial"/>
          <w:sz w:val="28"/>
          <w:szCs w:val="28"/>
          <w:lang w:eastAsia="en-AU"/>
        </w:rPr>
        <w:t xml:space="preserve"> Ju</w:t>
      </w:r>
      <w:r w:rsidR="00650338" w:rsidRPr="005101C5">
        <w:rPr>
          <w:rFonts w:ascii="Arial" w:hAnsi="Arial" w:cs="Arial"/>
          <w:sz w:val="28"/>
          <w:szCs w:val="28"/>
          <w:lang w:eastAsia="en-AU"/>
        </w:rPr>
        <w:t>ly</w:t>
      </w:r>
      <w:r w:rsidRPr="005101C5">
        <w:rPr>
          <w:rFonts w:ascii="Arial" w:hAnsi="Arial" w:cs="Arial"/>
          <w:sz w:val="28"/>
          <w:szCs w:val="28"/>
          <w:lang w:eastAsia="en-AU"/>
        </w:rPr>
        <w:t xml:space="preserve"> 2020</w:t>
      </w:r>
    </w:p>
    <w:p w14:paraId="7B5D33A9" w14:textId="74048555" w:rsidR="007E112E" w:rsidRPr="005101C5" w:rsidRDefault="007E112E" w:rsidP="004E1FCE">
      <w:pPr>
        <w:spacing w:before="120"/>
        <w:jc w:val="center"/>
        <w:rPr>
          <w:rFonts w:ascii="Arial" w:hAnsi="Arial" w:cs="Arial"/>
          <w:sz w:val="28"/>
          <w:szCs w:val="28"/>
          <w:lang w:eastAsia="en-AU"/>
        </w:rPr>
      </w:pPr>
      <w:r w:rsidRPr="005101C5">
        <w:rPr>
          <w:rFonts w:ascii="Arial" w:hAnsi="Arial" w:cs="Arial"/>
          <w:sz w:val="28"/>
          <w:szCs w:val="28"/>
          <w:lang w:eastAsia="en-AU"/>
        </w:rPr>
        <w:t xml:space="preserve">Transferred to </w:t>
      </w:r>
      <w:proofErr w:type="spellStart"/>
      <w:r w:rsidRPr="005101C5">
        <w:rPr>
          <w:rFonts w:ascii="Arial" w:hAnsi="Arial" w:cs="Arial"/>
          <w:sz w:val="28"/>
          <w:szCs w:val="28"/>
          <w:lang w:eastAsia="en-AU"/>
        </w:rPr>
        <w:t>Novotech</w:t>
      </w:r>
      <w:proofErr w:type="spellEnd"/>
      <w:r w:rsidRPr="005101C5">
        <w:rPr>
          <w:rFonts w:ascii="Arial" w:hAnsi="Arial" w:cs="Arial"/>
          <w:sz w:val="28"/>
          <w:szCs w:val="28"/>
          <w:lang w:eastAsia="en-AU"/>
        </w:rPr>
        <w:t xml:space="preserve"> (Australia) Pty Ltd: </w:t>
      </w:r>
      <w:r w:rsidR="0072562D" w:rsidRPr="005101C5">
        <w:rPr>
          <w:rFonts w:ascii="Arial" w:hAnsi="Arial" w:cs="Arial"/>
          <w:sz w:val="28"/>
          <w:szCs w:val="28"/>
          <w:lang w:eastAsia="en-AU"/>
        </w:rPr>
        <w:t>18</w:t>
      </w:r>
      <w:r w:rsidRPr="005101C5">
        <w:rPr>
          <w:rFonts w:ascii="Arial" w:hAnsi="Arial" w:cs="Arial"/>
          <w:sz w:val="28"/>
          <w:szCs w:val="28"/>
          <w:lang w:eastAsia="en-AU"/>
        </w:rPr>
        <w:t xml:space="preserve"> M</w:t>
      </w:r>
      <w:r w:rsidR="000E0A70" w:rsidRPr="005101C5">
        <w:rPr>
          <w:rFonts w:ascii="Arial" w:hAnsi="Arial" w:cs="Arial"/>
          <w:sz w:val="28"/>
          <w:szCs w:val="28"/>
          <w:lang w:eastAsia="en-AU"/>
        </w:rPr>
        <w:t>arch</w:t>
      </w:r>
      <w:r w:rsidRPr="005101C5">
        <w:rPr>
          <w:rFonts w:ascii="Arial" w:hAnsi="Arial" w:cs="Arial"/>
          <w:sz w:val="28"/>
          <w:szCs w:val="28"/>
          <w:lang w:eastAsia="en-AU"/>
        </w:rPr>
        <w:t xml:space="preserve"> 2021</w:t>
      </w:r>
    </w:p>
    <w:p w14:paraId="01B68055" w14:textId="6C187721" w:rsidR="00826D33" w:rsidRPr="005101C5" w:rsidRDefault="008D38CD" w:rsidP="00826D33">
      <w:pPr>
        <w:spacing w:before="120"/>
        <w:jc w:val="center"/>
        <w:rPr>
          <w:rFonts w:ascii="Arial" w:hAnsi="Arial" w:cs="Arial"/>
          <w:sz w:val="28"/>
          <w:szCs w:val="28"/>
          <w:lang w:eastAsia="en-AU"/>
        </w:rPr>
      </w:pPr>
      <w:r w:rsidRPr="005101C5">
        <w:rPr>
          <w:rFonts w:ascii="Arial" w:hAnsi="Arial" w:cs="Arial"/>
          <w:sz w:val="28"/>
          <w:szCs w:val="28"/>
          <w:lang w:eastAsia="en-AU"/>
        </w:rPr>
        <w:t>Varied: 19</w:t>
      </w:r>
      <w:r w:rsidR="00826D33" w:rsidRPr="005101C5">
        <w:rPr>
          <w:rFonts w:ascii="Arial" w:hAnsi="Arial" w:cs="Arial"/>
          <w:sz w:val="28"/>
          <w:szCs w:val="28"/>
          <w:lang w:eastAsia="en-AU"/>
        </w:rPr>
        <w:t xml:space="preserve"> July 2021</w:t>
      </w:r>
    </w:p>
    <w:p w14:paraId="4987E2D8" w14:textId="77777777" w:rsidR="00826D33" w:rsidRPr="005101C5" w:rsidRDefault="00826D33" w:rsidP="00826D33">
      <w:pPr>
        <w:spacing w:before="120"/>
        <w:jc w:val="center"/>
        <w:rPr>
          <w:rFonts w:ascii="Arial" w:hAnsi="Arial" w:cs="Arial"/>
          <w:sz w:val="28"/>
          <w:szCs w:val="28"/>
          <w:lang w:eastAsia="en-AU"/>
        </w:rPr>
      </w:pPr>
    </w:p>
    <w:p w14:paraId="5AEEF0E0" w14:textId="77777777" w:rsidR="00826D33" w:rsidRPr="005101C5" w:rsidRDefault="00826D33" w:rsidP="00826D33">
      <w:pPr>
        <w:spacing w:before="120"/>
        <w:jc w:val="center"/>
        <w:rPr>
          <w:rFonts w:ascii="Arial" w:hAnsi="Arial" w:cs="Arial"/>
          <w:sz w:val="28"/>
          <w:szCs w:val="28"/>
          <w:lang w:eastAsia="en-AU"/>
        </w:rPr>
      </w:pPr>
    </w:p>
    <w:p w14:paraId="4D8D1BCF" w14:textId="77777777" w:rsidR="00826D33" w:rsidRPr="005101C5" w:rsidRDefault="00826D33" w:rsidP="00826D33">
      <w:pPr>
        <w:spacing w:before="120"/>
        <w:jc w:val="center"/>
        <w:rPr>
          <w:rFonts w:ascii="Arial" w:hAnsi="Arial" w:cs="Arial"/>
          <w:sz w:val="28"/>
          <w:szCs w:val="28"/>
          <w:lang w:eastAsia="en-AU"/>
        </w:rPr>
      </w:pPr>
    </w:p>
    <w:p w14:paraId="123A0BD0" w14:textId="4D59D0CD" w:rsidR="00516EC2" w:rsidRPr="005101C5" w:rsidRDefault="00516EC2" w:rsidP="00826D33">
      <w:pPr>
        <w:spacing w:before="120"/>
        <w:jc w:val="center"/>
        <w:rPr>
          <w:b/>
          <w:bCs/>
          <w:lang w:eastAsia="en-AU"/>
        </w:rPr>
      </w:pPr>
      <w:r w:rsidRPr="005101C5">
        <w:rPr>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8" w:history="1">
        <w:r w:rsidRPr="005101C5">
          <w:rPr>
            <w:rStyle w:val="Hyperlink"/>
            <w:b/>
            <w:bCs/>
            <w:color w:val="auto"/>
            <w:lang w:eastAsia="en-AU"/>
          </w:rPr>
          <w:t>Office of the Gene Technology Regulator website</w:t>
        </w:r>
      </w:hyperlink>
      <w:r w:rsidRPr="005101C5">
        <w:rPr>
          <w:b/>
          <w:bCs/>
          <w:lang w:eastAsia="en-AU"/>
        </w:rPr>
        <w:t xml:space="preserve"> or by telephoning the Office on 1800 181 030.</w:t>
      </w:r>
    </w:p>
    <w:p w14:paraId="57E3DB91" w14:textId="77777777" w:rsidR="00516EC2" w:rsidRPr="005101C5" w:rsidRDefault="00516EC2" w:rsidP="00516EC2">
      <w:pPr>
        <w:spacing w:before="120" w:after="120"/>
        <w:outlineLvl w:val="0"/>
        <w:rPr>
          <w:rFonts w:ascii="Arial" w:hAnsi="Arial" w:cs="Arial"/>
          <w:b/>
          <w:bCs/>
          <w:sz w:val="36"/>
          <w:szCs w:val="36"/>
          <w:lang w:eastAsia="en-AU"/>
        </w:rPr>
        <w:sectPr w:rsidR="00516EC2" w:rsidRPr="005101C5" w:rsidSect="007478BD">
          <w:pgSz w:w="11906" w:h="16838" w:code="9"/>
          <w:pgMar w:top="1361" w:right="1361" w:bottom="1247"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5B6B1B92" w14:textId="77777777" w:rsidR="00516EC2" w:rsidRPr="005101C5" w:rsidRDefault="00516EC2" w:rsidP="00FF51CF">
      <w:pPr>
        <w:spacing w:before="240" w:after="120"/>
        <w:outlineLvl w:val="1"/>
        <w:rPr>
          <w:lang w:eastAsia="en-AU"/>
        </w:rPr>
      </w:pPr>
      <w:bookmarkStart w:id="3" w:name="_Toc224461066"/>
      <w:bookmarkStart w:id="4" w:name="_Toc225060512"/>
      <w:bookmarkStart w:id="5" w:name="_Toc229802025"/>
      <w:bookmarkStart w:id="6" w:name="_Toc256179509"/>
      <w:bookmarkStart w:id="7" w:name="_Toc257386394"/>
      <w:r w:rsidRPr="005101C5">
        <w:rPr>
          <w:b/>
          <w:bCs/>
          <w:i/>
          <w:iCs/>
          <w:u w:val="single"/>
          <w:lang w:eastAsia="en-AU"/>
        </w:rPr>
        <w:lastRenderedPageBreak/>
        <w:t>Gene Technology Regulation in Australia</w:t>
      </w:r>
    </w:p>
    <w:p w14:paraId="370D9E56" w14:textId="77777777" w:rsidR="00516EC2" w:rsidRPr="005101C5" w:rsidRDefault="00516EC2" w:rsidP="00516EC2">
      <w:pPr>
        <w:spacing w:before="120"/>
        <w:rPr>
          <w:lang w:eastAsia="en-AU"/>
        </w:rPr>
      </w:pPr>
      <w:r w:rsidRPr="005101C5">
        <w:rPr>
          <w:lang w:eastAsia="en-AU"/>
        </w:rPr>
        <w:t xml:space="preserve">Australia’s gene technology regulatory system operates as part of an integrated legislative framework. The </w:t>
      </w:r>
      <w:r w:rsidRPr="005101C5">
        <w:rPr>
          <w:i/>
          <w:iCs/>
          <w:lang w:eastAsia="en-AU"/>
        </w:rPr>
        <w:t>Gene Technology Act 2000</w:t>
      </w:r>
      <w:r w:rsidRPr="005101C5">
        <w:rPr>
          <w:lang w:eastAsia="en-AU"/>
        </w:rPr>
        <w:t xml:space="preserve"> (</w:t>
      </w:r>
      <w:proofErr w:type="spellStart"/>
      <w:r w:rsidRPr="005101C5">
        <w:rPr>
          <w:lang w:eastAsia="en-AU"/>
        </w:rPr>
        <w:t>Cth</w:t>
      </w:r>
      <w:proofErr w:type="spellEnd"/>
      <w:r w:rsidRPr="005101C5">
        <w:rPr>
          <w:lang w:eastAsia="en-AU"/>
        </w:rPr>
        <w:t xml:space="preserve">) and corresponding state and territory legislation form a substantial part of a nationally consistent regulatory system controlling </w:t>
      </w:r>
      <w:r w:rsidR="00B94362" w:rsidRPr="005101C5">
        <w:rPr>
          <w:lang w:eastAsia="en-AU"/>
        </w:rPr>
        <w:t>activities involving</w:t>
      </w:r>
      <w:r w:rsidRPr="005101C5">
        <w:rPr>
          <w:lang w:eastAsia="en-AU"/>
        </w:rPr>
        <w:t xml:space="preserve"> genetically modified organisms (GMOs).</w:t>
      </w:r>
    </w:p>
    <w:p w14:paraId="20800B1B" w14:textId="77777777" w:rsidR="00516EC2" w:rsidRPr="005101C5" w:rsidRDefault="00516EC2" w:rsidP="00516EC2">
      <w:pPr>
        <w:spacing w:before="120"/>
        <w:rPr>
          <w:iCs/>
          <w:lang w:eastAsia="en-AU"/>
        </w:rPr>
      </w:pPr>
      <w:r w:rsidRPr="005101C5">
        <w:rPr>
          <w:iCs/>
          <w:lang w:eastAsia="en-AU"/>
        </w:rPr>
        <w:t xml:space="preserve">This licence is issued by the Gene Technology Regulator in accordance with the </w:t>
      </w:r>
      <w:r w:rsidRPr="005101C5">
        <w:rPr>
          <w:i/>
          <w:iCs/>
          <w:lang w:eastAsia="en-AU"/>
        </w:rPr>
        <w:t>Gene Technology Act 2000</w:t>
      </w:r>
      <w:r w:rsidRPr="005101C5">
        <w:rPr>
          <w:iCs/>
          <w:lang w:eastAsia="en-AU"/>
        </w:rPr>
        <w:t xml:space="preserve"> and, as applicable, Corresponding State Law.</w:t>
      </w:r>
    </w:p>
    <w:p w14:paraId="6B36D7AF" w14:textId="77777777" w:rsidR="00516EC2" w:rsidRPr="005101C5" w:rsidRDefault="00516EC2" w:rsidP="00516EC2">
      <w:pPr>
        <w:spacing w:before="120"/>
        <w:rPr>
          <w:lang w:eastAsia="en-AU"/>
        </w:rPr>
      </w:pPr>
      <w:r w:rsidRPr="005101C5">
        <w:rPr>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31FD3C5A" w14:textId="77777777" w:rsidR="00516EC2" w:rsidRPr="005101C5" w:rsidRDefault="00516EC2" w:rsidP="00516EC2">
      <w:pPr>
        <w:spacing w:before="120"/>
        <w:rPr>
          <w:lang w:eastAsia="en-AU"/>
        </w:rPr>
      </w:pPr>
      <w:r w:rsidRPr="005101C5">
        <w:rPr>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Dealings conducted under any licence issued by the Regulator may also be subject to regulation by one or more of these agencies. It is recommended that the licence holder consult the relevant agency (or agencies) about their regulatory requirements.</w:t>
      </w:r>
    </w:p>
    <w:p w14:paraId="5B011233" w14:textId="77777777" w:rsidR="00516EC2" w:rsidRPr="005101C5" w:rsidRDefault="0097044B" w:rsidP="00EC6804">
      <w:pPr>
        <w:spacing w:before="240"/>
        <w:rPr>
          <w:lang w:eastAsia="en-AU"/>
        </w:rPr>
      </w:pPr>
      <w:r w:rsidRPr="005101C5">
        <w:rPr>
          <w:iCs/>
        </w:rPr>
        <w:t xml:space="preserve">The </w:t>
      </w:r>
      <w:r w:rsidRPr="005101C5">
        <w:t>licence</w:t>
      </w:r>
      <w:r w:rsidRPr="005101C5">
        <w:rPr>
          <w:iCs/>
        </w:rPr>
        <w:t xml:space="preserve"> authorises the licence holder and persons covered by the licence to conduct specified dealings with the genetically modified organism listed in </w:t>
      </w:r>
      <w:r w:rsidRPr="005101C5">
        <w:rPr>
          <w:b/>
          <w:iCs/>
        </w:rPr>
        <w:t>Attachment A</w:t>
      </w:r>
      <w:r w:rsidRPr="005101C5">
        <w:rPr>
          <w:iCs/>
        </w:rPr>
        <w:t xml:space="preserve"> of this licence. </w:t>
      </w:r>
      <w:bookmarkStart w:id="8" w:name="OLE_LINK1"/>
      <w:bookmarkStart w:id="9" w:name="OLE_LINK2"/>
      <w:r w:rsidRPr="005101C5">
        <w:t>Dealings permitted by this licence may also be subject to the operation of State legislation declaring areas to be GM, GM free, or both, for marketing purposes</w:t>
      </w:r>
      <w:bookmarkEnd w:id="8"/>
      <w:bookmarkEnd w:id="9"/>
      <w:r w:rsidRPr="005101C5">
        <w:t>.</w:t>
      </w:r>
      <w:bookmarkStart w:id="10" w:name="_Toc395612217"/>
      <w:bookmarkStart w:id="11" w:name="_Toc395612531"/>
      <w:bookmarkStart w:id="12" w:name="_Toc399159311"/>
      <w:bookmarkStart w:id="13" w:name="_Toc385323053"/>
      <w:bookmarkEnd w:id="3"/>
      <w:bookmarkEnd w:id="4"/>
      <w:bookmarkEnd w:id="5"/>
      <w:bookmarkEnd w:id="6"/>
      <w:bookmarkEnd w:id="7"/>
      <w:r w:rsidR="00516EC2" w:rsidRPr="005101C5">
        <w:rPr>
          <w:lang w:eastAsia="en-AU"/>
        </w:rPr>
        <w:br w:type="page"/>
      </w:r>
    </w:p>
    <w:p w14:paraId="53240FA2" w14:textId="77777777" w:rsidR="008844A6" w:rsidRPr="005101C5" w:rsidRDefault="008844A6" w:rsidP="00411F87">
      <w:pPr>
        <w:pStyle w:val="2RARMP"/>
        <w:tabs>
          <w:tab w:val="clear" w:pos="1440"/>
          <w:tab w:val="clear" w:pos="3942"/>
          <w:tab w:val="left" w:pos="1560"/>
        </w:tabs>
        <w:ind w:left="1560" w:hanging="1560"/>
      </w:pPr>
      <w:bookmarkStart w:id="14" w:name="_Toc421008384"/>
      <w:bookmarkEnd w:id="0"/>
      <w:bookmarkEnd w:id="1"/>
      <w:bookmarkEnd w:id="2"/>
      <w:bookmarkEnd w:id="10"/>
      <w:bookmarkEnd w:id="11"/>
      <w:bookmarkEnd w:id="12"/>
      <w:bookmarkEnd w:id="13"/>
      <w:r w:rsidRPr="005101C5">
        <w:lastRenderedPageBreak/>
        <w:t>Interpretations and definitions</w:t>
      </w:r>
      <w:bookmarkEnd w:id="14"/>
    </w:p>
    <w:p w14:paraId="2978A347" w14:textId="77777777" w:rsidR="00AE14A8" w:rsidRPr="005101C5" w:rsidRDefault="00AE14A8" w:rsidP="00B96BF5">
      <w:pPr>
        <w:numPr>
          <w:ilvl w:val="0"/>
          <w:numId w:val="39"/>
        </w:numPr>
        <w:tabs>
          <w:tab w:val="num" w:pos="567"/>
        </w:tabs>
        <w:spacing w:before="120" w:after="120"/>
        <w:ind w:left="567" w:hanging="567"/>
      </w:pPr>
      <w:r w:rsidRPr="005101C5">
        <w:t>In this licence:</w:t>
      </w:r>
    </w:p>
    <w:p w14:paraId="141CA413" w14:textId="77777777" w:rsidR="00AE14A8" w:rsidRPr="005101C5" w:rsidRDefault="00AE14A8" w:rsidP="00B96BF5">
      <w:pPr>
        <w:numPr>
          <w:ilvl w:val="0"/>
          <w:numId w:val="38"/>
        </w:numPr>
        <w:tabs>
          <w:tab w:val="clear" w:pos="1505"/>
          <w:tab w:val="num" w:pos="1134"/>
        </w:tabs>
        <w:spacing w:before="120" w:after="120"/>
        <w:ind w:left="1134" w:hanging="567"/>
      </w:pPr>
      <w:r w:rsidRPr="005101C5">
        <w:t>unless defined otherwise in this licence, words and phrases used in this licence have the same meaning as they do in the Act and the Gene Technology Regulations 2001;</w:t>
      </w:r>
    </w:p>
    <w:p w14:paraId="29CF391B" w14:textId="77777777" w:rsidR="00AE14A8" w:rsidRPr="005101C5" w:rsidRDefault="00AE14A8" w:rsidP="00B96BF5">
      <w:pPr>
        <w:numPr>
          <w:ilvl w:val="0"/>
          <w:numId w:val="38"/>
        </w:numPr>
        <w:tabs>
          <w:tab w:val="clear" w:pos="1505"/>
          <w:tab w:val="num" w:pos="1134"/>
        </w:tabs>
        <w:spacing w:before="120" w:after="120"/>
        <w:ind w:left="1134" w:hanging="567"/>
      </w:pPr>
      <w:r w:rsidRPr="005101C5">
        <w:t>words importing a gender include any other gender;</w:t>
      </w:r>
    </w:p>
    <w:p w14:paraId="0DCE903C" w14:textId="77777777" w:rsidR="00AE14A8" w:rsidRPr="005101C5" w:rsidRDefault="00AE14A8" w:rsidP="00B96BF5">
      <w:pPr>
        <w:numPr>
          <w:ilvl w:val="0"/>
          <w:numId w:val="38"/>
        </w:numPr>
        <w:tabs>
          <w:tab w:val="clear" w:pos="1505"/>
          <w:tab w:val="num" w:pos="1134"/>
        </w:tabs>
        <w:spacing w:before="120" w:after="120"/>
        <w:ind w:left="1134" w:hanging="567"/>
      </w:pPr>
      <w:r w:rsidRPr="005101C5">
        <w:t>words in the singular include the plural and words in the plural include the singular;</w:t>
      </w:r>
    </w:p>
    <w:p w14:paraId="488015F4" w14:textId="77777777" w:rsidR="00AE14A8" w:rsidRPr="005101C5" w:rsidRDefault="00AE14A8" w:rsidP="00B96BF5">
      <w:pPr>
        <w:numPr>
          <w:ilvl w:val="0"/>
          <w:numId w:val="38"/>
        </w:numPr>
        <w:tabs>
          <w:tab w:val="clear" w:pos="1505"/>
          <w:tab w:val="num" w:pos="1134"/>
        </w:tabs>
        <w:spacing w:before="120" w:after="120"/>
        <w:ind w:left="1134" w:hanging="567"/>
      </w:pPr>
      <w:r w:rsidRPr="005101C5">
        <w:t>words importing persons include a partnership and a body whether corporate or otherwise;</w:t>
      </w:r>
    </w:p>
    <w:p w14:paraId="74D70868" w14:textId="77777777" w:rsidR="00AE14A8" w:rsidRPr="005101C5" w:rsidRDefault="00AE14A8" w:rsidP="00B96BF5">
      <w:pPr>
        <w:numPr>
          <w:ilvl w:val="0"/>
          <w:numId w:val="38"/>
        </w:numPr>
        <w:tabs>
          <w:tab w:val="clear" w:pos="1505"/>
          <w:tab w:val="num" w:pos="1134"/>
        </w:tabs>
        <w:spacing w:before="120" w:after="120"/>
        <w:ind w:left="1134" w:hanging="567"/>
      </w:pPr>
      <w:r w:rsidRPr="005101C5">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786A64A8" w14:textId="77777777" w:rsidR="00AE14A8" w:rsidRPr="005101C5" w:rsidRDefault="00AE14A8" w:rsidP="00B96BF5">
      <w:pPr>
        <w:numPr>
          <w:ilvl w:val="0"/>
          <w:numId w:val="38"/>
        </w:numPr>
        <w:tabs>
          <w:tab w:val="clear" w:pos="1505"/>
          <w:tab w:val="num" w:pos="1134"/>
        </w:tabs>
        <w:spacing w:before="120" w:after="120"/>
        <w:ind w:left="1134" w:hanging="567"/>
      </w:pPr>
      <w:r w:rsidRPr="005101C5">
        <w:t>where any word or phrase is given a defined meaning, any other part of speech or other grammatical form in respect of that word has a corresponding meaning;</w:t>
      </w:r>
    </w:p>
    <w:p w14:paraId="24A46A02" w14:textId="77777777" w:rsidR="00AE14A8" w:rsidRPr="005101C5" w:rsidRDefault="00AE14A8" w:rsidP="00B96BF5">
      <w:pPr>
        <w:numPr>
          <w:ilvl w:val="0"/>
          <w:numId w:val="38"/>
        </w:numPr>
        <w:tabs>
          <w:tab w:val="clear" w:pos="1505"/>
          <w:tab w:val="num" w:pos="1134"/>
        </w:tabs>
        <w:spacing w:before="120" w:after="120"/>
        <w:ind w:left="1134" w:hanging="567"/>
      </w:pPr>
      <w:r w:rsidRPr="005101C5">
        <w:t>specific conditions prevail over standard conditions to the extent of any inconsistency.</w:t>
      </w:r>
    </w:p>
    <w:p w14:paraId="528394A2" w14:textId="77777777" w:rsidR="00AE14A8" w:rsidRPr="005101C5" w:rsidRDefault="00AE14A8" w:rsidP="00B96BF5">
      <w:pPr>
        <w:numPr>
          <w:ilvl w:val="0"/>
          <w:numId w:val="8"/>
        </w:numPr>
        <w:tabs>
          <w:tab w:val="num" w:pos="567"/>
        </w:tabs>
        <w:spacing w:before="120" w:after="120"/>
        <w:ind w:left="0" w:firstLine="0"/>
      </w:pPr>
      <w:r w:rsidRPr="005101C5">
        <w:t>In this licence:</w:t>
      </w:r>
    </w:p>
    <w:p w14:paraId="1CE9F6C0" w14:textId="77777777" w:rsidR="00AE14A8" w:rsidRPr="005101C5" w:rsidRDefault="00AE14A8" w:rsidP="00AE14A8">
      <w:pPr>
        <w:spacing w:before="120" w:after="120"/>
      </w:pPr>
      <w:r w:rsidRPr="005101C5">
        <w:rPr>
          <w:b/>
        </w:rPr>
        <w:t>'Act'</w:t>
      </w:r>
      <w:r w:rsidRPr="005101C5">
        <w:t xml:space="preserve"> means the </w:t>
      </w:r>
      <w:r w:rsidRPr="005101C5">
        <w:rPr>
          <w:i/>
        </w:rPr>
        <w:t>Gene Technology Act 2000</w:t>
      </w:r>
      <w:r w:rsidRPr="005101C5">
        <w:t xml:space="preserve"> (</w:t>
      </w:r>
      <w:r w:rsidR="008E525D" w:rsidRPr="005101C5">
        <w:rPr>
          <w:lang w:eastAsia="en-AU"/>
        </w:rPr>
        <w:t>Commonwealth</w:t>
      </w:r>
      <w:r w:rsidRPr="005101C5">
        <w:t>) or the corresponding State legislation under which this licence is issued.</w:t>
      </w:r>
    </w:p>
    <w:p w14:paraId="56ABECCE" w14:textId="77777777" w:rsidR="00AE14A8" w:rsidRPr="005101C5" w:rsidRDefault="008E525D" w:rsidP="00AE14A8">
      <w:r w:rsidRPr="005101C5">
        <w:rPr>
          <w:b/>
        </w:rPr>
        <w:t>'</w:t>
      </w:r>
      <w:r w:rsidR="00AE14A8" w:rsidRPr="005101C5">
        <w:rPr>
          <w:b/>
        </w:rPr>
        <w:t>Analytical facility</w:t>
      </w:r>
      <w:r w:rsidRPr="005101C5">
        <w:rPr>
          <w:b/>
        </w:rPr>
        <w:t>'</w:t>
      </w:r>
      <w:r w:rsidR="00AE14A8" w:rsidRPr="005101C5">
        <w:rPr>
          <w:b/>
        </w:rPr>
        <w:t xml:space="preserve"> </w:t>
      </w:r>
      <w:r w:rsidR="00AE14A8" w:rsidRPr="005101C5">
        <w:t>means a laboratory or premises that performs testing and/or analysis on biological samples (e.g. blood, tissue, cells, proteins, nucleotides) in Australia.</w:t>
      </w:r>
    </w:p>
    <w:p w14:paraId="1CA87880" w14:textId="77777777" w:rsidR="00AE14A8" w:rsidRPr="005101C5" w:rsidRDefault="00AE14A8" w:rsidP="00AE14A8">
      <w:pPr>
        <w:spacing w:before="120" w:after="120"/>
      </w:pPr>
      <w:r w:rsidRPr="005101C5">
        <w:rPr>
          <w:b/>
        </w:rPr>
        <w:t>'Annual Report'</w:t>
      </w:r>
      <w:r w:rsidRPr="005101C5">
        <w:t xml:space="preserve"> means a written report provided to the Regulator within 90 days of each anniversary of issue of this licence containing all the information required by this licence to be provided in the Annual Report.</w:t>
      </w:r>
    </w:p>
    <w:p w14:paraId="06237BED" w14:textId="77777777" w:rsidR="00AE14A8" w:rsidRPr="005101C5" w:rsidRDefault="00AE14A8" w:rsidP="00AE14A8">
      <w:pPr>
        <w:spacing w:before="120" w:after="120"/>
      </w:pPr>
      <w:r w:rsidRPr="005101C5">
        <w:rPr>
          <w:b/>
        </w:rPr>
        <w:t>'Destroy'</w:t>
      </w:r>
      <w:r w:rsidRPr="005101C5">
        <w:t xml:space="preserve">, (or </w:t>
      </w:r>
      <w:r w:rsidRPr="005101C5">
        <w:rPr>
          <w:b/>
        </w:rPr>
        <w:t>'Destroyed'</w:t>
      </w:r>
      <w:r w:rsidRPr="005101C5">
        <w:t xml:space="preserve"> or </w:t>
      </w:r>
      <w:r w:rsidRPr="005101C5">
        <w:rPr>
          <w:b/>
        </w:rPr>
        <w:t>'Destruction'</w:t>
      </w:r>
      <w:r w:rsidRPr="005101C5">
        <w:t>) means, as the case requires, killed by one or more of the following methods:</w:t>
      </w:r>
    </w:p>
    <w:p w14:paraId="1A55FA22" w14:textId="77777777" w:rsidR="00AE14A8" w:rsidRPr="005101C5" w:rsidRDefault="00AE14A8" w:rsidP="00B96BF5">
      <w:pPr>
        <w:numPr>
          <w:ilvl w:val="0"/>
          <w:numId w:val="6"/>
        </w:numPr>
        <w:tabs>
          <w:tab w:val="clear" w:pos="1505"/>
          <w:tab w:val="num" w:pos="1134"/>
        </w:tabs>
        <w:spacing w:before="120" w:after="120"/>
        <w:ind w:left="1134" w:hanging="567"/>
      </w:pPr>
      <w:r w:rsidRPr="005101C5">
        <w:t>treatment with chemical disinfectant;</w:t>
      </w:r>
    </w:p>
    <w:p w14:paraId="6F69A551" w14:textId="77777777" w:rsidR="00AE14A8" w:rsidRPr="005101C5" w:rsidRDefault="00AE14A8" w:rsidP="00B96BF5">
      <w:pPr>
        <w:numPr>
          <w:ilvl w:val="0"/>
          <w:numId w:val="6"/>
        </w:numPr>
        <w:tabs>
          <w:tab w:val="clear" w:pos="1505"/>
          <w:tab w:val="num" w:pos="1134"/>
        </w:tabs>
        <w:spacing w:before="120" w:after="120"/>
        <w:ind w:left="1134" w:hanging="567"/>
      </w:pPr>
      <w:r w:rsidRPr="005101C5">
        <w:t>autoclaving;</w:t>
      </w:r>
    </w:p>
    <w:p w14:paraId="42F812C1" w14:textId="77777777" w:rsidR="00AE14A8" w:rsidRPr="005101C5" w:rsidRDefault="00AE14A8" w:rsidP="00B96BF5">
      <w:pPr>
        <w:numPr>
          <w:ilvl w:val="0"/>
          <w:numId w:val="6"/>
        </w:numPr>
        <w:tabs>
          <w:tab w:val="clear" w:pos="1505"/>
          <w:tab w:val="num" w:pos="1134"/>
        </w:tabs>
        <w:spacing w:before="120" w:after="120"/>
        <w:ind w:left="1134" w:hanging="567"/>
      </w:pPr>
      <w:r w:rsidRPr="005101C5">
        <w:t>high-temperature incineration; and</w:t>
      </w:r>
    </w:p>
    <w:p w14:paraId="41F4598B" w14:textId="77777777" w:rsidR="00AE14A8" w:rsidRPr="005101C5" w:rsidRDefault="00AE14A8" w:rsidP="00B96BF5">
      <w:pPr>
        <w:numPr>
          <w:ilvl w:val="0"/>
          <w:numId w:val="6"/>
        </w:numPr>
        <w:tabs>
          <w:tab w:val="clear" w:pos="1505"/>
          <w:tab w:val="num" w:pos="1134"/>
        </w:tabs>
        <w:spacing w:before="120" w:after="120"/>
        <w:ind w:left="1134" w:hanging="567"/>
      </w:pPr>
      <w:r w:rsidRPr="005101C5">
        <w:t>any other methods used by Study Sites for disposal of infectious clinical waste.</w:t>
      </w:r>
    </w:p>
    <w:p w14:paraId="561C04C2" w14:textId="77777777" w:rsidR="00AE14A8" w:rsidRPr="005101C5" w:rsidRDefault="00AE14A8" w:rsidP="00AE14A8">
      <w:pPr>
        <w:spacing w:before="120" w:after="120"/>
        <w:rPr>
          <w:i/>
        </w:rPr>
      </w:pPr>
      <w:r w:rsidRPr="005101C5">
        <w:rPr>
          <w:i/>
        </w:rPr>
        <w:t>Note: 'As the case requires' has the effect that, depending on the circumstances, one or more of these techniques may not be appropriate.</w:t>
      </w:r>
    </w:p>
    <w:p w14:paraId="0BEF6976" w14:textId="77777777" w:rsidR="00AE14A8" w:rsidRPr="005101C5" w:rsidRDefault="00607D2D" w:rsidP="00AE14A8">
      <w:pPr>
        <w:tabs>
          <w:tab w:val="left" w:pos="993"/>
        </w:tabs>
        <w:spacing w:before="120" w:after="120"/>
      </w:pPr>
      <w:r w:rsidRPr="005101C5">
        <w:rPr>
          <w:b/>
        </w:rPr>
        <w:t>'</w:t>
      </w:r>
      <w:r w:rsidR="00AE14A8" w:rsidRPr="005101C5">
        <w:rPr>
          <w:b/>
        </w:rPr>
        <w:t>Excluded Persons</w:t>
      </w:r>
      <w:r w:rsidRPr="005101C5">
        <w:rPr>
          <w:b/>
        </w:rPr>
        <w:t>'</w:t>
      </w:r>
      <w:r w:rsidR="00AE14A8" w:rsidRPr="005101C5">
        <w:t xml:space="preserve"> means persons those with a known immune deficiency, including persons with Human Immunodeficiency Virus (HIV);</w:t>
      </w:r>
    </w:p>
    <w:p w14:paraId="7AAD8551" w14:textId="77777777" w:rsidR="00AE14A8" w:rsidRPr="005101C5" w:rsidRDefault="00AE14A8" w:rsidP="00AE14A8">
      <w:pPr>
        <w:spacing w:before="120" w:after="120"/>
      </w:pPr>
      <w:r w:rsidRPr="005101C5">
        <w:rPr>
          <w:b/>
        </w:rPr>
        <w:t>'GM'</w:t>
      </w:r>
      <w:r w:rsidRPr="005101C5">
        <w:t xml:space="preserve"> means genetically modified.</w:t>
      </w:r>
    </w:p>
    <w:p w14:paraId="6DE07021" w14:textId="77777777" w:rsidR="00AE14A8" w:rsidRPr="005101C5" w:rsidRDefault="00AE14A8" w:rsidP="00AE14A8">
      <w:pPr>
        <w:spacing w:before="120" w:after="120"/>
      </w:pPr>
      <w:r w:rsidRPr="005101C5">
        <w:rPr>
          <w:b/>
        </w:rPr>
        <w:t>'GMOs'</w:t>
      </w:r>
      <w:r w:rsidRPr="005101C5">
        <w:t xml:space="preserve"> means the genetically modified organisms the subject of the dealings authorised by this licence.</w:t>
      </w:r>
    </w:p>
    <w:p w14:paraId="563A9DFE" w14:textId="77777777" w:rsidR="00AE14A8" w:rsidRPr="005101C5" w:rsidRDefault="008E525D" w:rsidP="00AE14A8">
      <w:pPr>
        <w:spacing w:before="120" w:after="120"/>
      </w:pPr>
      <w:r w:rsidRPr="005101C5">
        <w:rPr>
          <w:b/>
        </w:rPr>
        <w:t>'</w:t>
      </w:r>
      <w:r w:rsidR="00AE14A8" w:rsidRPr="005101C5">
        <w:rPr>
          <w:b/>
        </w:rPr>
        <w:t>ICH-GCP</w:t>
      </w:r>
      <w:r w:rsidRPr="005101C5">
        <w:rPr>
          <w:b/>
        </w:rPr>
        <w:t>'</w:t>
      </w:r>
      <w:r w:rsidR="00AE14A8" w:rsidRPr="005101C5">
        <w:t xml:space="preserve"> means the International Council for Harmonisation of Technical Requirements for Registration of Pharmaceuticals for Human Use - </w:t>
      </w:r>
      <w:r w:rsidR="00AE14A8" w:rsidRPr="005101C5">
        <w:rPr>
          <w:i/>
        </w:rPr>
        <w:t>Guidelines for Good Clinical Practice</w:t>
      </w:r>
      <w:r w:rsidR="00AE14A8" w:rsidRPr="005101C5">
        <w:t>.</w:t>
      </w:r>
    </w:p>
    <w:p w14:paraId="21CC0ACB" w14:textId="77777777" w:rsidR="00AE14A8" w:rsidRPr="005101C5" w:rsidRDefault="00607D2D" w:rsidP="00AE14A8">
      <w:pPr>
        <w:spacing w:before="120" w:after="120"/>
      </w:pPr>
      <w:r w:rsidRPr="005101C5">
        <w:rPr>
          <w:b/>
        </w:rPr>
        <w:lastRenderedPageBreak/>
        <w:t>'</w:t>
      </w:r>
      <w:r w:rsidR="00AE14A8" w:rsidRPr="005101C5">
        <w:rPr>
          <w:b/>
        </w:rPr>
        <w:t>Material</w:t>
      </w:r>
      <w:r w:rsidRPr="005101C5">
        <w:rPr>
          <w:b/>
        </w:rPr>
        <w:t>'</w:t>
      </w:r>
      <w:r w:rsidR="00AE14A8" w:rsidRPr="005101C5">
        <w:t xml:space="preserve"> means non-biological material used in conjunction with the GMO, such as syringes, swabs, vials, gloves or for the clean-up of spills.</w:t>
      </w:r>
    </w:p>
    <w:p w14:paraId="2BC6C857" w14:textId="77777777" w:rsidR="00AE14A8" w:rsidRPr="005101C5" w:rsidRDefault="00AE14A8" w:rsidP="00AE14A8">
      <w:pPr>
        <w:spacing w:before="120" w:after="120"/>
      </w:pPr>
      <w:r w:rsidRPr="005101C5">
        <w:rPr>
          <w:b/>
        </w:rPr>
        <w:t>'OGTR'</w:t>
      </w:r>
      <w:r w:rsidRPr="005101C5">
        <w:t xml:space="preserve"> means the Office of the Gene Technology Regulator.</w:t>
      </w:r>
    </w:p>
    <w:p w14:paraId="04008D19" w14:textId="77777777" w:rsidR="00AE14A8" w:rsidRPr="005101C5" w:rsidRDefault="00AE14A8" w:rsidP="00AE14A8">
      <w:pPr>
        <w:spacing w:before="120" w:after="120"/>
      </w:pPr>
      <w:r w:rsidRPr="005101C5">
        <w:rPr>
          <w:b/>
        </w:rPr>
        <w:t>'Personal Information'</w:t>
      </w:r>
      <w:r w:rsidRPr="005101C5">
        <w:t xml:space="preserve"> means information or an opinion (including information forming part of a database), whether true or not, and whether recorded in a material form or not, about an individual whose identity is apparent, or can reasonably be ascertained, from the information or opinion.</w:t>
      </w:r>
    </w:p>
    <w:p w14:paraId="2431A33E" w14:textId="77777777" w:rsidR="00AE14A8" w:rsidRPr="005101C5" w:rsidRDefault="00AE14A8" w:rsidP="00AE14A8">
      <w:pPr>
        <w:spacing w:before="120" w:after="120"/>
      </w:pPr>
      <w:r w:rsidRPr="005101C5">
        <w:rPr>
          <w:b/>
        </w:rPr>
        <w:t>'Regulator'</w:t>
      </w:r>
      <w:r w:rsidRPr="005101C5">
        <w:t xml:space="preserve"> means the Gene Technology Regulator.</w:t>
      </w:r>
    </w:p>
    <w:p w14:paraId="1F504CFB" w14:textId="77777777" w:rsidR="00AE14A8" w:rsidRPr="005101C5" w:rsidRDefault="00607D2D" w:rsidP="00AE14A8">
      <w:pPr>
        <w:spacing w:before="120" w:after="120"/>
      </w:pPr>
      <w:r w:rsidRPr="005101C5">
        <w:rPr>
          <w:b/>
        </w:rPr>
        <w:t>'</w:t>
      </w:r>
      <w:r w:rsidR="00AE14A8" w:rsidRPr="005101C5">
        <w:rPr>
          <w:b/>
        </w:rPr>
        <w:t>Sample</w:t>
      </w:r>
      <w:r w:rsidRPr="005101C5">
        <w:rPr>
          <w:b/>
        </w:rPr>
        <w:t>'</w:t>
      </w:r>
      <w:r w:rsidR="00AE14A8" w:rsidRPr="005101C5">
        <w:t xml:space="preserve"> means any biological material collected from trial participants for subsequent analysis.</w:t>
      </w:r>
    </w:p>
    <w:p w14:paraId="66A5E949" w14:textId="77777777" w:rsidR="00AE14A8" w:rsidRPr="005101C5" w:rsidRDefault="00607D2D" w:rsidP="00AE14A8">
      <w:r w:rsidRPr="005101C5">
        <w:rPr>
          <w:b/>
        </w:rPr>
        <w:t>'</w:t>
      </w:r>
      <w:r w:rsidR="00AE14A8" w:rsidRPr="005101C5">
        <w:rPr>
          <w:b/>
        </w:rPr>
        <w:t>Serious adverse event</w:t>
      </w:r>
      <w:r w:rsidRPr="005101C5">
        <w:rPr>
          <w:b/>
        </w:rPr>
        <w:t>'</w:t>
      </w:r>
      <w:r w:rsidR="00AE14A8" w:rsidRPr="005101C5">
        <w:t xml:space="preserve"> means any untoward medical occurrence that at any dose:</w:t>
      </w:r>
    </w:p>
    <w:p w14:paraId="05F386E4" w14:textId="77777777" w:rsidR="00AE14A8" w:rsidRPr="005101C5" w:rsidRDefault="00AE14A8" w:rsidP="00B96BF5">
      <w:pPr>
        <w:numPr>
          <w:ilvl w:val="0"/>
          <w:numId w:val="7"/>
        </w:numPr>
        <w:spacing w:before="120" w:after="120"/>
        <w:contextualSpacing/>
      </w:pPr>
      <w:r w:rsidRPr="005101C5">
        <w:t>results in death;</w:t>
      </w:r>
    </w:p>
    <w:p w14:paraId="6A8A857C" w14:textId="77777777" w:rsidR="00AE14A8" w:rsidRPr="005101C5" w:rsidRDefault="00AE14A8" w:rsidP="00B96BF5">
      <w:pPr>
        <w:numPr>
          <w:ilvl w:val="0"/>
          <w:numId w:val="7"/>
        </w:numPr>
        <w:spacing w:before="120" w:after="120"/>
        <w:contextualSpacing/>
      </w:pPr>
      <w:r w:rsidRPr="005101C5">
        <w:t>is life-threatening;</w:t>
      </w:r>
    </w:p>
    <w:p w14:paraId="5F2FC9C6" w14:textId="77777777" w:rsidR="00AE14A8" w:rsidRPr="005101C5" w:rsidRDefault="00AE14A8" w:rsidP="00B96BF5">
      <w:pPr>
        <w:numPr>
          <w:ilvl w:val="0"/>
          <w:numId w:val="7"/>
        </w:numPr>
        <w:spacing w:before="120" w:after="120"/>
        <w:contextualSpacing/>
      </w:pPr>
      <w:r w:rsidRPr="005101C5">
        <w:t>requires inpatient hospitalisation or prolongation of existing hospitalisation;</w:t>
      </w:r>
    </w:p>
    <w:p w14:paraId="475CA811" w14:textId="77777777" w:rsidR="00AE14A8" w:rsidRPr="005101C5" w:rsidRDefault="00AE14A8" w:rsidP="00B96BF5">
      <w:pPr>
        <w:numPr>
          <w:ilvl w:val="0"/>
          <w:numId w:val="7"/>
        </w:numPr>
        <w:spacing w:before="120" w:after="120"/>
        <w:contextualSpacing/>
      </w:pPr>
      <w:r w:rsidRPr="005101C5">
        <w:t>results in persistent or significant disability/incapacity;</w:t>
      </w:r>
    </w:p>
    <w:p w14:paraId="48A866AC" w14:textId="77777777" w:rsidR="00AE14A8" w:rsidRPr="005101C5" w:rsidRDefault="00AE14A8" w:rsidP="00B96BF5">
      <w:pPr>
        <w:numPr>
          <w:ilvl w:val="0"/>
          <w:numId w:val="7"/>
        </w:numPr>
        <w:spacing w:before="120" w:after="120"/>
        <w:contextualSpacing/>
      </w:pPr>
      <w:r w:rsidRPr="005101C5">
        <w:t>is a congenital anomaly/birth defect; or</w:t>
      </w:r>
    </w:p>
    <w:p w14:paraId="7F77ADCC" w14:textId="77777777" w:rsidR="00AE14A8" w:rsidRPr="005101C5" w:rsidRDefault="00AE14A8" w:rsidP="00B96BF5">
      <w:pPr>
        <w:numPr>
          <w:ilvl w:val="0"/>
          <w:numId w:val="7"/>
        </w:numPr>
        <w:spacing w:before="120" w:after="120"/>
        <w:ind w:left="714" w:hanging="357"/>
      </w:pPr>
      <w:r w:rsidRPr="005101C5">
        <w:t>is a medically important event or reaction.</w:t>
      </w:r>
    </w:p>
    <w:p w14:paraId="2D5358BB" w14:textId="77777777" w:rsidR="00AE14A8" w:rsidRPr="005101C5" w:rsidRDefault="00607D2D" w:rsidP="00AE14A8">
      <w:pPr>
        <w:pStyle w:val="-"/>
      </w:pPr>
      <w:r w:rsidRPr="005101C5">
        <w:rPr>
          <w:b/>
        </w:rPr>
        <w:t>'</w:t>
      </w:r>
      <w:r w:rsidR="00AE14A8" w:rsidRPr="005101C5">
        <w:rPr>
          <w:b/>
        </w:rPr>
        <w:t>Study Site</w:t>
      </w:r>
      <w:r w:rsidRPr="005101C5">
        <w:rPr>
          <w:b/>
        </w:rPr>
        <w:t>'</w:t>
      </w:r>
      <w:r w:rsidR="00AE14A8" w:rsidRPr="005101C5">
        <w:t xml:space="preserve"> means a medical facility in Australia such as a clinical facility or hospital that is approved in writing by the Regulator for the purposes of conducting this clinical trial.</w:t>
      </w:r>
    </w:p>
    <w:p w14:paraId="717FCDE1" w14:textId="77777777" w:rsidR="00AE14A8" w:rsidRPr="005101C5" w:rsidRDefault="00607D2D" w:rsidP="00AE14A8">
      <w:pPr>
        <w:spacing w:before="120" w:after="120"/>
      </w:pPr>
      <w:r w:rsidRPr="005101C5">
        <w:rPr>
          <w:b/>
        </w:rPr>
        <w:t>'</w:t>
      </w:r>
      <w:r w:rsidR="00AE14A8" w:rsidRPr="005101C5">
        <w:rPr>
          <w:b/>
        </w:rPr>
        <w:t>TGA GCP Guidelines</w:t>
      </w:r>
      <w:r w:rsidRPr="005101C5">
        <w:rPr>
          <w:b/>
        </w:rPr>
        <w:t>'</w:t>
      </w:r>
      <w:r w:rsidR="00AE14A8" w:rsidRPr="005101C5">
        <w:t xml:space="preserve"> means the TGA </w:t>
      </w:r>
      <w:r w:rsidR="00AE14A8" w:rsidRPr="005101C5">
        <w:rPr>
          <w:i/>
        </w:rPr>
        <w:t>Note for Guidance on Good Clinical Practice</w:t>
      </w:r>
      <w:bookmarkStart w:id="15" w:name="_Toc330475751"/>
      <w:r w:rsidR="00AE14A8" w:rsidRPr="005101C5">
        <w:t xml:space="preserve"> designated CPMP/ICH/135/95.</w:t>
      </w:r>
      <w:r w:rsidR="00AE14A8" w:rsidRPr="005101C5">
        <w:br w:type="page"/>
      </w:r>
    </w:p>
    <w:p w14:paraId="4F0A29AC" w14:textId="77777777" w:rsidR="00AE14A8" w:rsidRPr="005101C5" w:rsidRDefault="00AE14A8" w:rsidP="0063657C">
      <w:pPr>
        <w:pStyle w:val="2RARMP"/>
        <w:ind w:left="1531"/>
        <w:rPr>
          <w:rFonts w:eastAsia="Times New Roman"/>
        </w:rPr>
      </w:pPr>
      <w:bookmarkStart w:id="16" w:name="_Toc437596420"/>
      <w:bookmarkStart w:id="17" w:name="_Toc451350062"/>
      <w:r w:rsidRPr="005101C5">
        <w:rPr>
          <w:rFonts w:eastAsia="Times New Roman"/>
        </w:rPr>
        <w:lastRenderedPageBreak/>
        <w:t>General conditions</w:t>
      </w:r>
      <w:bookmarkEnd w:id="15"/>
      <w:r w:rsidRPr="005101C5">
        <w:rPr>
          <w:rFonts w:eastAsia="Times New Roman"/>
        </w:rPr>
        <w:t xml:space="preserve"> </w:t>
      </w:r>
      <w:bookmarkEnd w:id="16"/>
      <w:bookmarkEnd w:id="17"/>
    </w:p>
    <w:p w14:paraId="53ED8BEB" w14:textId="77777777" w:rsidR="00AE14A8" w:rsidRPr="005101C5" w:rsidRDefault="00AE14A8" w:rsidP="00B96BF5">
      <w:pPr>
        <w:numPr>
          <w:ilvl w:val="0"/>
          <w:numId w:val="8"/>
        </w:numPr>
        <w:tabs>
          <w:tab w:val="num" w:pos="567"/>
        </w:tabs>
        <w:spacing w:before="120" w:after="120"/>
        <w:ind w:left="0" w:firstLine="0"/>
      </w:pPr>
      <w:r w:rsidRPr="005101C5">
        <w:t>This licence does not authorise dealings with GMOs that are otherwise prohibited as a result of the operation of State legislation declaring areas to be GM, GM free, or both, for marketing purposes.</w:t>
      </w:r>
    </w:p>
    <w:p w14:paraId="5B1D8771" w14:textId="77777777" w:rsidR="00AE14A8" w:rsidRPr="005101C5" w:rsidRDefault="00AE14A8" w:rsidP="00B96BF5">
      <w:pPr>
        <w:numPr>
          <w:ilvl w:val="0"/>
          <w:numId w:val="8"/>
        </w:numPr>
        <w:tabs>
          <w:tab w:val="num" w:pos="567"/>
        </w:tabs>
        <w:spacing w:before="120" w:after="120"/>
        <w:ind w:left="0" w:firstLine="0"/>
      </w:pPr>
      <w:r w:rsidRPr="005101C5">
        <w:t>This licence remains in force until it is suspended, cancelled or surrendered. No dealings with the GMO are authorised during any period of suspension.</w:t>
      </w:r>
    </w:p>
    <w:p w14:paraId="16E1E86C" w14:textId="66327A75" w:rsidR="00AE14A8" w:rsidRPr="005101C5" w:rsidRDefault="00AE14A8" w:rsidP="00B96BF5">
      <w:pPr>
        <w:numPr>
          <w:ilvl w:val="0"/>
          <w:numId w:val="8"/>
        </w:numPr>
        <w:tabs>
          <w:tab w:val="num" w:pos="567"/>
        </w:tabs>
        <w:spacing w:before="120" w:after="120"/>
        <w:ind w:left="0" w:firstLine="0"/>
      </w:pPr>
      <w:r w:rsidRPr="005101C5">
        <w:t xml:space="preserve">The holder of this licence ('the licence holder') is </w:t>
      </w:r>
      <w:proofErr w:type="spellStart"/>
      <w:r w:rsidR="004766CE" w:rsidRPr="005101C5">
        <w:t>Novotech</w:t>
      </w:r>
      <w:proofErr w:type="spellEnd"/>
      <w:r w:rsidRPr="005101C5">
        <w:t xml:space="preserve"> (</w:t>
      </w:r>
      <w:r w:rsidR="004766CE" w:rsidRPr="005101C5">
        <w:t>Australia</w:t>
      </w:r>
      <w:r w:rsidRPr="005101C5">
        <w:t>) Pty Ltd.</w:t>
      </w:r>
    </w:p>
    <w:p w14:paraId="739E4010" w14:textId="77777777" w:rsidR="00AE14A8" w:rsidRPr="005101C5" w:rsidRDefault="00AE14A8" w:rsidP="00B96BF5">
      <w:pPr>
        <w:numPr>
          <w:ilvl w:val="0"/>
          <w:numId w:val="8"/>
        </w:numPr>
        <w:tabs>
          <w:tab w:val="num" w:pos="567"/>
        </w:tabs>
        <w:spacing w:before="120" w:after="120"/>
        <w:ind w:left="0" w:firstLine="0"/>
      </w:pPr>
      <w:r w:rsidRPr="005101C5">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190C94EF" w14:textId="77777777" w:rsidR="00AE14A8" w:rsidRPr="005101C5" w:rsidRDefault="00AE14A8" w:rsidP="00B96BF5">
      <w:pPr>
        <w:numPr>
          <w:ilvl w:val="0"/>
          <w:numId w:val="8"/>
        </w:numPr>
        <w:tabs>
          <w:tab w:val="num" w:pos="567"/>
        </w:tabs>
        <w:spacing w:before="120" w:after="120"/>
        <w:ind w:left="0" w:firstLine="0"/>
      </w:pPr>
      <w:r w:rsidRPr="005101C5">
        <w:t>To the extent that any activity by a trial participant may be considered to be a dealing for purposes of the Act, that dealing is authorised by this licence.</w:t>
      </w:r>
    </w:p>
    <w:p w14:paraId="12BA56B0" w14:textId="77777777" w:rsidR="00AE14A8" w:rsidRPr="005101C5" w:rsidRDefault="00AE14A8" w:rsidP="00B96BF5">
      <w:pPr>
        <w:numPr>
          <w:ilvl w:val="0"/>
          <w:numId w:val="8"/>
        </w:numPr>
        <w:tabs>
          <w:tab w:val="num" w:pos="567"/>
        </w:tabs>
        <w:spacing w:before="120" w:after="120"/>
        <w:ind w:left="0" w:firstLine="0"/>
      </w:pPr>
      <w:bookmarkStart w:id="18" w:name="_Ref455572950"/>
      <w:r w:rsidRPr="005101C5">
        <w:t>The only dealings authorised by this licence are to:</w:t>
      </w:r>
      <w:bookmarkEnd w:id="18"/>
    </w:p>
    <w:p w14:paraId="119C6AD1" w14:textId="77777777" w:rsidR="00AE14A8" w:rsidRPr="005101C5" w:rsidRDefault="00AE14A8" w:rsidP="00B96BF5">
      <w:pPr>
        <w:numPr>
          <w:ilvl w:val="0"/>
          <w:numId w:val="10"/>
        </w:numPr>
        <w:tabs>
          <w:tab w:val="clear" w:pos="1505"/>
          <w:tab w:val="num" w:pos="1134"/>
        </w:tabs>
        <w:spacing w:before="120" w:after="120"/>
        <w:ind w:left="1134" w:hanging="567"/>
      </w:pPr>
      <w:r w:rsidRPr="005101C5">
        <w:t>import the GMO;</w:t>
      </w:r>
    </w:p>
    <w:p w14:paraId="38BA9557" w14:textId="77777777" w:rsidR="00AE14A8" w:rsidRPr="005101C5" w:rsidRDefault="00AE14A8" w:rsidP="00B96BF5">
      <w:pPr>
        <w:numPr>
          <w:ilvl w:val="0"/>
          <w:numId w:val="10"/>
        </w:numPr>
        <w:tabs>
          <w:tab w:val="num" w:pos="1134"/>
        </w:tabs>
        <w:spacing w:before="120" w:after="120"/>
        <w:ind w:left="1134" w:hanging="567"/>
      </w:pPr>
      <w:r w:rsidRPr="005101C5">
        <w:t>conduct the following experiments with the GMO:</w:t>
      </w:r>
    </w:p>
    <w:p w14:paraId="68FFF408" w14:textId="351DF2B6" w:rsidR="00AE14A8" w:rsidRPr="005101C5" w:rsidRDefault="00AE14A8" w:rsidP="00B96BF5">
      <w:pPr>
        <w:numPr>
          <w:ilvl w:val="0"/>
          <w:numId w:val="9"/>
        </w:numPr>
        <w:tabs>
          <w:tab w:val="clear" w:pos="1505"/>
          <w:tab w:val="num" w:pos="1701"/>
        </w:tabs>
        <w:spacing w:before="120" w:after="120"/>
        <w:ind w:left="1701" w:hanging="283"/>
      </w:pPr>
      <w:r w:rsidRPr="005101C5">
        <w:t>administration of the GMO to trial participants by nasal administration</w:t>
      </w:r>
      <w:r w:rsidR="000C4DE5" w:rsidRPr="005101C5">
        <w:t>, intramuscular injection</w:t>
      </w:r>
      <w:r w:rsidR="00343F99" w:rsidRPr="005101C5">
        <w:t xml:space="preserve"> or subcutaneous injection</w:t>
      </w:r>
      <w:r w:rsidRPr="005101C5">
        <w:t>;</w:t>
      </w:r>
    </w:p>
    <w:p w14:paraId="3E41D769" w14:textId="77777777" w:rsidR="00AE14A8" w:rsidRPr="005101C5" w:rsidRDefault="00AE14A8" w:rsidP="00B96BF5">
      <w:pPr>
        <w:numPr>
          <w:ilvl w:val="0"/>
          <w:numId w:val="9"/>
        </w:numPr>
        <w:tabs>
          <w:tab w:val="clear" w:pos="1505"/>
          <w:tab w:val="num" w:pos="1701"/>
        </w:tabs>
        <w:spacing w:before="120" w:after="120"/>
        <w:ind w:left="1701" w:hanging="283"/>
      </w:pPr>
      <w:r w:rsidRPr="005101C5">
        <w:t>collection of samples that may reasonably be expected to contain the GMO from trial participants; and</w:t>
      </w:r>
    </w:p>
    <w:p w14:paraId="7EF19E53" w14:textId="77777777" w:rsidR="00AE14A8" w:rsidRPr="005101C5" w:rsidRDefault="00AE14A8" w:rsidP="00B96BF5">
      <w:pPr>
        <w:numPr>
          <w:ilvl w:val="0"/>
          <w:numId w:val="9"/>
        </w:numPr>
        <w:tabs>
          <w:tab w:val="clear" w:pos="1505"/>
          <w:tab w:val="num" w:pos="1701"/>
        </w:tabs>
        <w:spacing w:before="120" w:after="120"/>
        <w:ind w:left="1701" w:hanging="283"/>
      </w:pPr>
      <w:r w:rsidRPr="005101C5">
        <w:rPr>
          <w:i/>
        </w:rPr>
        <w:t>in vitro</w:t>
      </w:r>
      <w:r w:rsidRPr="005101C5">
        <w:t xml:space="preserve"> analysis of the samples mentioned in (b)(ii).</w:t>
      </w:r>
    </w:p>
    <w:p w14:paraId="1653C56C" w14:textId="77777777" w:rsidR="00AE14A8" w:rsidRPr="005101C5" w:rsidRDefault="00AE14A8" w:rsidP="00B96BF5">
      <w:pPr>
        <w:numPr>
          <w:ilvl w:val="0"/>
          <w:numId w:val="10"/>
        </w:numPr>
        <w:tabs>
          <w:tab w:val="num" w:pos="1134"/>
        </w:tabs>
        <w:spacing w:before="120" w:after="120"/>
        <w:ind w:left="1134" w:hanging="567"/>
      </w:pPr>
      <w:r w:rsidRPr="005101C5">
        <w:t>transport the GMO;</w:t>
      </w:r>
    </w:p>
    <w:p w14:paraId="26C99009" w14:textId="77777777" w:rsidR="00AE14A8" w:rsidRPr="005101C5" w:rsidRDefault="00AE14A8" w:rsidP="00B96BF5">
      <w:pPr>
        <w:numPr>
          <w:ilvl w:val="0"/>
          <w:numId w:val="10"/>
        </w:numPr>
        <w:tabs>
          <w:tab w:val="num" w:pos="1134"/>
        </w:tabs>
        <w:spacing w:before="120" w:after="120"/>
        <w:ind w:left="1134" w:hanging="567"/>
      </w:pPr>
      <w:r w:rsidRPr="005101C5">
        <w:t>dispose of the GMO;</w:t>
      </w:r>
    </w:p>
    <w:p w14:paraId="1DA76DE8" w14:textId="77777777" w:rsidR="00AE14A8" w:rsidRPr="005101C5" w:rsidRDefault="00AE14A8" w:rsidP="00AE14A8">
      <w:pPr>
        <w:tabs>
          <w:tab w:val="left" w:pos="567"/>
        </w:tabs>
        <w:spacing w:before="120" w:after="120"/>
      </w:pPr>
      <w:r w:rsidRPr="005101C5">
        <w:t xml:space="preserve">and possession, storage, supply and use of the GMO </w:t>
      </w:r>
      <w:proofErr w:type="gramStart"/>
      <w:r w:rsidRPr="005101C5">
        <w:t>in the course of</w:t>
      </w:r>
      <w:proofErr w:type="gramEnd"/>
      <w:r w:rsidRPr="005101C5">
        <w:t xml:space="preserve"> any of these dealings.</w:t>
      </w:r>
    </w:p>
    <w:p w14:paraId="3B301F72" w14:textId="77777777" w:rsidR="00AE14A8" w:rsidRPr="005101C5" w:rsidRDefault="005C5929" w:rsidP="0063657C">
      <w:pPr>
        <w:pStyle w:val="3RARMP"/>
        <w:spacing w:before="240"/>
        <w:rPr>
          <w:rFonts w:eastAsia="Times New Roman"/>
        </w:rPr>
      </w:pPr>
      <w:bookmarkStart w:id="19" w:name="_Toc437596421"/>
      <w:r w:rsidRPr="005101C5">
        <w:rPr>
          <w:rFonts w:eastAsia="Times New Roman"/>
        </w:rPr>
        <w:t>General c</w:t>
      </w:r>
      <w:r w:rsidR="00990E83" w:rsidRPr="005101C5">
        <w:rPr>
          <w:rFonts w:eastAsia="Times New Roman"/>
        </w:rPr>
        <w:t>onditions on</w:t>
      </w:r>
      <w:r w:rsidR="00AE14A8" w:rsidRPr="005101C5">
        <w:rPr>
          <w:rFonts w:eastAsia="Times New Roman"/>
        </w:rPr>
        <w:t xml:space="preserve"> the Licence Holder</w:t>
      </w:r>
      <w:bookmarkEnd w:id="19"/>
    </w:p>
    <w:p w14:paraId="40331ACD" w14:textId="77777777" w:rsidR="00AE14A8" w:rsidRPr="005101C5" w:rsidRDefault="00AE14A8" w:rsidP="00B96BF5">
      <w:pPr>
        <w:numPr>
          <w:ilvl w:val="0"/>
          <w:numId w:val="8"/>
        </w:numPr>
        <w:tabs>
          <w:tab w:val="num" w:pos="567"/>
        </w:tabs>
        <w:spacing w:before="120" w:after="120"/>
        <w:ind w:left="0" w:firstLine="0"/>
      </w:pPr>
      <w:r w:rsidRPr="005101C5">
        <w:t>The licence holder must immediately notify the Regulator in writing if any of the details of the contact person for the licence change.</w:t>
      </w:r>
    </w:p>
    <w:p w14:paraId="039801C5" w14:textId="77777777" w:rsidR="00AE14A8" w:rsidRPr="005101C5" w:rsidRDefault="00AE14A8" w:rsidP="00AE14A8">
      <w:pPr>
        <w:spacing w:before="120" w:after="120"/>
        <w:rPr>
          <w:i/>
        </w:rPr>
      </w:pPr>
      <w:r w:rsidRPr="005101C5">
        <w:rPr>
          <w:i/>
        </w:rPr>
        <w:t>Note: please address correspondence to ogtr.applications@health.gov.au.</w:t>
      </w:r>
    </w:p>
    <w:p w14:paraId="79888721" w14:textId="77777777" w:rsidR="00AE14A8" w:rsidRPr="005101C5" w:rsidRDefault="00AE14A8" w:rsidP="00AE14A8">
      <w:pPr>
        <w:spacing w:before="120" w:after="120"/>
        <w:rPr>
          <w:i/>
        </w:rPr>
      </w:pPr>
      <w:r w:rsidRPr="005101C5">
        <w:rPr>
          <w:i/>
        </w:rPr>
        <w:t>Prior to issuing a licence, the Regulator considers suitability of the applicant to hold a licence. The following conditions address ongoing suitability of the licence holder.</w:t>
      </w:r>
    </w:p>
    <w:p w14:paraId="05B4EF68" w14:textId="77777777" w:rsidR="00AE14A8" w:rsidRPr="005101C5" w:rsidRDefault="00AE14A8" w:rsidP="00B96BF5">
      <w:pPr>
        <w:numPr>
          <w:ilvl w:val="0"/>
          <w:numId w:val="8"/>
        </w:numPr>
        <w:tabs>
          <w:tab w:val="num" w:pos="567"/>
        </w:tabs>
        <w:spacing w:before="120" w:after="120"/>
        <w:ind w:left="0" w:firstLine="0"/>
      </w:pPr>
      <w:r w:rsidRPr="005101C5">
        <w:t>The licence holder must, at all times, remain an accredited organisation in accordance with the Act and must comply with its instrument of accreditation.</w:t>
      </w:r>
    </w:p>
    <w:p w14:paraId="09512A59" w14:textId="77777777" w:rsidR="00AE14A8" w:rsidRPr="005101C5" w:rsidRDefault="00AE14A8" w:rsidP="00B96BF5">
      <w:pPr>
        <w:numPr>
          <w:ilvl w:val="0"/>
          <w:numId w:val="8"/>
        </w:numPr>
        <w:tabs>
          <w:tab w:val="num" w:pos="567"/>
        </w:tabs>
        <w:spacing w:before="120" w:after="120"/>
        <w:ind w:left="0" w:firstLine="0"/>
      </w:pPr>
      <w:r w:rsidRPr="005101C5">
        <w:t>The licence holder must:</w:t>
      </w:r>
    </w:p>
    <w:p w14:paraId="09D24957" w14:textId="77777777" w:rsidR="00AE14A8" w:rsidRPr="005101C5" w:rsidRDefault="00AE14A8" w:rsidP="00B96BF5">
      <w:pPr>
        <w:numPr>
          <w:ilvl w:val="0"/>
          <w:numId w:val="17"/>
        </w:numPr>
        <w:tabs>
          <w:tab w:val="clear" w:pos="1505"/>
          <w:tab w:val="num" w:pos="1134"/>
        </w:tabs>
        <w:spacing w:before="120" w:after="120"/>
        <w:ind w:left="1134" w:hanging="567"/>
      </w:pPr>
      <w:r w:rsidRPr="005101C5">
        <w:t>inform the Regulator immediately in writing, of:</w:t>
      </w:r>
    </w:p>
    <w:p w14:paraId="63543A23" w14:textId="77777777" w:rsidR="00AE14A8" w:rsidRPr="005101C5" w:rsidRDefault="00AE14A8" w:rsidP="00B96BF5">
      <w:pPr>
        <w:pStyle w:val="roman"/>
        <w:numPr>
          <w:ilvl w:val="0"/>
          <w:numId w:val="21"/>
        </w:numPr>
        <w:tabs>
          <w:tab w:val="clear" w:pos="720"/>
          <w:tab w:val="num" w:pos="1701"/>
        </w:tabs>
        <w:ind w:left="1701" w:hanging="283"/>
      </w:pPr>
      <w:r w:rsidRPr="005101C5">
        <w:t>any relevant conviction of the licence holder occurring after the commencement of this licence; and</w:t>
      </w:r>
    </w:p>
    <w:p w14:paraId="31473F03" w14:textId="77777777" w:rsidR="00AE14A8" w:rsidRPr="005101C5" w:rsidRDefault="00AE14A8" w:rsidP="00B96BF5">
      <w:pPr>
        <w:numPr>
          <w:ilvl w:val="0"/>
          <w:numId w:val="5"/>
        </w:numPr>
        <w:tabs>
          <w:tab w:val="clear" w:pos="720"/>
          <w:tab w:val="num" w:pos="1701"/>
        </w:tabs>
        <w:spacing w:before="120" w:after="120"/>
        <w:ind w:left="1701" w:hanging="283"/>
      </w:pPr>
      <w:r w:rsidRPr="005101C5">
        <w:t>any revocation or suspension of a licence or permit held by the licence holder under a law of the Australian Government, a State or a foreign country, being a law relating to the health and safety of people or the environment; and</w:t>
      </w:r>
    </w:p>
    <w:p w14:paraId="154917F4" w14:textId="77777777" w:rsidR="00AE14A8" w:rsidRPr="005101C5" w:rsidRDefault="00AE14A8" w:rsidP="00B96BF5">
      <w:pPr>
        <w:numPr>
          <w:ilvl w:val="0"/>
          <w:numId w:val="5"/>
        </w:numPr>
        <w:tabs>
          <w:tab w:val="clear" w:pos="720"/>
          <w:tab w:val="num" w:pos="1701"/>
        </w:tabs>
        <w:spacing w:before="120" w:after="120"/>
        <w:ind w:left="1701" w:hanging="283"/>
      </w:pPr>
      <w:r w:rsidRPr="005101C5">
        <w:lastRenderedPageBreak/>
        <w:t>any event or circumstances occurring after the commencement of this licence that would affect the capacity of the holder of this licence to meet the conditions in it; and</w:t>
      </w:r>
    </w:p>
    <w:p w14:paraId="3028B885" w14:textId="77777777" w:rsidR="00AE14A8" w:rsidRPr="005101C5" w:rsidRDefault="00AE14A8" w:rsidP="00B96BF5">
      <w:pPr>
        <w:numPr>
          <w:ilvl w:val="0"/>
          <w:numId w:val="17"/>
        </w:numPr>
        <w:tabs>
          <w:tab w:val="clear" w:pos="1505"/>
          <w:tab w:val="num" w:pos="1134"/>
        </w:tabs>
        <w:spacing w:before="120" w:after="120"/>
        <w:ind w:left="1134" w:hanging="567"/>
      </w:pPr>
      <w:r w:rsidRPr="005101C5">
        <w:t>provide any information related to the licence holder's ongoing suitability to hold a licence, if requested, within the stipulated timeframe.</w:t>
      </w:r>
    </w:p>
    <w:p w14:paraId="253B87BB" w14:textId="77777777" w:rsidR="00AE14A8" w:rsidRPr="005101C5" w:rsidRDefault="00AE14A8" w:rsidP="00AE14A8">
      <w:pPr>
        <w:spacing w:before="120" w:after="120"/>
        <w:rPr>
          <w:i/>
        </w:rPr>
      </w:pPr>
      <w:r w:rsidRPr="005101C5">
        <w:rPr>
          <w:i/>
        </w:rPr>
        <w:t>The following conditions seek to ensure that persons conducting the dealings are aware of the licence conditions and appropriate processes are in place to inform people of their obligations.</w:t>
      </w:r>
    </w:p>
    <w:p w14:paraId="77D2DA5C" w14:textId="77777777" w:rsidR="00AE14A8" w:rsidRPr="005101C5" w:rsidRDefault="00AE14A8" w:rsidP="00B96BF5">
      <w:pPr>
        <w:numPr>
          <w:ilvl w:val="0"/>
          <w:numId w:val="8"/>
        </w:numPr>
        <w:shd w:val="clear" w:color="auto" w:fill="FFFFFF"/>
        <w:tabs>
          <w:tab w:val="num" w:pos="567"/>
        </w:tabs>
        <w:spacing w:before="120" w:after="120"/>
        <w:ind w:left="0" w:firstLine="0"/>
      </w:pPr>
      <w:bookmarkStart w:id="20" w:name="_Ref436220003"/>
      <w:bookmarkStart w:id="21" w:name="_Ref436396435"/>
      <w:r w:rsidRPr="005101C5">
        <w:t>Before commencing the clinical trial with the GMO at each Study Site or Analytical facility, the licence holder must provide the Regulator with:</w:t>
      </w:r>
      <w:bookmarkEnd w:id="20"/>
      <w:bookmarkEnd w:id="21"/>
    </w:p>
    <w:p w14:paraId="6F0FFBEC" w14:textId="77777777" w:rsidR="00AE14A8" w:rsidRPr="005101C5" w:rsidRDefault="00AE14A8" w:rsidP="00B96BF5">
      <w:pPr>
        <w:numPr>
          <w:ilvl w:val="0"/>
          <w:numId w:val="18"/>
        </w:numPr>
        <w:shd w:val="clear" w:color="auto" w:fill="FFFFFF"/>
        <w:tabs>
          <w:tab w:val="clear" w:pos="1505"/>
          <w:tab w:val="num" w:pos="1134"/>
        </w:tabs>
        <w:spacing w:before="120" w:after="120"/>
        <w:ind w:left="1134" w:hanging="567"/>
      </w:pPr>
      <w:r w:rsidRPr="005101C5">
        <w:t>the names of all organisations and persons</w:t>
      </w:r>
      <w:r w:rsidR="009E0F0B" w:rsidRPr="005101C5">
        <w:t xml:space="preserve"> (other than trial participants)</w:t>
      </w:r>
      <w:r w:rsidRPr="005101C5">
        <w:t>, or functions or positions of persons, who will be covered by the licence at that Study Site or Analytical facility, with a description of their responsibilities; and</w:t>
      </w:r>
    </w:p>
    <w:p w14:paraId="53407A5B" w14:textId="77777777" w:rsidR="00AE14A8" w:rsidRPr="005101C5" w:rsidRDefault="00AE14A8" w:rsidP="00AE14A8">
      <w:pPr>
        <w:shd w:val="clear" w:color="auto" w:fill="FFFFFF"/>
        <w:spacing w:before="120" w:after="240"/>
        <w:ind w:left="567"/>
        <w:rPr>
          <w:i/>
        </w:rPr>
      </w:pPr>
      <w:r w:rsidRPr="005101C5">
        <w:rPr>
          <w:i/>
        </w:rPr>
        <w:t>Note: Examples of functions or positions are ‘Principal Investigator’, ‘Clinical research assistant’ etc.</w:t>
      </w:r>
    </w:p>
    <w:p w14:paraId="6BA2C501" w14:textId="77777777" w:rsidR="00AE14A8" w:rsidRPr="005101C5" w:rsidRDefault="00AE14A8" w:rsidP="00B96BF5">
      <w:pPr>
        <w:numPr>
          <w:ilvl w:val="0"/>
          <w:numId w:val="18"/>
        </w:numPr>
        <w:shd w:val="clear" w:color="auto" w:fill="FFFFFF"/>
        <w:tabs>
          <w:tab w:val="clear" w:pos="1505"/>
          <w:tab w:val="num" w:pos="1134"/>
        </w:tabs>
        <w:spacing w:before="120" w:after="120"/>
        <w:ind w:left="1134" w:hanging="567"/>
      </w:pPr>
      <w:r w:rsidRPr="005101C5">
        <w:t>details of how the persons covered by the licence will be informed of licence conditions;</w:t>
      </w:r>
    </w:p>
    <w:p w14:paraId="5E6CB04C" w14:textId="77777777" w:rsidR="00AE14A8" w:rsidRPr="005101C5" w:rsidRDefault="00AE14A8" w:rsidP="00AE14A8">
      <w:pPr>
        <w:shd w:val="clear" w:color="auto" w:fill="FFFFFF"/>
        <w:spacing w:before="120" w:after="240"/>
        <w:ind w:left="567"/>
        <w:rPr>
          <w:i/>
        </w:rPr>
      </w:pPr>
      <w:r w:rsidRPr="005101C5">
        <w:rPr>
          <w:i/>
        </w:rPr>
        <w:t>Note: this may include training, labelling, contractual agreements with other organisations such as contract research organisations, clinical waste treatment providers and courier companies, etc.</w:t>
      </w:r>
    </w:p>
    <w:p w14:paraId="0AB4340C" w14:textId="77777777" w:rsidR="00AE14A8" w:rsidRPr="005101C5" w:rsidRDefault="00AE14A8" w:rsidP="00B96BF5">
      <w:pPr>
        <w:numPr>
          <w:ilvl w:val="0"/>
          <w:numId w:val="18"/>
        </w:numPr>
        <w:shd w:val="clear" w:color="auto" w:fill="FFFFFF"/>
        <w:tabs>
          <w:tab w:val="clear" w:pos="1505"/>
          <w:tab w:val="num" w:pos="1134"/>
        </w:tabs>
        <w:spacing w:before="120" w:after="120"/>
        <w:ind w:left="1134" w:hanging="567"/>
      </w:pPr>
      <w:r w:rsidRPr="005101C5">
        <w:t>details of how the licence holder will ensure compliance with licence conditions at the Study Site</w:t>
      </w:r>
      <w:r w:rsidRPr="005101C5" w:rsidDel="00707E51">
        <w:t xml:space="preserve"> </w:t>
      </w:r>
      <w:r w:rsidRPr="005101C5">
        <w:t>or Analytical facility over the period that dealings are being conducted at the Study Site or Analytical facility.</w:t>
      </w:r>
    </w:p>
    <w:p w14:paraId="3E3D5B12" w14:textId="77777777" w:rsidR="00AE14A8" w:rsidRPr="005101C5" w:rsidRDefault="00AE14A8" w:rsidP="00AE14A8">
      <w:pPr>
        <w:shd w:val="clear" w:color="auto" w:fill="FFFFFF"/>
        <w:spacing w:before="120" w:after="240"/>
        <w:ind w:left="567"/>
        <w:rPr>
          <w:i/>
        </w:rPr>
      </w:pPr>
      <w:r w:rsidRPr="005101C5">
        <w:rPr>
          <w:i/>
        </w:rPr>
        <w:t xml:space="preserve">Note: this may include a description of any contracts, agreements, or other enforceable arrangements. </w:t>
      </w:r>
    </w:p>
    <w:p w14:paraId="52DB898B" w14:textId="77777777" w:rsidR="00AE14A8" w:rsidRPr="005101C5" w:rsidRDefault="00AE14A8" w:rsidP="00B96BF5">
      <w:pPr>
        <w:numPr>
          <w:ilvl w:val="0"/>
          <w:numId w:val="8"/>
        </w:numPr>
        <w:tabs>
          <w:tab w:val="num" w:pos="567"/>
        </w:tabs>
        <w:spacing w:before="120" w:after="120"/>
        <w:ind w:left="0" w:firstLine="0"/>
      </w:pPr>
      <w:r w:rsidRPr="005101C5">
        <w:t xml:space="preserve">Any changes to the information required under Condition </w:t>
      </w:r>
      <w:r w:rsidRPr="005101C5">
        <w:fldChar w:fldCharType="begin"/>
      </w:r>
      <w:r w:rsidRPr="005101C5">
        <w:instrText xml:space="preserve"> REF _Ref436396435 \r \h </w:instrText>
      </w:r>
      <w:r w:rsidRPr="005101C5">
        <w:fldChar w:fldCharType="separate"/>
      </w:r>
      <w:r w:rsidR="00C970C0" w:rsidRPr="005101C5">
        <w:t>12</w:t>
      </w:r>
      <w:r w:rsidRPr="005101C5">
        <w:fldChar w:fldCharType="end"/>
      </w:r>
      <w:r w:rsidRPr="005101C5">
        <w:t xml:space="preserve"> must be communicated in writing to the Regulator within 14 days of the changes occurring.</w:t>
      </w:r>
    </w:p>
    <w:p w14:paraId="4B3888B0" w14:textId="77777777" w:rsidR="00AE14A8" w:rsidRPr="005101C5" w:rsidRDefault="00AE14A8" w:rsidP="00B96BF5">
      <w:pPr>
        <w:numPr>
          <w:ilvl w:val="0"/>
          <w:numId w:val="8"/>
        </w:numPr>
        <w:tabs>
          <w:tab w:val="num" w:pos="567"/>
        </w:tabs>
        <w:spacing w:before="120" w:after="120"/>
        <w:ind w:left="0" w:firstLine="0"/>
      </w:pPr>
      <w:bookmarkStart w:id="22" w:name="_Ref433123468"/>
      <w:r w:rsidRPr="005101C5">
        <w:t>The licence holder must inform any person covered by this licence, to whom a particular condition of this licence applies, of the following:</w:t>
      </w:r>
      <w:bookmarkEnd w:id="22"/>
    </w:p>
    <w:p w14:paraId="52E0B70E" w14:textId="77777777" w:rsidR="00AE14A8" w:rsidRPr="005101C5" w:rsidRDefault="00AE14A8" w:rsidP="00B96BF5">
      <w:pPr>
        <w:numPr>
          <w:ilvl w:val="0"/>
          <w:numId w:val="19"/>
        </w:numPr>
        <w:tabs>
          <w:tab w:val="clear" w:pos="1505"/>
          <w:tab w:val="num" w:pos="1134"/>
        </w:tabs>
        <w:spacing w:before="120" w:after="120"/>
        <w:ind w:left="1134" w:hanging="567"/>
      </w:pPr>
      <w:r w:rsidRPr="005101C5">
        <w:t>the particular condition (including any variations of it);</w:t>
      </w:r>
    </w:p>
    <w:p w14:paraId="11DB7C3D" w14:textId="77777777" w:rsidR="00AE14A8" w:rsidRPr="005101C5" w:rsidRDefault="00AE14A8" w:rsidP="00B96BF5">
      <w:pPr>
        <w:numPr>
          <w:ilvl w:val="0"/>
          <w:numId w:val="11"/>
        </w:numPr>
        <w:tabs>
          <w:tab w:val="clear" w:pos="1505"/>
          <w:tab w:val="num" w:pos="1134"/>
        </w:tabs>
        <w:spacing w:before="120" w:after="120"/>
        <w:ind w:left="1134" w:hanging="567"/>
      </w:pPr>
      <w:r w:rsidRPr="005101C5">
        <w:t>the cancellation or suspension of the licence;</w:t>
      </w:r>
    </w:p>
    <w:p w14:paraId="2C39F612" w14:textId="77777777" w:rsidR="00AE14A8" w:rsidRPr="005101C5" w:rsidRDefault="00AE14A8" w:rsidP="00B96BF5">
      <w:pPr>
        <w:numPr>
          <w:ilvl w:val="0"/>
          <w:numId w:val="11"/>
        </w:numPr>
        <w:tabs>
          <w:tab w:val="clear" w:pos="1505"/>
          <w:tab w:val="num" w:pos="1134"/>
        </w:tabs>
        <w:spacing w:before="120" w:after="120"/>
        <w:ind w:left="1134" w:hanging="567"/>
      </w:pPr>
      <w:r w:rsidRPr="005101C5">
        <w:t>the surrender of the licence.</w:t>
      </w:r>
    </w:p>
    <w:p w14:paraId="46A1D613" w14:textId="0468AA74" w:rsidR="00AE14A8" w:rsidRPr="005101C5" w:rsidRDefault="00AE14A8" w:rsidP="00AE14A8">
      <w:pPr>
        <w:shd w:val="clear" w:color="auto" w:fill="FFFFFF"/>
        <w:spacing w:before="120" w:after="240"/>
        <w:rPr>
          <w:i/>
        </w:rPr>
      </w:pPr>
      <w:r w:rsidRPr="005101C5">
        <w:rPr>
          <w:i/>
        </w:rPr>
        <w:t>Note: No conditions of this</w:t>
      </w:r>
      <w:r w:rsidR="00846B3C" w:rsidRPr="005101C5">
        <w:rPr>
          <w:i/>
        </w:rPr>
        <w:t xml:space="preserve"> licence, including Condition 14</w:t>
      </w:r>
      <w:r w:rsidRPr="005101C5">
        <w:rPr>
          <w:i/>
        </w:rPr>
        <w:t xml:space="preserve">, apply to trial participants. Information required under Condition </w:t>
      </w:r>
      <w:r w:rsidRPr="005101C5">
        <w:rPr>
          <w:i/>
        </w:rPr>
        <w:fldChar w:fldCharType="begin"/>
      </w:r>
      <w:r w:rsidRPr="005101C5">
        <w:rPr>
          <w:i/>
        </w:rPr>
        <w:instrText xml:space="preserve"> REF _Ref433123468 \r \h  \* MERGEFORMAT </w:instrText>
      </w:r>
      <w:r w:rsidRPr="005101C5">
        <w:rPr>
          <w:i/>
        </w:rPr>
      </w:r>
      <w:r w:rsidRPr="005101C5">
        <w:rPr>
          <w:i/>
        </w:rPr>
        <w:fldChar w:fldCharType="separate"/>
      </w:r>
      <w:r w:rsidR="00C970C0" w:rsidRPr="005101C5">
        <w:rPr>
          <w:i/>
        </w:rPr>
        <w:t>14</w:t>
      </w:r>
      <w:r w:rsidRPr="005101C5">
        <w:rPr>
          <w:i/>
        </w:rPr>
        <w:fldChar w:fldCharType="end"/>
      </w:r>
      <w:r w:rsidRPr="005101C5">
        <w:rPr>
          <w:i/>
        </w:rPr>
        <w:t xml:space="preserve"> may be provided to contractors who are engaged solely for the transport and/or disposal of the GMOs through labelling the outermost container of the GMOs.</w:t>
      </w:r>
    </w:p>
    <w:p w14:paraId="499E5FF5" w14:textId="77777777" w:rsidR="00AE14A8" w:rsidRPr="005101C5" w:rsidRDefault="00AE14A8" w:rsidP="00B96BF5">
      <w:pPr>
        <w:numPr>
          <w:ilvl w:val="0"/>
          <w:numId w:val="8"/>
        </w:numPr>
        <w:tabs>
          <w:tab w:val="num" w:pos="567"/>
        </w:tabs>
        <w:spacing w:before="120" w:after="120"/>
        <w:ind w:left="0" w:firstLine="0"/>
      </w:pPr>
      <w:bookmarkStart w:id="23" w:name="_Ref433123863"/>
      <w:r w:rsidRPr="005101C5">
        <w:t xml:space="preserve">Subject to condition </w:t>
      </w:r>
      <w:r w:rsidRPr="005101C5">
        <w:fldChar w:fldCharType="begin"/>
      </w:r>
      <w:r w:rsidRPr="005101C5">
        <w:instrText xml:space="preserve"> REF _Ref436257043 \r \h </w:instrText>
      </w:r>
      <w:r w:rsidRPr="005101C5">
        <w:fldChar w:fldCharType="separate"/>
      </w:r>
      <w:r w:rsidR="00C970C0" w:rsidRPr="005101C5">
        <w:t>16</w:t>
      </w:r>
      <w:r w:rsidRPr="005101C5">
        <w:fldChar w:fldCharType="end"/>
      </w:r>
      <w:r w:rsidRPr="005101C5">
        <w:t>, the licence holder must not permit a person covered by this licence to conduct any dealing unless:</w:t>
      </w:r>
      <w:bookmarkEnd w:id="23"/>
    </w:p>
    <w:p w14:paraId="5BD417AA" w14:textId="77777777" w:rsidR="00AE14A8" w:rsidRPr="005101C5" w:rsidRDefault="00AE14A8" w:rsidP="00B96BF5">
      <w:pPr>
        <w:numPr>
          <w:ilvl w:val="0"/>
          <w:numId w:val="20"/>
        </w:numPr>
        <w:tabs>
          <w:tab w:val="clear" w:pos="1505"/>
          <w:tab w:val="num" w:pos="1134"/>
        </w:tabs>
        <w:spacing w:before="120" w:after="120"/>
        <w:ind w:left="1134" w:hanging="567"/>
      </w:pPr>
      <w:r w:rsidRPr="005101C5">
        <w:t>the person has been informed of the licence conditions, including any variation of the licence; and</w:t>
      </w:r>
    </w:p>
    <w:p w14:paraId="729CB08B" w14:textId="77777777" w:rsidR="00AE14A8" w:rsidRPr="005101C5" w:rsidRDefault="00AE14A8" w:rsidP="00B96BF5">
      <w:pPr>
        <w:numPr>
          <w:ilvl w:val="0"/>
          <w:numId w:val="12"/>
        </w:numPr>
        <w:tabs>
          <w:tab w:val="num" w:pos="1134"/>
        </w:tabs>
        <w:spacing w:before="120" w:after="120"/>
        <w:ind w:left="1134" w:hanging="567"/>
      </w:pPr>
      <w:bookmarkStart w:id="24" w:name="_Ref436257288"/>
      <w:r w:rsidRPr="005101C5">
        <w:t>the person has been trained in a manner which enables them to:</w:t>
      </w:r>
    </w:p>
    <w:p w14:paraId="002DB1E5" w14:textId="77777777" w:rsidR="00AE14A8" w:rsidRPr="005101C5" w:rsidRDefault="00AE14A8" w:rsidP="00B96BF5">
      <w:pPr>
        <w:pStyle w:val="roman"/>
        <w:numPr>
          <w:ilvl w:val="0"/>
          <w:numId w:val="44"/>
        </w:numPr>
      </w:pPr>
      <w:r w:rsidRPr="005101C5">
        <w:lastRenderedPageBreak/>
        <w:t>safely conduct the dealings in accordance with the conditions of this licence; and</w:t>
      </w:r>
    </w:p>
    <w:p w14:paraId="740E5928" w14:textId="77777777" w:rsidR="00AE14A8" w:rsidRPr="005101C5" w:rsidRDefault="00AE14A8" w:rsidP="00B96BF5">
      <w:pPr>
        <w:pStyle w:val="roman"/>
        <w:numPr>
          <w:ilvl w:val="0"/>
          <w:numId w:val="44"/>
        </w:numPr>
        <w:ind w:left="1701" w:hanging="283"/>
      </w:pPr>
      <w:r w:rsidRPr="005101C5">
        <w:t>meet the work practices and behavioural requirements for conducting the dealings in Study Sites; and</w:t>
      </w:r>
    </w:p>
    <w:p w14:paraId="657F51DC" w14:textId="77777777" w:rsidR="00AE14A8" w:rsidRPr="005101C5" w:rsidRDefault="00AE14A8" w:rsidP="00B96BF5">
      <w:pPr>
        <w:numPr>
          <w:ilvl w:val="0"/>
          <w:numId w:val="12"/>
        </w:numPr>
        <w:tabs>
          <w:tab w:val="clear" w:pos="1505"/>
          <w:tab w:val="num" w:pos="1134"/>
        </w:tabs>
        <w:spacing w:before="120" w:after="120"/>
        <w:ind w:left="1134" w:hanging="567"/>
      </w:pPr>
      <w:r w:rsidRPr="005101C5">
        <w:t>the licence holder has obtained from the person a signed and dated statement that the person:</w:t>
      </w:r>
      <w:bookmarkEnd w:id="24"/>
    </w:p>
    <w:p w14:paraId="60745696" w14:textId="77777777" w:rsidR="00AE14A8" w:rsidRPr="005101C5" w:rsidRDefault="00AE14A8" w:rsidP="00B96BF5">
      <w:pPr>
        <w:pStyle w:val="roman"/>
        <w:numPr>
          <w:ilvl w:val="0"/>
          <w:numId w:val="44"/>
        </w:numPr>
        <w:ind w:left="1701" w:hanging="283"/>
      </w:pPr>
      <w:r w:rsidRPr="005101C5">
        <w:t>has been informed by the licence holder of the licence conditions including any variation of the licence; and</w:t>
      </w:r>
    </w:p>
    <w:p w14:paraId="6A2AA762" w14:textId="77777777" w:rsidR="00AE14A8" w:rsidRPr="005101C5" w:rsidRDefault="00AE14A8" w:rsidP="00B96BF5">
      <w:pPr>
        <w:pStyle w:val="roman"/>
        <w:numPr>
          <w:ilvl w:val="0"/>
          <w:numId w:val="44"/>
        </w:numPr>
        <w:ind w:left="1701" w:hanging="283"/>
      </w:pPr>
      <w:r w:rsidRPr="005101C5">
        <w:t>has understood and agreed to be bound by the licence conditions, or its variations; and</w:t>
      </w:r>
    </w:p>
    <w:p w14:paraId="01645437" w14:textId="77777777" w:rsidR="00AE14A8" w:rsidRPr="005101C5" w:rsidRDefault="00AE14A8" w:rsidP="00B96BF5">
      <w:pPr>
        <w:pStyle w:val="roman"/>
        <w:numPr>
          <w:ilvl w:val="0"/>
          <w:numId w:val="44"/>
        </w:numPr>
        <w:ind w:left="1701" w:hanging="283"/>
      </w:pPr>
      <w:r w:rsidRPr="005101C5">
        <w:t>has been trained in accordance with paragraph (b).</w:t>
      </w:r>
    </w:p>
    <w:p w14:paraId="00FF6DE5" w14:textId="77777777" w:rsidR="00AE14A8" w:rsidRPr="005101C5" w:rsidRDefault="00AE14A8" w:rsidP="00B96BF5">
      <w:pPr>
        <w:numPr>
          <w:ilvl w:val="0"/>
          <w:numId w:val="8"/>
        </w:numPr>
        <w:tabs>
          <w:tab w:val="num" w:pos="567"/>
        </w:tabs>
        <w:spacing w:before="120" w:after="120"/>
        <w:ind w:left="0" w:firstLine="0"/>
      </w:pPr>
      <w:bookmarkStart w:id="25" w:name="_Ref436257043"/>
      <w:bookmarkStart w:id="26" w:name="_Ref377666075"/>
      <w:r w:rsidRPr="005101C5">
        <w:t>The licence holder is not required to comply with any part of paragraph (b) or (c) of Condition </w:t>
      </w:r>
      <w:r w:rsidRPr="005101C5">
        <w:fldChar w:fldCharType="begin"/>
      </w:r>
      <w:r w:rsidRPr="005101C5">
        <w:instrText xml:space="preserve"> REF _Ref433123863 \r \h </w:instrText>
      </w:r>
      <w:r w:rsidRPr="005101C5">
        <w:fldChar w:fldCharType="separate"/>
      </w:r>
      <w:r w:rsidR="00C970C0" w:rsidRPr="005101C5">
        <w:t>15</w:t>
      </w:r>
      <w:r w:rsidRPr="005101C5">
        <w:fldChar w:fldCharType="end"/>
      </w:r>
      <w:r w:rsidRPr="005101C5">
        <w:t xml:space="preserve"> in relation to the following classes of person:</w:t>
      </w:r>
      <w:bookmarkEnd w:id="25"/>
    </w:p>
    <w:p w14:paraId="6227883D" w14:textId="77777777" w:rsidR="00AE14A8" w:rsidRPr="005101C5" w:rsidRDefault="00AE14A8" w:rsidP="00B96BF5">
      <w:pPr>
        <w:numPr>
          <w:ilvl w:val="0"/>
          <w:numId w:val="13"/>
        </w:numPr>
        <w:tabs>
          <w:tab w:val="clear" w:pos="720"/>
          <w:tab w:val="num" w:pos="1134"/>
        </w:tabs>
        <w:spacing w:before="120" w:after="120"/>
        <w:ind w:left="1134" w:hanging="567"/>
      </w:pPr>
      <w:r w:rsidRPr="005101C5">
        <w:t>personnel at Analytical facilities;</w:t>
      </w:r>
    </w:p>
    <w:p w14:paraId="21A26B48" w14:textId="77777777" w:rsidR="00AE14A8" w:rsidRPr="005101C5" w:rsidRDefault="00AE14A8" w:rsidP="00B96BF5">
      <w:pPr>
        <w:numPr>
          <w:ilvl w:val="0"/>
          <w:numId w:val="13"/>
        </w:numPr>
        <w:tabs>
          <w:tab w:val="clear" w:pos="720"/>
          <w:tab w:val="num" w:pos="1134"/>
        </w:tabs>
        <w:spacing w:before="120" w:after="120"/>
        <w:ind w:left="1134" w:hanging="567"/>
      </w:pPr>
      <w:r w:rsidRPr="005101C5">
        <w:t>contractors transporting the GMOs from the point of import directly to a Study Site, provided the consignment is:</w:t>
      </w:r>
    </w:p>
    <w:p w14:paraId="6EFA6F96" w14:textId="77777777" w:rsidR="00AE14A8" w:rsidRPr="005101C5" w:rsidRDefault="00AE14A8" w:rsidP="00B96BF5">
      <w:pPr>
        <w:numPr>
          <w:ilvl w:val="0"/>
          <w:numId w:val="14"/>
        </w:numPr>
        <w:spacing w:before="120" w:after="120"/>
        <w:ind w:left="1701" w:hanging="283"/>
      </w:pPr>
      <w:r w:rsidRPr="005101C5">
        <w:t xml:space="preserve">clearly labelled to indicate (at a minimum) that it contains GMOs and is authorised under the </w:t>
      </w:r>
      <w:r w:rsidRPr="005101C5">
        <w:rPr>
          <w:i/>
        </w:rPr>
        <w:t>Gene Technology Act 2000</w:t>
      </w:r>
      <w:r w:rsidRPr="005101C5">
        <w:t xml:space="preserve"> through licence DIR 144;</w:t>
      </w:r>
    </w:p>
    <w:p w14:paraId="1897C3CF" w14:textId="77777777" w:rsidR="00AE14A8" w:rsidRPr="005101C5" w:rsidRDefault="00AE14A8" w:rsidP="00B96BF5">
      <w:pPr>
        <w:numPr>
          <w:ilvl w:val="0"/>
          <w:numId w:val="14"/>
        </w:numPr>
        <w:spacing w:before="120" w:after="120"/>
        <w:ind w:left="1701" w:hanging="283"/>
      </w:pPr>
      <w:r w:rsidRPr="005101C5">
        <w:t>packaged and transported according to IATA requirements for class UN 3373; and</w:t>
      </w:r>
    </w:p>
    <w:p w14:paraId="113F887C" w14:textId="77777777" w:rsidR="00AE14A8" w:rsidRPr="005101C5" w:rsidRDefault="00AE14A8" w:rsidP="00B96BF5">
      <w:pPr>
        <w:numPr>
          <w:ilvl w:val="0"/>
          <w:numId w:val="14"/>
        </w:numPr>
        <w:spacing w:before="120" w:after="120"/>
        <w:ind w:left="1701" w:hanging="283"/>
      </w:pPr>
      <w:r w:rsidRPr="005101C5">
        <w:t>only to be transported within Australia from the point of import directly to a Study Site.</w:t>
      </w:r>
    </w:p>
    <w:p w14:paraId="4D63BDEF" w14:textId="77777777" w:rsidR="00AE14A8" w:rsidRPr="005101C5" w:rsidRDefault="00AE14A8" w:rsidP="00B96BF5">
      <w:pPr>
        <w:numPr>
          <w:ilvl w:val="0"/>
          <w:numId w:val="13"/>
        </w:numPr>
        <w:tabs>
          <w:tab w:val="clear" w:pos="720"/>
          <w:tab w:val="num" w:pos="1134"/>
        </w:tabs>
        <w:spacing w:before="120" w:after="120"/>
        <w:ind w:left="1134" w:hanging="567"/>
      </w:pPr>
      <w:r w:rsidRPr="005101C5">
        <w:t>contractors engaged solely for transport and/or disposal of the GMOs within Australia, or for export provided:</w:t>
      </w:r>
    </w:p>
    <w:p w14:paraId="067A5F35" w14:textId="77777777" w:rsidR="00AE14A8" w:rsidRPr="005101C5" w:rsidRDefault="00AE14A8" w:rsidP="00B96BF5">
      <w:pPr>
        <w:numPr>
          <w:ilvl w:val="0"/>
          <w:numId w:val="15"/>
        </w:numPr>
        <w:spacing w:before="120" w:after="120"/>
        <w:ind w:left="1701" w:hanging="283"/>
      </w:pPr>
      <w:r w:rsidRPr="005101C5">
        <w:t>the GMOs are double contained; and</w:t>
      </w:r>
    </w:p>
    <w:p w14:paraId="1FA31E84" w14:textId="77777777" w:rsidR="00AE14A8" w:rsidRPr="005101C5" w:rsidRDefault="00AE14A8" w:rsidP="00B96BF5">
      <w:pPr>
        <w:numPr>
          <w:ilvl w:val="0"/>
          <w:numId w:val="15"/>
        </w:numPr>
        <w:spacing w:before="120" w:after="120"/>
        <w:ind w:left="1701" w:hanging="283"/>
      </w:pPr>
      <w:r w:rsidRPr="005101C5">
        <w:t>the outermost container is labelled to indicate (at a minimum):</w:t>
      </w:r>
    </w:p>
    <w:p w14:paraId="4FD67283" w14:textId="77777777" w:rsidR="00AE14A8" w:rsidRPr="005101C5" w:rsidRDefault="00AE14A8" w:rsidP="00B96BF5">
      <w:pPr>
        <w:numPr>
          <w:ilvl w:val="0"/>
          <w:numId w:val="16"/>
        </w:numPr>
        <w:spacing w:before="120" w:after="120"/>
        <w:ind w:left="2127" w:hanging="426"/>
      </w:pPr>
      <w:r w:rsidRPr="005101C5">
        <w:t>that it contains GMOs;</w:t>
      </w:r>
    </w:p>
    <w:p w14:paraId="70F3ED25" w14:textId="77777777" w:rsidR="00AE14A8" w:rsidRPr="005101C5" w:rsidRDefault="00AE14A8" w:rsidP="00B96BF5">
      <w:pPr>
        <w:numPr>
          <w:ilvl w:val="0"/>
          <w:numId w:val="16"/>
        </w:numPr>
        <w:spacing w:before="120" w:after="120"/>
        <w:ind w:left="2127" w:hanging="426"/>
      </w:pPr>
      <w:r w:rsidRPr="005101C5">
        <w:t>the contact details for the licence holder; and</w:t>
      </w:r>
    </w:p>
    <w:p w14:paraId="58DD9150" w14:textId="77777777" w:rsidR="00AE14A8" w:rsidRPr="005101C5" w:rsidRDefault="00AE14A8" w:rsidP="00B96BF5">
      <w:pPr>
        <w:numPr>
          <w:ilvl w:val="0"/>
          <w:numId w:val="16"/>
        </w:numPr>
        <w:spacing w:before="120" w:after="120"/>
        <w:ind w:left="2127" w:hanging="426"/>
      </w:pPr>
      <w:r w:rsidRPr="005101C5">
        <w:t>instructions to notify the licence holder as soon as practicable in case of an unintentional release of the GMOs; and</w:t>
      </w:r>
    </w:p>
    <w:p w14:paraId="471C810E" w14:textId="77777777" w:rsidR="00AE14A8" w:rsidRPr="005101C5" w:rsidRDefault="00AE14A8" w:rsidP="00B96BF5">
      <w:pPr>
        <w:numPr>
          <w:ilvl w:val="0"/>
          <w:numId w:val="16"/>
        </w:numPr>
        <w:spacing w:before="120" w:after="120"/>
        <w:ind w:left="2127" w:hanging="426"/>
      </w:pPr>
      <w:r w:rsidRPr="005101C5">
        <w:t>where transport is for the purpose of disposal, that the GMOs must be destroyed by autoclaving, high-temperature incineration, chemical treatment or otherwise destroyed as clinical waste.</w:t>
      </w:r>
    </w:p>
    <w:bookmarkEnd w:id="26"/>
    <w:p w14:paraId="2B8FCB81" w14:textId="77777777" w:rsidR="00AE14A8" w:rsidRPr="005101C5" w:rsidRDefault="00AE14A8" w:rsidP="00B96BF5">
      <w:pPr>
        <w:keepNext/>
        <w:numPr>
          <w:ilvl w:val="0"/>
          <w:numId w:val="8"/>
        </w:numPr>
        <w:tabs>
          <w:tab w:val="num" w:pos="567"/>
        </w:tabs>
        <w:spacing w:before="120" w:after="120"/>
        <w:ind w:left="0" w:firstLine="0"/>
      </w:pPr>
      <w:r w:rsidRPr="005101C5">
        <w:t>The licence holder must:</w:t>
      </w:r>
    </w:p>
    <w:p w14:paraId="467EF066" w14:textId="77777777" w:rsidR="00AE14A8" w:rsidRPr="005101C5" w:rsidRDefault="00AE14A8" w:rsidP="00B96BF5">
      <w:pPr>
        <w:numPr>
          <w:ilvl w:val="0"/>
          <w:numId w:val="22"/>
        </w:numPr>
        <w:tabs>
          <w:tab w:val="clear" w:pos="1505"/>
          <w:tab w:val="num" w:pos="1134"/>
        </w:tabs>
        <w:spacing w:before="120" w:after="120"/>
        <w:ind w:left="1134" w:hanging="567"/>
      </w:pPr>
      <w:r w:rsidRPr="005101C5">
        <w:t>inform the persons covered by this licence that any Personal Information relevant to the administration and/or enforcement of the licence may be released to the Regulator; and</w:t>
      </w:r>
    </w:p>
    <w:p w14:paraId="0ED95F69" w14:textId="77777777" w:rsidR="00AE14A8" w:rsidRPr="005101C5" w:rsidRDefault="00AE14A8" w:rsidP="00B96BF5">
      <w:pPr>
        <w:numPr>
          <w:ilvl w:val="0"/>
          <w:numId w:val="22"/>
        </w:numPr>
        <w:tabs>
          <w:tab w:val="clear" w:pos="1505"/>
          <w:tab w:val="num" w:pos="1134"/>
        </w:tabs>
        <w:spacing w:before="120" w:after="120"/>
        <w:ind w:left="1134" w:hanging="567"/>
      </w:pPr>
      <w:r w:rsidRPr="005101C5">
        <w:t xml:space="preserve">provide the Regulator, if requested, with copies of the signed and dated statements referred to in Condition </w:t>
      </w:r>
      <w:r w:rsidRPr="005101C5">
        <w:fldChar w:fldCharType="begin"/>
      </w:r>
      <w:r w:rsidRPr="005101C5">
        <w:instrText xml:space="preserve"> REF _Ref433123863 \r \h </w:instrText>
      </w:r>
      <w:r w:rsidRPr="005101C5">
        <w:fldChar w:fldCharType="separate"/>
      </w:r>
      <w:r w:rsidR="00C970C0" w:rsidRPr="005101C5">
        <w:t>15</w:t>
      </w:r>
      <w:r w:rsidRPr="005101C5">
        <w:fldChar w:fldCharType="end"/>
      </w:r>
      <w:r w:rsidRPr="005101C5">
        <w:t>.</w:t>
      </w:r>
    </w:p>
    <w:p w14:paraId="442DF744" w14:textId="77777777" w:rsidR="00AE14A8" w:rsidRPr="005101C5" w:rsidRDefault="00AE14A8" w:rsidP="0063657C">
      <w:pPr>
        <w:pStyle w:val="3RARMP"/>
        <w:spacing w:before="240"/>
        <w:rPr>
          <w:rFonts w:eastAsia="Times New Roman"/>
        </w:rPr>
      </w:pPr>
      <w:bookmarkStart w:id="27" w:name="_Toc437596422"/>
      <w:r w:rsidRPr="005101C5">
        <w:rPr>
          <w:rFonts w:eastAsia="Times New Roman"/>
        </w:rPr>
        <w:lastRenderedPageBreak/>
        <w:t>Provision of new information to the Regulator</w:t>
      </w:r>
      <w:bookmarkEnd w:id="27"/>
    </w:p>
    <w:p w14:paraId="3273C76B" w14:textId="77777777" w:rsidR="00AE14A8" w:rsidRPr="005101C5" w:rsidRDefault="00AE14A8" w:rsidP="00AE14A8">
      <w:pPr>
        <w:spacing w:before="120" w:after="120"/>
        <w:rPr>
          <w:i/>
        </w:rPr>
      </w:pPr>
      <w:r w:rsidRPr="005101C5">
        <w:rPr>
          <w:i/>
        </w:rPr>
        <w:t xml:space="preserve">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 </w:t>
      </w:r>
    </w:p>
    <w:p w14:paraId="1EB613F0" w14:textId="77777777" w:rsidR="00AE14A8" w:rsidRPr="005101C5" w:rsidRDefault="00AE14A8" w:rsidP="00B96BF5">
      <w:pPr>
        <w:numPr>
          <w:ilvl w:val="0"/>
          <w:numId w:val="8"/>
        </w:numPr>
        <w:tabs>
          <w:tab w:val="clear" w:pos="720"/>
          <w:tab w:val="num" w:pos="567"/>
        </w:tabs>
        <w:spacing w:before="120" w:after="120"/>
        <w:ind w:left="0" w:firstLine="0"/>
      </w:pPr>
      <w:bookmarkStart w:id="28" w:name="_Ref433124310"/>
      <w:r w:rsidRPr="005101C5">
        <w:t>The licence holder must inform the Regulator, if the licence holder becomes aware of:</w:t>
      </w:r>
      <w:bookmarkEnd w:id="28"/>
    </w:p>
    <w:p w14:paraId="4A279D47" w14:textId="77777777" w:rsidR="00AE14A8" w:rsidRPr="005101C5" w:rsidRDefault="00AE14A8" w:rsidP="00B96BF5">
      <w:pPr>
        <w:numPr>
          <w:ilvl w:val="0"/>
          <w:numId w:val="23"/>
        </w:numPr>
        <w:tabs>
          <w:tab w:val="clear" w:pos="1505"/>
          <w:tab w:val="num" w:pos="1134"/>
        </w:tabs>
        <w:spacing w:before="120" w:after="120"/>
        <w:ind w:left="1134" w:hanging="567"/>
      </w:pPr>
      <w:r w:rsidRPr="005101C5">
        <w:t>additional information as to any risks to the health and safety of people, or to the environment, associated with the dealings authorised by the licence; or</w:t>
      </w:r>
    </w:p>
    <w:p w14:paraId="6CC98462" w14:textId="77777777" w:rsidR="00AE14A8" w:rsidRPr="005101C5" w:rsidRDefault="00AE14A8" w:rsidP="00B96BF5">
      <w:pPr>
        <w:numPr>
          <w:ilvl w:val="0"/>
          <w:numId w:val="23"/>
        </w:numPr>
        <w:tabs>
          <w:tab w:val="num" w:pos="1134"/>
        </w:tabs>
        <w:spacing w:before="120" w:after="120"/>
        <w:ind w:left="1134" w:hanging="567"/>
      </w:pPr>
      <w:r w:rsidRPr="005101C5">
        <w:t>any contraventions of the licence by a person covered by the licence; or</w:t>
      </w:r>
    </w:p>
    <w:p w14:paraId="09E88A68" w14:textId="77777777" w:rsidR="00AE14A8" w:rsidRPr="005101C5" w:rsidRDefault="00AE14A8" w:rsidP="00B96BF5">
      <w:pPr>
        <w:numPr>
          <w:ilvl w:val="0"/>
          <w:numId w:val="23"/>
        </w:numPr>
        <w:tabs>
          <w:tab w:val="num" w:pos="1134"/>
        </w:tabs>
        <w:spacing w:before="120" w:after="120"/>
        <w:ind w:left="1134" w:hanging="567"/>
      </w:pPr>
      <w:r w:rsidRPr="005101C5">
        <w:t>any unintended effects of the dealings authorised by the licence.</w:t>
      </w:r>
    </w:p>
    <w:p w14:paraId="3912735A" w14:textId="77777777" w:rsidR="00AE14A8" w:rsidRPr="005101C5" w:rsidRDefault="00AE14A8" w:rsidP="00AE14A8">
      <w:pPr>
        <w:spacing w:before="120" w:after="120"/>
        <w:ind w:left="567"/>
        <w:rPr>
          <w:i/>
        </w:rPr>
      </w:pPr>
      <w:r w:rsidRPr="005101C5">
        <w:rPr>
          <w:i/>
        </w:rPr>
        <w:t>Note: The Act requires, for the purposes of the above condition, that:</w:t>
      </w:r>
    </w:p>
    <w:p w14:paraId="13E006AF" w14:textId="77777777" w:rsidR="00AE14A8" w:rsidRPr="005101C5" w:rsidRDefault="00AE14A8" w:rsidP="00B96BF5">
      <w:pPr>
        <w:numPr>
          <w:ilvl w:val="0"/>
          <w:numId w:val="24"/>
        </w:numPr>
        <w:tabs>
          <w:tab w:val="clear" w:pos="1505"/>
          <w:tab w:val="num" w:pos="1134"/>
        </w:tabs>
        <w:spacing w:before="120" w:after="120"/>
        <w:ind w:left="567" w:firstLine="0"/>
        <w:rPr>
          <w:i/>
        </w:rPr>
      </w:pPr>
      <w:r w:rsidRPr="005101C5">
        <w:rPr>
          <w:i/>
        </w:rPr>
        <w:t>the licence holder will be taken to have become aware of additional information if he or she was reckless as to whether such information existed; and</w:t>
      </w:r>
    </w:p>
    <w:p w14:paraId="146D29E4" w14:textId="77777777" w:rsidR="00AE14A8" w:rsidRPr="005101C5" w:rsidRDefault="00AE14A8" w:rsidP="00B96BF5">
      <w:pPr>
        <w:numPr>
          <w:ilvl w:val="0"/>
          <w:numId w:val="24"/>
        </w:numPr>
        <w:tabs>
          <w:tab w:val="clear" w:pos="1505"/>
          <w:tab w:val="num" w:pos="1134"/>
        </w:tabs>
        <w:spacing w:before="120" w:after="120"/>
        <w:ind w:left="567" w:firstLine="0"/>
        <w:rPr>
          <w:i/>
        </w:rPr>
      </w:pPr>
      <w:r w:rsidRPr="005101C5">
        <w:rPr>
          <w:i/>
        </w:rPr>
        <w:t>the licence holder will be taken to have become aware of contraventions, or unintended effects, if he or she was reckless as to whether such contraventions had occurred, or such unintended effects existed.</w:t>
      </w:r>
    </w:p>
    <w:p w14:paraId="3AECB9CA" w14:textId="77777777" w:rsidR="00AE14A8" w:rsidRPr="005101C5" w:rsidRDefault="00AE14A8" w:rsidP="00B96BF5">
      <w:pPr>
        <w:numPr>
          <w:ilvl w:val="0"/>
          <w:numId w:val="8"/>
        </w:numPr>
        <w:tabs>
          <w:tab w:val="clear" w:pos="720"/>
          <w:tab w:val="num" w:pos="567"/>
        </w:tabs>
        <w:spacing w:before="120" w:after="120"/>
        <w:ind w:left="0" w:firstLine="0"/>
      </w:pPr>
      <w:r w:rsidRPr="005101C5">
        <w:t>If the licence holder is required to inform the Regulator under Condition </w:t>
      </w:r>
      <w:r w:rsidRPr="005101C5">
        <w:fldChar w:fldCharType="begin"/>
      </w:r>
      <w:r w:rsidRPr="005101C5">
        <w:instrText xml:space="preserve"> REF _Ref433124310 \r \h </w:instrText>
      </w:r>
      <w:r w:rsidRPr="005101C5">
        <w:fldChar w:fldCharType="separate"/>
      </w:r>
      <w:r w:rsidR="00C970C0" w:rsidRPr="005101C5">
        <w:t>18</w:t>
      </w:r>
      <w:r w:rsidRPr="005101C5">
        <w:fldChar w:fldCharType="end"/>
      </w:r>
      <w:r w:rsidRPr="005101C5">
        <w:t>, the Regulator must be informed as soon as reasonably possible.</w:t>
      </w:r>
    </w:p>
    <w:p w14:paraId="26A0496F" w14:textId="77777777" w:rsidR="00AE14A8" w:rsidRPr="005101C5" w:rsidRDefault="005C5929" w:rsidP="0063657C">
      <w:pPr>
        <w:pStyle w:val="3RARMP"/>
        <w:spacing w:before="240"/>
        <w:rPr>
          <w:rFonts w:eastAsia="Times New Roman"/>
        </w:rPr>
      </w:pPr>
      <w:bookmarkStart w:id="29" w:name="_Toc437596423"/>
      <w:r w:rsidRPr="005101C5">
        <w:rPr>
          <w:rFonts w:eastAsia="Times New Roman"/>
        </w:rPr>
        <w:t>General conditions on</w:t>
      </w:r>
      <w:r w:rsidR="00AE14A8" w:rsidRPr="005101C5">
        <w:rPr>
          <w:rFonts w:eastAsia="Times New Roman"/>
        </w:rPr>
        <w:t xml:space="preserve"> persons covered by the licence</w:t>
      </w:r>
      <w:bookmarkEnd w:id="29"/>
    </w:p>
    <w:p w14:paraId="6E2DF300" w14:textId="77777777" w:rsidR="00AE14A8" w:rsidRPr="005101C5" w:rsidRDefault="00AE14A8" w:rsidP="00B96BF5">
      <w:pPr>
        <w:numPr>
          <w:ilvl w:val="0"/>
          <w:numId w:val="8"/>
        </w:numPr>
        <w:tabs>
          <w:tab w:val="num" w:pos="567"/>
        </w:tabs>
        <w:spacing w:before="120" w:after="120"/>
        <w:ind w:left="0" w:firstLine="0"/>
      </w:pPr>
      <w:r w:rsidRPr="005101C5">
        <w:t>Persons covered by this licence must not deal with the GMO except as expressly permitted by this licence.</w:t>
      </w:r>
    </w:p>
    <w:p w14:paraId="73D0325F" w14:textId="77777777" w:rsidR="00AE14A8" w:rsidRPr="005101C5" w:rsidRDefault="00AE14A8" w:rsidP="00B96BF5">
      <w:pPr>
        <w:numPr>
          <w:ilvl w:val="0"/>
          <w:numId w:val="8"/>
        </w:numPr>
        <w:tabs>
          <w:tab w:val="clear" w:pos="720"/>
          <w:tab w:val="num" w:pos="567"/>
        </w:tabs>
        <w:spacing w:before="120" w:after="120"/>
        <w:ind w:left="0" w:firstLine="0"/>
      </w:pPr>
      <w:bookmarkStart w:id="30" w:name="_Ref450734485"/>
      <w:r w:rsidRPr="005101C5">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bookmarkEnd w:id="30"/>
    </w:p>
    <w:p w14:paraId="15294B98" w14:textId="77777777" w:rsidR="00AE14A8" w:rsidRPr="005101C5" w:rsidRDefault="00AE14A8" w:rsidP="00AE14A8">
      <w:pPr>
        <w:spacing w:before="120" w:after="120"/>
      </w:pPr>
      <w:r w:rsidRPr="005101C5">
        <w:rPr>
          <w:i/>
        </w:rPr>
        <w:t xml:space="preserve">Note: The Licence holder must have processes in place to ensure waste contractors are informed of their obligations in relation to Condition </w:t>
      </w:r>
      <w:r w:rsidRPr="005101C5">
        <w:rPr>
          <w:i/>
        </w:rPr>
        <w:fldChar w:fldCharType="begin"/>
      </w:r>
      <w:r w:rsidRPr="005101C5">
        <w:rPr>
          <w:i/>
        </w:rPr>
        <w:instrText xml:space="preserve"> REF _Ref450734485 \r \h </w:instrText>
      </w:r>
      <w:r w:rsidRPr="005101C5">
        <w:rPr>
          <w:i/>
        </w:rPr>
      </w:r>
      <w:r w:rsidRPr="005101C5">
        <w:rPr>
          <w:i/>
        </w:rPr>
        <w:fldChar w:fldCharType="separate"/>
      </w:r>
      <w:r w:rsidR="00C970C0" w:rsidRPr="005101C5">
        <w:rPr>
          <w:i/>
        </w:rPr>
        <w:t>21</w:t>
      </w:r>
      <w:r w:rsidRPr="005101C5">
        <w:rPr>
          <w:i/>
        </w:rPr>
        <w:fldChar w:fldCharType="end"/>
      </w:r>
      <w:r w:rsidRPr="005101C5">
        <w:rPr>
          <w:i/>
        </w:rPr>
        <w:t>.</w:t>
      </w:r>
    </w:p>
    <w:p w14:paraId="6C45BB0A" w14:textId="77777777" w:rsidR="00AE14A8" w:rsidRPr="005101C5" w:rsidRDefault="00AE14A8" w:rsidP="0063657C">
      <w:pPr>
        <w:pStyle w:val="2RARMP"/>
        <w:ind w:left="1531"/>
        <w:rPr>
          <w:rFonts w:eastAsia="Times New Roman"/>
        </w:rPr>
      </w:pPr>
      <w:bookmarkStart w:id="31" w:name="_Toc330475752"/>
      <w:bookmarkStart w:id="32" w:name="_Toc437596424"/>
      <w:bookmarkStart w:id="33" w:name="_Toc449114412"/>
      <w:bookmarkStart w:id="34" w:name="_Toc451350063"/>
      <w:r w:rsidRPr="005101C5">
        <w:rPr>
          <w:rFonts w:eastAsia="Times New Roman"/>
        </w:rPr>
        <w:t>Limits and control measures</w:t>
      </w:r>
      <w:bookmarkEnd w:id="31"/>
      <w:bookmarkEnd w:id="32"/>
      <w:bookmarkEnd w:id="33"/>
      <w:bookmarkEnd w:id="34"/>
    </w:p>
    <w:p w14:paraId="4A257102" w14:textId="77777777" w:rsidR="00AE14A8" w:rsidRPr="005101C5" w:rsidRDefault="00AE14A8" w:rsidP="00AE14A8">
      <w:pPr>
        <w:spacing w:before="120" w:after="120"/>
        <w:rPr>
          <w:i/>
        </w:rPr>
      </w:pPr>
      <w:r w:rsidRPr="005101C5">
        <w:rPr>
          <w:i/>
        </w:rPr>
        <w:t>Note: This licence does not expressly authorise or prohibit any dealings or storage in certified physical containment facilities. Under the Act it is not an offence to deal with a GMO if the dealing is otherwise licenced or if it is an NLRD or an exempt dealing and it complies with all relevant statutory requirements.</w:t>
      </w:r>
    </w:p>
    <w:p w14:paraId="196D35AB" w14:textId="77777777" w:rsidR="00AE14A8" w:rsidRPr="005101C5" w:rsidRDefault="00AE14A8" w:rsidP="0063657C">
      <w:pPr>
        <w:pStyle w:val="3RARMP"/>
        <w:spacing w:before="240"/>
        <w:rPr>
          <w:rFonts w:eastAsia="Times New Roman"/>
        </w:rPr>
      </w:pPr>
      <w:bookmarkStart w:id="35" w:name="_Toc437596425"/>
      <w:r w:rsidRPr="005101C5">
        <w:rPr>
          <w:rFonts w:eastAsia="Times New Roman"/>
        </w:rPr>
        <w:t>Limits on the release</w:t>
      </w:r>
      <w:bookmarkEnd w:id="35"/>
    </w:p>
    <w:p w14:paraId="0DB08FBB" w14:textId="77777777" w:rsidR="00AE14A8" w:rsidRPr="005101C5" w:rsidRDefault="00AE14A8" w:rsidP="00AE14A8">
      <w:pPr>
        <w:spacing w:before="120" w:after="120"/>
        <w:rPr>
          <w:i/>
        </w:rPr>
      </w:pPr>
      <w:r w:rsidRPr="005101C5">
        <w:rPr>
          <w:i/>
        </w:rPr>
        <w:t>The following licence conditions maintain the risk assessment context within which the application was assessed by imposing limits on where and when experiments with the GMOs may be performed, and on other activities that can be undertaken.</w:t>
      </w:r>
    </w:p>
    <w:p w14:paraId="4986ABA9" w14:textId="77777777" w:rsidR="00AE14A8" w:rsidRPr="005101C5" w:rsidRDefault="00AE14A8" w:rsidP="00B96BF5">
      <w:pPr>
        <w:numPr>
          <w:ilvl w:val="0"/>
          <w:numId w:val="8"/>
        </w:numPr>
        <w:tabs>
          <w:tab w:val="clear" w:pos="720"/>
          <w:tab w:val="num" w:pos="567"/>
        </w:tabs>
        <w:spacing w:before="120" w:after="120"/>
        <w:ind w:left="0" w:firstLine="0"/>
      </w:pPr>
      <w:r w:rsidRPr="005101C5">
        <w:t xml:space="preserve">The GMOs covered by this licence are </w:t>
      </w:r>
      <w:proofErr w:type="spellStart"/>
      <w:r w:rsidRPr="005101C5">
        <w:t>CodaVax</w:t>
      </w:r>
      <w:proofErr w:type="spellEnd"/>
      <w:r w:rsidRPr="005101C5">
        <w:t xml:space="preserve"> and </w:t>
      </w:r>
      <w:proofErr w:type="spellStart"/>
      <w:r w:rsidRPr="005101C5">
        <w:t>FluMist</w:t>
      </w:r>
      <w:proofErr w:type="spellEnd"/>
      <w:r w:rsidRPr="005101C5">
        <w:t xml:space="preserve">, as described in </w:t>
      </w:r>
      <w:r w:rsidRPr="005101C5">
        <w:rPr>
          <w:b/>
        </w:rPr>
        <w:t>Attachment A</w:t>
      </w:r>
      <w:r w:rsidRPr="005101C5">
        <w:t xml:space="preserve"> of the licence.</w:t>
      </w:r>
    </w:p>
    <w:p w14:paraId="4E744B1C" w14:textId="77777777" w:rsidR="00AE14A8" w:rsidRPr="005101C5" w:rsidRDefault="00AE14A8" w:rsidP="00B96BF5">
      <w:pPr>
        <w:numPr>
          <w:ilvl w:val="0"/>
          <w:numId w:val="8"/>
        </w:numPr>
        <w:tabs>
          <w:tab w:val="clear" w:pos="720"/>
          <w:tab w:val="num" w:pos="567"/>
        </w:tabs>
        <w:spacing w:before="120" w:after="120"/>
        <w:ind w:left="0" w:firstLine="0"/>
      </w:pPr>
      <w:bookmarkStart w:id="36" w:name="_Ref436379050"/>
      <w:bookmarkStart w:id="37" w:name="_Ref436302543"/>
      <w:r w:rsidRPr="005101C5">
        <w:t>Details of each Study Site or Analytical facility</w:t>
      </w:r>
      <w:r w:rsidRPr="005101C5" w:rsidDel="009C1008">
        <w:t xml:space="preserve"> </w:t>
      </w:r>
      <w:r w:rsidRPr="005101C5">
        <w:t>must be notified to the Regulator at least 7 days before commencement of dealings with the GMOs at that Study Site or Analytical facility.</w:t>
      </w:r>
      <w:bookmarkEnd w:id="36"/>
    </w:p>
    <w:p w14:paraId="5E724D68" w14:textId="77777777" w:rsidR="00AE14A8" w:rsidRPr="005101C5" w:rsidRDefault="00AE14A8" w:rsidP="00B96BF5">
      <w:pPr>
        <w:numPr>
          <w:ilvl w:val="0"/>
          <w:numId w:val="8"/>
        </w:numPr>
        <w:tabs>
          <w:tab w:val="clear" w:pos="720"/>
          <w:tab w:val="num" w:pos="567"/>
        </w:tabs>
        <w:spacing w:before="120" w:after="120"/>
        <w:ind w:left="0" w:firstLine="0"/>
      </w:pPr>
      <w:r w:rsidRPr="005101C5">
        <w:lastRenderedPageBreak/>
        <w:t>All dealings permitted under this licence must be conducted within Study Sites or Analytical Facilities, except for:</w:t>
      </w:r>
    </w:p>
    <w:p w14:paraId="62107F9F" w14:textId="77777777" w:rsidR="00AE14A8" w:rsidRPr="005101C5" w:rsidRDefault="00AE14A8" w:rsidP="00B96BF5">
      <w:pPr>
        <w:numPr>
          <w:ilvl w:val="0"/>
          <w:numId w:val="26"/>
        </w:numPr>
        <w:tabs>
          <w:tab w:val="clear" w:pos="1505"/>
          <w:tab w:val="num" w:pos="1134"/>
        </w:tabs>
        <w:spacing w:before="120" w:after="120"/>
        <w:ind w:left="1134" w:hanging="567"/>
      </w:pPr>
      <w:r w:rsidRPr="005101C5">
        <w:t>import;</w:t>
      </w:r>
    </w:p>
    <w:p w14:paraId="2DFCE5BB" w14:textId="77777777" w:rsidR="00AE14A8" w:rsidRPr="005101C5" w:rsidRDefault="00AE14A8" w:rsidP="00B96BF5">
      <w:pPr>
        <w:numPr>
          <w:ilvl w:val="0"/>
          <w:numId w:val="25"/>
        </w:numPr>
        <w:tabs>
          <w:tab w:val="num" w:pos="1134"/>
        </w:tabs>
        <w:spacing w:before="120" w:after="120"/>
        <w:ind w:left="1134" w:hanging="567"/>
      </w:pPr>
      <w:r w:rsidRPr="005101C5">
        <w:t>transport;</w:t>
      </w:r>
    </w:p>
    <w:p w14:paraId="5A061125" w14:textId="77777777" w:rsidR="00AE14A8" w:rsidRPr="005101C5" w:rsidRDefault="00AE14A8" w:rsidP="00B96BF5">
      <w:pPr>
        <w:numPr>
          <w:ilvl w:val="0"/>
          <w:numId w:val="25"/>
        </w:numPr>
        <w:tabs>
          <w:tab w:val="num" w:pos="1134"/>
        </w:tabs>
        <w:spacing w:before="120" w:after="120"/>
        <w:ind w:left="1134" w:hanging="567"/>
      </w:pPr>
      <w:r w:rsidRPr="005101C5">
        <w:t>disposal;</w:t>
      </w:r>
    </w:p>
    <w:bookmarkEnd w:id="37"/>
    <w:p w14:paraId="35CCACF5" w14:textId="77777777" w:rsidR="00AE14A8" w:rsidRPr="005101C5" w:rsidRDefault="00AE14A8" w:rsidP="00AE14A8">
      <w:pPr>
        <w:tabs>
          <w:tab w:val="left" w:pos="567"/>
        </w:tabs>
        <w:spacing w:before="120" w:after="120"/>
      </w:pPr>
      <w:r w:rsidRPr="005101C5">
        <w:t xml:space="preserve">and storage of the GMO </w:t>
      </w:r>
      <w:proofErr w:type="gramStart"/>
      <w:r w:rsidRPr="005101C5">
        <w:t>in the course of</w:t>
      </w:r>
      <w:proofErr w:type="gramEnd"/>
      <w:r w:rsidRPr="005101C5">
        <w:t xml:space="preserve"> any of these dealings.</w:t>
      </w:r>
    </w:p>
    <w:p w14:paraId="0813F7CB" w14:textId="77777777" w:rsidR="00AE14A8" w:rsidRPr="005101C5" w:rsidRDefault="00AE14A8" w:rsidP="00B96BF5">
      <w:pPr>
        <w:numPr>
          <w:ilvl w:val="0"/>
          <w:numId w:val="8"/>
        </w:numPr>
        <w:tabs>
          <w:tab w:val="clear" w:pos="720"/>
          <w:tab w:val="num" w:pos="567"/>
        </w:tabs>
        <w:spacing w:before="120" w:after="120"/>
        <w:ind w:left="0" w:firstLine="0"/>
      </w:pPr>
      <w:r w:rsidRPr="005101C5">
        <w:t xml:space="preserve">A maximum of 500 </w:t>
      </w:r>
      <w:r w:rsidR="00886E2D" w:rsidRPr="005101C5">
        <w:t>tr</w:t>
      </w:r>
      <w:r w:rsidR="00F73F44" w:rsidRPr="005101C5">
        <w:t>i</w:t>
      </w:r>
      <w:r w:rsidR="00886E2D" w:rsidRPr="005101C5">
        <w:t xml:space="preserve">al participants </w:t>
      </w:r>
      <w:r w:rsidRPr="005101C5">
        <w:t>may be inoculated with the GMOs.</w:t>
      </w:r>
    </w:p>
    <w:p w14:paraId="0115D07C" w14:textId="77777777" w:rsidR="00886E2D" w:rsidRPr="005101C5" w:rsidRDefault="00886E2D" w:rsidP="00B96BF5">
      <w:pPr>
        <w:numPr>
          <w:ilvl w:val="0"/>
          <w:numId w:val="8"/>
        </w:numPr>
        <w:tabs>
          <w:tab w:val="clear" w:pos="720"/>
          <w:tab w:val="num" w:pos="567"/>
        </w:tabs>
        <w:spacing w:before="120" w:after="120"/>
        <w:ind w:left="0" w:firstLine="0"/>
      </w:pPr>
      <w:r w:rsidRPr="005101C5">
        <w:t>Tr</w:t>
      </w:r>
      <w:r w:rsidR="00F73F44" w:rsidRPr="005101C5">
        <w:t>i</w:t>
      </w:r>
      <w:r w:rsidRPr="005101C5">
        <w:t>al participants inoculated with the GMO</w:t>
      </w:r>
      <w:r w:rsidR="00C226A8" w:rsidRPr="005101C5">
        <w:t>s</w:t>
      </w:r>
      <w:r w:rsidRPr="005101C5">
        <w:t xml:space="preserve"> m</w:t>
      </w:r>
      <w:r w:rsidR="00C226A8" w:rsidRPr="005101C5">
        <w:t>ust</w:t>
      </w:r>
      <w:r w:rsidRPr="005101C5">
        <w:t xml:space="preserve"> be healthy adult</w:t>
      </w:r>
      <w:r w:rsidR="008A2FA5" w:rsidRPr="005101C5">
        <w:t>s</w:t>
      </w:r>
      <w:r w:rsidRPr="005101C5">
        <w:t>.</w:t>
      </w:r>
    </w:p>
    <w:p w14:paraId="3CEBDF31" w14:textId="77777777" w:rsidR="00AE14A8" w:rsidRPr="005101C5" w:rsidRDefault="00AE14A8" w:rsidP="0063657C">
      <w:pPr>
        <w:pStyle w:val="3RARMP"/>
        <w:spacing w:before="240"/>
        <w:rPr>
          <w:rFonts w:eastAsia="Times New Roman"/>
        </w:rPr>
      </w:pPr>
      <w:bookmarkStart w:id="38" w:name="_Toc437596426"/>
      <w:r w:rsidRPr="005101C5">
        <w:rPr>
          <w:rFonts w:eastAsia="Times New Roman"/>
        </w:rPr>
        <w:t>Controls on the Release</w:t>
      </w:r>
      <w:bookmarkEnd w:id="38"/>
    </w:p>
    <w:p w14:paraId="3FDE32D8" w14:textId="77777777" w:rsidR="00AE14A8" w:rsidRPr="005101C5" w:rsidRDefault="00AE14A8" w:rsidP="00AE14A8">
      <w:pPr>
        <w:spacing w:before="120" w:after="120"/>
        <w:rPr>
          <w:i/>
        </w:rPr>
      </w:pPr>
      <w:r w:rsidRPr="005101C5">
        <w:rPr>
          <w:i/>
        </w:rPr>
        <w:t>The following licence conditions manage the identified risks, and maintain the risk assessment context within which the application was assessed.</w:t>
      </w:r>
    </w:p>
    <w:p w14:paraId="4A5157D1" w14:textId="77777777" w:rsidR="00AE14A8" w:rsidRPr="005101C5" w:rsidRDefault="00AE14A8" w:rsidP="00125730">
      <w:pPr>
        <w:spacing w:before="120" w:after="120"/>
        <w:outlineLvl w:val="3"/>
        <w:rPr>
          <w:b/>
          <w:u w:val="single"/>
        </w:rPr>
      </w:pPr>
      <w:r w:rsidRPr="005101C5">
        <w:rPr>
          <w:b/>
          <w:u w:val="single"/>
        </w:rPr>
        <w:t>Conduct of the clinical trial</w:t>
      </w:r>
    </w:p>
    <w:p w14:paraId="2DA2D47A" w14:textId="77777777" w:rsidR="00AE14A8" w:rsidRPr="005101C5" w:rsidRDefault="00AE14A8" w:rsidP="00B96BF5">
      <w:pPr>
        <w:numPr>
          <w:ilvl w:val="0"/>
          <w:numId w:val="8"/>
        </w:numPr>
        <w:tabs>
          <w:tab w:val="clear" w:pos="720"/>
          <w:tab w:val="num" w:pos="567"/>
        </w:tabs>
        <w:spacing w:before="120" w:after="120"/>
        <w:ind w:left="0" w:firstLine="0"/>
      </w:pPr>
      <w:r w:rsidRPr="005101C5">
        <w:t>The licence holder must ensure that the trial is conducted according to ICH-GCP and TGA GCP Guidelines and WHO Universal Standard Precautions.</w:t>
      </w:r>
    </w:p>
    <w:p w14:paraId="5ABE2735" w14:textId="77777777" w:rsidR="00AE14A8" w:rsidRPr="005101C5" w:rsidRDefault="00AE14A8" w:rsidP="00B96BF5">
      <w:pPr>
        <w:numPr>
          <w:ilvl w:val="0"/>
          <w:numId w:val="8"/>
        </w:numPr>
        <w:tabs>
          <w:tab w:val="clear" w:pos="720"/>
          <w:tab w:val="num" w:pos="567"/>
        </w:tabs>
        <w:spacing w:before="120" w:after="120"/>
        <w:ind w:left="0" w:firstLine="0"/>
      </w:pPr>
      <w:r w:rsidRPr="005101C5">
        <w:t>The licence holder must ensure that Excluded Persons are excluded from directly handling the GMOs, administering it to patients or caring for trial participants.</w:t>
      </w:r>
    </w:p>
    <w:p w14:paraId="4BF302C1" w14:textId="77777777" w:rsidR="00AE14A8" w:rsidRPr="005101C5" w:rsidRDefault="00AE14A8" w:rsidP="00B96BF5">
      <w:pPr>
        <w:numPr>
          <w:ilvl w:val="0"/>
          <w:numId w:val="8"/>
        </w:numPr>
        <w:tabs>
          <w:tab w:val="clear" w:pos="720"/>
          <w:tab w:val="num" w:pos="567"/>
        </w:tabs>
        <w:spacing w:before="120" w:after="120"/>
        <w:ind w:left="0" w:firstLine="0"/>
      </w:pPr>
      <w:bookmarkStart w:id="39" w:name="_Ref456270226"/>
      <w:r w:rsidRPr="005101C5">
        <w:t>Procedures</w:t>
      </w:r>
      <w:r w:rsidRPr="005101C5">
        <w:rPr>
          <w:u w:color="AB73D5"/>
        </w:rPr>
        <w:t xml:space="preserve"> must be in place to account for the contents of all vials containing GMOs that are imported into Australia under this licence. The GMOs must be accounted for from import to destruction or export, and records must be made available to the Regulator on request.</w:t>
      </w:r>
      <w:bookmarkEnd w:id="39"/>
    </w:p>
    <w:p w14:paraId="44BD9289" w14:textId="77777777" w:rsidR="00AE14A8" w:rsidRPr="005101C5" w:rsidRDefault="00AE14A8" w:rsidP="00B96BF5">
      <w:pPr>
        <w:numPr>
          <w:ilvl w:val="0"/>
          <w:numId w:val="8"/>
        </w:numPr>
        <w:tabs>
          <w:tab w:val="clear" w:pos="720"/>
          <w:tab w:val="num" w:pos="567"/>
        </w:tabs>
        <w:spacing w:before="120" w:after="120"/>
        <w:ind w:left="0" w:firstLine="0"/>
      </w:pPr>
      <w:bookmarkStart w:id="40" w:name="_Ref436404252"/>
      <w:r w:rsidRPr="005101C5">
        <w:t>If any of the events described in Condition </w:t>
      </w:r>
      <w:r w:rsidRPr="005101C5">
        <w:fldChar w:fldCharType="begin"/>
      </w:r>
      <w:r w:rsidRPr="005101C5">
        <w:instrText xml:space="preserve"> REF _Ref436404590 \r \h </w:instrText>
      </w:r>
      <w:r w:rsidRPr="005101C5">
        <w:fldChar w:fldCharType="separate"/>
      </w:r>
      <w:r w:rsidR="00C970C0" w:rsidRPr="005101C5">
        <w:t>43</w:t>
      </w:r>
      <w:r w:rsidRPr="005101C5">
        <w:fldChar w:fldCharType="end"/>
      </w:r>
      <w:r w:rsidRPr="005101C5">
        <w:t xml:space="preserve"> occur, the appropriate procedure(s) from the Contingency Plan must be implemented.</w:t>
      </w:r>
      <w:bookmarkEnd w:id="40"/>
    </w:p>
    <w:p w14:paraId="37AB653E" w14:textId="77777777" w:rsidR="00AE14A8" w:rsidRPr="005101C5" w:rsidRDefault="00AE14A8" w:rsidP="00125730">
      <w:pPr>
        <w:spacing w:before="120" w:after="120"/>
        <w:outlineLvl w:val="3"/>
        <w:rPr>
          <w:b/>
          <w:u w:val="single"/>
        </w:rPr>
      </w:pPr>
      <w:r w:rsidRPr="005101C5">
        <w:rPr>
          <w:b/>
          <w:u w:val="single"/>
        </w:rPr>
        <w:t>Conditions relating to trial participants</w:t>
      </w:r>
    </w:p>
    <w:p w14:paraId="4557BC56" w14:textId="77777777" w:rsidR="00AE14A8" w:rsidRPr="005101C5" w:rsidRDefault="00AE14A8" w:rsidP="00B96BF5">
      <w:pPr>
        <w:numPr>
          <w:ilvl w:val="0"/>
          <w:numId w:val="8"/>
        </w:numPr>
        <w:tabs>
          <w:tab w:val="num" w:pos="567"/>
        </w:tabs>
        <w:spacing w:before="120" w:after="120"/>
        <w:ind w:left="0" w:firstLine="0"/>
      </w:pPr>
      <w:bookmarkStart w:id="41" w:name="_Ref433268911"/>
      <w:r w:rsidRPr="005101C5">
        <w:t>The licence holder and persons administering the GMO must ensure that exclusion criteria used in selecting trial participants include (but need not be limited to) the following:</w:t>
      </w:r>
      <w:bookmarkEnd w:id="41"/>
    </w:p>
    <w:p w14:paraId="51E10DA7" w14:textId="77777777" w:rsidR="00AE14A8" w:rsidRPr="005101C5" w:rsidRDefault="00AE14A8" w:rsidP="00B96BF5">
      <w:pPr>
        <w:numPr>
          <w:ilvl w:val="0"/>
          <w:numId w:val="28"/>
        </w:numPr>
        <w:tabs>
          <w:tab w:val="clear" w:pos="1505"/>
          <w:tab w:val="left" w:pos="1134"/>
        </w:tabs>
        <w:spacing w:before="120" w:after="120"/>
        <w:ind w:left="1134" w:hanging="567"/>
      </w:pPr>
      <w:r w:rsidRPr="005101C5">
        <w:rPr>
          <w:u w:color="AB73D5"/>
        </w:rPr>
        <w:t>persons who are Excluded Persons; and</w:t>
      </w:r>
    </w:p>
    <w:p w14:paraId="41D59469" w14:textId="77777777" w:rsidR="00AE14A8" w:rsidRPr="005101C5" w:rsidRDefault="00AE14A8" w:rsidP="00B96BF5">
      <w:pPr>
        <w:numPr>
          <w:ilvl w:val="0"/>
          <w:numId w:val="28"/>
        </w:numPr>
        <w:tabs>
          <w:tab w:val="left" w:pos="1134"/>
        </w:tabs>
        <w:spacing w:before="120" w:after="120"/>
        <w:ind w:left="1134" w:hanging="567"/>
      </w:pPr>
      <w:r w:rsidRPr="005101C5">
        <w:rPr>
          <w:u w:color="AB73D5"/>
        </w:rPr>
        <w:t>persons who are unable or unwilling to comply with the requirements listed in Condition </w:t>
      </w:r>
      <w:r w:rsidRPr="005101C5">
        <w:rPr>
          <w:u w:color="AB73D5"/>
        </w:rPr>
        <w:fldChar w:fldCharType="begin"/>
      </w:r>
      <w:r w:rsidRPr="005101C5">
        <w:rPr>
          <w:u w:color="AB73D5"/>
        </w:rPr>
        <w:instrText xml:space="preserve"> REF _Ref433269064 \r \h </w:instrText>
      </w:r>
      <w:r w:rsidRPr="005101C5">
        <w:rPr>
          <w:u w:color="AB73D5"/>
        </w:rPr>
      </w:r>
      <w:r w:rsidRPr="005101C5">
        <w:rPr>
          <w:u w:color="AB73D5"/>
        </w:rPr>
        <w:fldChar w:fldCharType="separate"/>
      </w:r>
      <w:r w:rsidR="00C970C0" w:rsidRPr="005101C5">
        <w:rPr>
          <w:u w:color="AB73D5"/>
        </w:rPr>
        <w:t>31</w:t>
      </w:r>
      <w:r w:rsidRPr="005101C5">
        <w:rPr>
          <w:u w:color="AB73D5"/>
        </w:rPr>
        <w:fldChar w:fldCharType="end"/>
      </w:r>
      <w:r w:rsidRPr="005101C5">
        <w:rPr>
          <w:u w:color="AB73D5"/>
        </w:rPr>
        <w:t>.</w:t>
      </w:r>
    </w:p>
    <w:p w14:paraId="39AB6AB1" w14:textId="77777777" w:rsidR="00AE14A8" w:rsidRPr="005101C5" w:rsidRDefault="00AE14A8" w:rsidP="00B96BF5">
      <w:pPr>
        <w:numPr>
          <w:ilvl w:val="0"/>
          <w:numId w:val="8"/>
        </w:numPr>
        <w:tabs>
          <w:tab w:val="num" w:pos="567"/>
        </w:tabs>
        <w:spacing w:before="120" w:after="120"/>
        <w:ind w:left="0" w:firstLine="0"/>
      </w:pPr>
      <w:bookmarkStart w:id="42" w:name="_Ref436397693"/>
      <w:bookmarkStart w:id="43" w:name="_Ref433269064"/>
      <w:r w:rsidRPr="005101C5">
        <w:t>The licence holder must ensure that trial participants are educated about the potential for transmission of the GMOs to untreated people and animals and measures to prevent transmission, and obtain trial participants’ written agreement that,</w:t>
      </w:r>
      <w:r w:rsidRPr="005101C5">
        <w:rPr>
          <w:u w:color="AB73D5"/>
        </w:rPr>
        <w:t xml:space="preserve"> for 7 days following inoculation with the GMOs, they will</w:t>
      </w:r>
      <w:r w:rsidRPr="005101C5">
        <w:t>:</w:t>
      </w:r>
      <w:bookmarkEnd w:id="42"/>
    </w:p>
    <w:p w14:paraId="0028ED62" w14:textId="77777777" w:rsidR="00AE14A8" w:rsidRPr="005101C5" w:rsidRDefault="00AE14A8" w:rsidP="00B96BF5">
      <w:pPr>
        <w:numPr>
          <w:ilvl w:val="0"/>
          <w:numId w:val="27"/>
        </w:numPr>
        <w:tabs>
          <w:tab w:val="num" w:pos="1134"/>
        </w:tabs>
        <w:spacing w:before="120" w:after="120"/>
        <w:ind w:left="1134" w:hanging="567"/>
        <w:rPr>
          <w:u w:color="AB73D5"/>
        </w:rPr>
      </w:pPr>
      <w:r w:rsidRPr="005101C5">
        <w:rPr>
          <w:u w:color="AB73D5"/>
        </w:rPr>
        <w:t>implement hygiene measures intended to prevent interpersonal transmission of the GMOs, including but not limited to frequent hand washing with soap or hand disinfectant, respiratory hygiene and cough etiquette, and refraining from blood, tissue or organ donation;</w:t>
      </w:r>
    </w:p>
    <w:p w14:paraId="3D277D5A" w14:textId="77777777" w:rsidR="00AE14A8" w:rsidRPr="005101C5" w:rsidRDefault="00AE14A8" w:rsidP="00B96BF5">
      <w:pPr>
        <w:numPr>
          <w:ilvl w:val="0"/>
          <w:numId w:val="27"/>
        </w:numPr>
        <w:tabs>
          <w:tab w:val="num" w:pos="1134"/>
        </w:tabs>
        <w:spacing w:before="120" w:after="120"/>
        <w:ind w:left="1134" w:hanging="567"/>
        <w:rPr>
          <w:u w:color="AB73D5"/>
        </w:rPr>
      </w:pPr>
      <w:r w:rsidRPr="005101C5">
        <w:rPr>
          <w:rFonts w:cs="Myriad Pro"/>
          <w:iCs/>
        </w:rPr>
        <w:t>not to care for severely immunosuppressed persons who require a protective environment and to avoid contact with such persons</w:t>
      </w:r>
      <w:r w:rsidRPr="005101C5">
        <w:rPr>
          <w:u w:color="AB73D5"/>
        </w:rPr>
        <w:t>;</w:t>
      </w:r>
    </w:p>
    <w:bookmarkEnd w:id="43"/>
    <w:p w14:paraId="2F00BABE" w14:textId="58FB1A74" w:rsidR="00AE14A8" w:rsidRPr="005101C5" w:rsidRDefault="00AE14A8" w:rsidP="00B96BF5">
      <w:pPr>
        <w:numPr>
          <w:ilvl w:val="0"/>
          <w:numId w:val="27"/>
        </w:numPr>
        <w:tabs>
          <w:tab w:val="num" w:pos="1134"/>
        </w:tabs>
        <w:spacing w:before="120" w:after="120"/>
        <w:ind w:left="1134" w:hanging="567"/>
        <w:rPr>
          <w:u w:color="AB73D5"/>
        </w:rPr>
      </w:pPr>
      <w:r w:rsidRPr="005101C5">
        <w:rPr>
          <w:u w:color="AB73D5"/>
        </w:rPr>
        <w:t>seal used tissues and other materials used to collect respiratory secretions</w:t>
      </w:r>
      <w:r w:rsidRPr="005101C5">
        <w:rPr>
          <w:rStyle w:val="Emphasis"/>
          <w:rFonts w:eastAsiaTheme="minorEastAsia"/>
          <w:bdr w:val="none" w:sz="0" w:space="0" w:color="auto" w:frame="1"/>
          <w:shd w:val="clear" w:color="auto" w:fill="FFFFFF"/>
        </w:rPr>
        <w:t xml:space="preserve"> </w:t>
      </w:r>
      <w:r w:rsidR="00981C92" w:rsidRPr="005101C5">
        <w:rPr>
          <w:rStyle w:val="Emphasis"/>
          <w:rFonts w:eastAsiaTheme="minorEastAsia"/>
          <w:bdr w:val="none" w:sz="0" w:space="0" w:color="auto" w:frame="1"/>
          <w:shd w:val="clear" w:color="auto" w:fill="FFFFFF"/>
        </w:rPr>
        <w:t xml:space="preserve">or any contaminated bandage </w:t>
      </w:r>
      <w:r w:rsidRPr="005101C5">
        <w:rPr>
          <w:u w:color="AB73D5"/>
        </w:rPr>
        <w:t>in a primary container (e.g. a sealable plastic bag), place these within a secondary container provided by the Study Site, and store the secondary container such that it is inaccessible to children and animals until it is returned to the Study Site; and</w:t>
      </w:r>
    </w:p>
    <w:p w14:paraId="4A08D31B" w14:textId="77777777" w:rsidR="00AE14A8" w:rsidRPr="005101C5" w:rsidRDefault="00AE14A8" w:rsidP="00B96BF5">
      <w:pPr>
        <w:numPr>
          <w:ilvl w:val="0"/>
          <w:numId w:val="27"/>
        </w:numPr>
        <w:tabs>
          <w:tab w:val="num" w:pos="1134"/>
        </w:tabs>
        <w:spacing w:before="120" w:after="120"/>
        <w:ind w:left="1134" w:hanging="567"/>
        <w:rPr>
          <w:u w:color="AB73D5"/>
        </w:rPr>
      </w:pPr>
      <w:r w:rsidRPr="005101C5">
        <w:rPr>
          <w:u w:color="AB73D5"/>
        </w:rPr>
        <w:lastRenderedPageBreak/>
        <w:t>return the secondary container referred to above to the Study Site for disposal as clinical waste.</w:t>
      </w:r>
    </w:p>
    <w:p w14:paraId="4F97829B" w14:textId="77777777" w:rsidR="00AE14A8" w:rsidRPr="005101C5" w:rsidRDefault="00AE14A8" w:rsidP="00B96BF5">
      <w:pPr>
        <w:numPr>
          <w:ilvl w:val="0"/>
          <w:numId w:val="8"/>
        </w:numPr>
        <w:tabs>
          <w:tab w:val="num" w:pos="567"/>
        </w:tabs>
        <w:spacing w:before="120" w:after="120"/>
        <w:ind w:left="0" w:firstLine="0"/>
      </w:pPr>
      <w:r w:rsidRPr="005101C5">
        <w:t xml:space="preserve">Records of trial participants’ agreements as required under Condition </w:t>
      </w:r>
      <w:r w:rsidRPr="005101C5">
        <w:fldChar w:fldCharType="begin"/>
      </w:r>
      <w:r w:rsidRPr="005101C5">
        <w:instrText xml:space="preserve"> REF _Ref436397693 \r \h </w:instrText>
      </w:r>
      <w:r w:rsidRPr="005101C5">
        <w:fldChar w:fldCharType="separate"/>
      </w:r>
      <w:r w:rsidR="00C970C0" w:rsidRPr="005101C5">
        <w:t>31</w:t>
      </w:r>
      <w:r w:rsidRPr="005101C5">
        <w:fldChar w:fldCharType="end"/>
      </w:r>
      <w:r w:rsidRPr="005101C5">
        <w:t xml:space="preserve"> must be made available to the Regulator on request.</w:t>
      </w:r>
    </w:p>
    <w:p w14:paraId="027A5F4F" w14:textId="77777777" w:rsidR="00AE14A8" w:rsidRPr="005101C5" w:rsidRDefault="00AE14A8" w:rsidP="00B96BF5">
      <w:pPr>
        <w:numPr>
          <w:ilvl w:val="0"/>
          <w:numId w:val="8"/>
        </w:numPr>
        <w:tabs>
          <w:tab w:val="num" w:pos="567"/>
        </w:tabs>
        <w:spacing w:before="120" w:after="120"/>
        <w:ind w:left="0" w:firstLine="0"/>
      </w:pPr>
      <w:r w:rsidRPr="005101C5">
        <w:t xml:space="preserve">The licence holder must ensure that persons are not enrolled in the trial </w:t>
      </w:r>
      <w:r w:rsidR="00725B3E" w:rsidRPr="005101C5">
        <w:t xml:space="preserve">unless they have indicated that </w:t>
      </w:r>
      <w:r w:rsidRPr="005101C5">
        <w:t xml:space="preserve">they are </w:t>
      </w:r>
      <w:r w:rsidR="00725B3E" w:rsidRPr="005101C5">
        <w:t xml:space="preserve">not </w:t>
      </w:r>
      <w:r w:rsidRPr="005101C5">
        <w:t>likely to come into contact with Excluded Persons</w:t>
      </w:r>
      <w:r w:rsidR="00725B3E" w:rsidRPr="005101C5">
        <w:t xml:space="preserve"> within 7 days of inoculation with the GMOs</w:t>
      </w:r>
      <w:r w:rsidRPr="005101C5">
        <w:t xml:space="preserve">. This must be documented in writing </w:t>
      </w:r>
      <w:r w:rsidR="00725B3E" w:rsidRPr="005101C5">
        <w:t xml:space="preserve">for each trial participant </w:t>
      </w:r>
      <w:r w:rsidRPr="005101C5">
        <w:t>and records made available to the Regulator on request.</w:t>
      </w:r>
    </w:p>
    <w:p w14:paraId="2BA71BDD" w14:textId="77777777" w:rsidR="00D17EB3" w:rsidRPr="005101C5" w:rsidRDefault="00AE14A8" w:rsidP="00B96BF5">
      <w:pPr>
        <w:numPr>
          <w:ilvl w:val="0"/>
          <w:numId w:val="8"/>
        </w:numPr>
        <w:tabs>
          <w:tab w:val="num" w:pos="567"/>
        </w:tabs>
        <w:spacing w:before="120" w:after="120"/>
        <w:ind w:left="0" w:firstLine="0"/>
        <w:rPr>
          <w:u w:val="single"/>
        </w:rPr>
      </w:pPr>
      <w:bookmarkStart w:id="44" w:name="_Ref436311190"/>
      <w:r w:rsidRPr="005101C5">
        <w:rPr>
          <w:u w:color="AB73D5"/>
        </w:rPr>
        <w:t>The licence holder must ensure trial participants are provided with a supply of primary and secondary containers appropriate for storing and transporting waste back to the Study Site</w:t>
      </w:r>
      <w:r w:rsidR="00D17EB3" w:rsidRPr="005101C5">
        <w:rPr>
          <w:u w:color="AB73D5"/>
        </w:rPr>
        <w:t xml:space="preserve">. </w:t>
      </w:r>
      <w:r w:rsidR="00725B3E" w:rsidRPr="005101C5">
        <w:rPr>
          <w:u w:color="AB73D5"/>
        </w:rPr>
        <w:t>Secondary</w:t>
      </w:r>
      <w:r w:rsidR="00D17EB3" w:rsidRPr="005101C5">
        <w:rPr>
          <w:u w:color="AB73D5"/>
        </w:rPr>
        <w:t xml:space="preserve"> container</w:t>
      </w:r>
      <w:r w:rsidR="00725B3E" w:rsidRPr="005101C5">
        <w:rPr>
          <w:u w:color="AB73D5"/>
        </w:rPr>
        <w:t>s</w:t>
      </w:r>
      <w:r w:rsidR="00D17EB3" w:rsidRPr="005101C5">
        <w:rPr>
          <w:u w:color="AB73D5"/>
        </w:rPr>
        <w:t xml:space="preserve"> must be </w:t>
      </w:r>
      <w:r w:rsidRPr="005101C5">
        <w:rPr>
          <w:u w:color="AB73D5"/>
        </w:rPr>
        <w:t>labelled</w:t>
      </w:r>
      <w:r w:rsidRPr="005101C5">
        <w:t>:</w:t>
      </w:r>
    </w:p>
    <w:p w14:paraId="44E4AFAD" w14:textId="77777777" w:rsidR="00D17EB3" w:rsidRPr="005101C5" w:rsidRDefault="00D17EB3" w:rsidP="00B96BF5">
      <w:pPr>
        <w:numPr>
          <w:ilvl w:val="0"/>
          <w:numId w:val="43"/>
        </w:numPr>
        <w:tabs>
          <w:tab w:val="clear" w:pos="720"/>
          <w:tab w:val="num" w:pos="1134"/>
        </w:tabs>
        <w:spacing w:before="120" w:after="120"/>
        <w:ind w:left="1134" w:hanging="567"/>
        <w:rPr>
          <w:u w:val="single"/>
        </w:rPr>
      </w:pPr>
      <w:r w:rsidRPr="005101C5">
        <w:rPr>
          <w:u w:color="AB73D5"/>
        </w:rPr>
        <w:t xml:space="preserve">to </w:t>
      </w:r>
      <w:r w:rsidRPr="005101C5">
        <w:t xml:space="preserve">indicate that </w:t>
      </w:r>
      <w:r w:rsidR="00AE14A8" w:rsidRPr="005101C5">
        <w:t xml:space="preserve">it contains GMOs; </w:t>
      </w:r>
    </w:p>
    <w:p w14:paraId="143447C8" w14:textId="77777777" w:rsidR="00D17EB3" w:rsidRPr="005101C5" w:rsidRDefault="00D17EB3" w:rsidP="00B96BF5">
      <w:pPr>
        <w:numPr>
          <w:ilvl w:val="0"/>
          <w:numId w:val="43"/>
        </w:numPr>
        <w:tabs>
          <w:tab w:val="clear" w:pos="720"/>
          <w:tab w:val="num" w:pos="1134"/>
        </w:tabs>
        <w:spacing w:before="120" w:after="120"/>
        <w:ind w:left="1134" w:hanging="567"/>
        <w:rPr>
          <w:u w:val="single"/>
        </w:rPr>
      </w:pPr>
      <w:r w:rsidRPr="005101C5">
        <w:rPr>
          <w:u w:color="AB73D5"/>
        </w:rPr>
        <w:t xml:space="preserve">to </w:t>
      </w:r>
      <w:r w:rsidRPr="005101C5">
        <w:t xml:space="preserve">indicate that </w:t>
      </w:r>
      <w:r w:rsidR="00AE14A8" w:rsidRPr="005101C5">
        <w:t>it must be destroyed by autoclaving, high-temperature incineration, chemical treatment or as clinical waste; and</w:t>
      </w:r>
    </w:p>
    <w:p w14:paraId="34B28585" w14:textId="77777777" w:rsidR="00AE14A8" w:rsidRPr="005101C5" w:rsidRDefault="00AE14A8" w:rsidP="00B96BF5">
      <w:pPr>
        <w:numPr>
          <w:ilvl w:val="0"/>
          <w:numId w:val="43"/>
        </w:numPr>
        <w:tabs>
          <w:tab w:val="clear" w:pos="720"/>
          <w:tab w:val="num" w:pos="1134"/>
        </w:tabs>
        <w:spacing w:before="120" w:after="120"/>
        <w:ind w:left="1134" w:hanging="567"/>
        <w:rPr>
          <w:u w:val="single"/>
        </w:rPr>
      </w:pPr>
      <w:r w:rsidRPr="005101C5">
        <w:t>with contact details for the Study Site.</w:t>
      </w:r>
      <w:bookmarkEnd w:id="44"/>
    </w:p>
    <w:p w14:paraId="3FB90C31" w14:textId="77777777" w:rsidR="00AE14A8" w:rsidRPr="005101C5" w:rsidRDefault="00AE14A8" w:rsidP="00125730">
      <w:pPr>
        <w:spacing w:before="120" w:after="120"/>
        <w:outlineLvl w:val="3"/>
        <w:rPr>
          <w:b/>
          <w:u w:val="single"/>
        </w:rPr>
      </w:pPr>
      <w:r w:rsidRPr="005101C5">
        <w:rPr>
          <w:b/>
          <w:u w:val="single"/>
        </w:rPr>
        <w:t>Work practices at Study Sites</w:t>
      </w:r>
    </w:p>
    <w:p w14:paraId="39159B94" w14:textId="77777777" w:rsidR="00AE14A8" w:rsidRPr="005101C5" w:rsidRDefault="00AE14A8" w:rsidP="00B96BF5">
      <w:pPr>
        <w:numPr>
          <w:ilvl w:val="0"/>
          <w:numId w:val="8"/>
        </w:numPr>
        <w:tabs>
          <w:tab w:val="num" w:pos="567"/>
        </w:tabs>
        <w:spacing w:before="120" w:after="120"/>
        <w:ind w:left="0" w:firstLine="0"/>
      </w:pPr>
      <w:bookmarkStart w:id="45" w:name="_Ref433269578"/>
      <w:r w:rsidRPr="005101C5">
        <w:t>When undertaking a dealing with a GMO at a Study Site, including storage and disposal, persons covered by this licence must employ work practices and behaviours which:</w:t>
      </w:r>
      <w:bookmarkEnd w:id="45"/>
    </w:p>
    <w:p w14:paraId="0CFE4633" w14:textId="77777777" w:rsidR="00AE14A8" w:rsidRPr="005101C5" w:rsidRDefault="00AE14A8" w:rsidP="00B96BF5">
      <w:pPr>
        <w:numPr>
          <w:ilvl w:val="0"/>
          <w:numId w:val="31"/>
        </w:numPr>
        <w:tabs>
          <w:tab w:val="clear" w:pos="1505"/>
          <w:tab w:val="num" w:pos="1134"/>
        </w:tabs>
        <w:spacing w:before="120" w:after="120"/>
        <w:ind w:left="1134" w:hanging="567"/>
      </w:pPr>
      <w:r w:rsidRPr="005101C5">
        <w:t>ensure containment of the GMO; and</w:t>
      </w:r>
    </w:p>
    <w:p w14:paraId="11D7C64E" w14:textId="77777777" w:rsidR="00AE14A8" w:rsidRPr="005101C5" w:rsidRDefault="00AE14A8" w:rsidP="00B96BF5">
      <w:pPr>
        <w:numPr>
          <w:ilvl w:val="0"/>
          <w:numId w:val="31"/>
        </w:numPr>
        <w:tabs>
          <w:tab w:val="clear" w:pos="1505"/>
          <w:tab w:val="num" w:pos="1134"/>
        </w:tabs>
        <w:spacing w:before="120" w:after="120"/>
        <w:ind w:left="1134" w:hanging="567"/>
      </w:pPr>
      <w:r w:rsidRPr="005101C5">
        <w:t>do not compromise the health and safety of people; and</w:t>
      </w:r>
    </w:p>
    <w:p w14:paraId="1DDF6585" w14:textId="77777777" w:rsidR="00AE14A8" w:rsidRPr="005101C5" w:rsidRDefault="00AE14A8" w:rsidP="00B96BF5">
      <w:pPr>
        <w:numPr>
          <w:ilvl w:val="0"/>
          <w:numId w:val="31"/>
        </w:numPr>
        <w:spacing w:before="120" w:after="120"/>
        <w:ind w:left="1134" w:hanging="567"/>
      </w:pPr>
      <w:r w:rsidRPr="005101C5">
        <w:t>minimise the exposure of persons undertaking the dealings to the GMOs, other than intended exposure of trial participants.</w:t>
      </w:r>
    </w:p>
    <w:p w14:paraId="1E466839" w14:textId="77777777" w:rsidR="00AE14A8" w:rsidRPr="005101C5" w:rsidRDefault="00AE14A8" w:rsidP="00B96BF5">
      <w:pPr>
        <w:numPr>
          <w:ilvl w:val="0"/>
          <w:numId w:val="8"/>
        </w:numPr>
        <w:tabs>
          <w:tab w:val="num" w:pos="567"/>
        </w:tabs>
        <w:spacing w:before="120" w:after="120"/>
        <w:ind w:left="0" w:firstLine="0"/>
      </w:pPr>
      <w:r w:rsidRPr="005101C5">
        <w:t xml:space="preserve">For the purposes of Condition </w:t>
      </w:r>
      <w:r w:rsidRPr="005101C5">
        <w:fldChar w:fldCharType="begin"/>
      </w:r>
      <w:r w:rsidRPr="005101C5">
        <w:instrText xml:space="preserve"> REF _Ref433269578 \r \h </w:instrText>
      </w:r>
      <w:r w:rsidRPr="005101C5">
        <w:fldChar w:fldCharType="separate"/>
      </w:r>
      <w:r w:rsidR="00C970C0" w:rsidRPr="005101C5">
        <w:t>35</w:t>
      </w:r>
      <w:r w:rsidRPr="005101C5">
        <w:fldChar w:fldCharType="end"/>
      </w:r>
      <w:r w:rsidRPr="005101C5">
        <w:t>, the work practices and behaviours must include, but are not limited to, the following:</w:t>
      </w:r>
    </w:p>
    <w:p w14:paraId="0E19226F" w14:textId="77777777" w:rsidR="00AE14A8" w:rsidRPr="005101C5" w:rsidRDefault="00AE14A8" w:rsidP="00B96BF5">
      <w:pPr>
        <w:numPr>
          <w:ilvl w:val="0"/>
          <w:numId w:val="29"/>
        </w:numPr>
        <w:tabs>
          <w:tab w:val="clear" w:pos="1505"/>
          <w:tab w:val="num" w:pos="1134"/>
        </w:tabs>
        <w:spacing w:before="120" w:after="120"/>
        <w:ind w:left="1134" w:hanging="567"/>
      </w:pPr>
      <w:r w:rsidRPr="005101C5">
        <w:t>all inoculations of the GMOs must be administered by suitably qualified and trained medical staff; and</w:t>
      </w:r>
    </w:p>
    <w:p w14:paraId="754AB9FD" w14:textId="77777777" w:rsidR="00AE14A8" w:rsidRPr="005101C5" w:rsidRDefault="00AE14A8" w:rsidP="00B96BF5">
      <w:pPr>
        <w:numPr>
          <w:ilvl w:val="0"/>
          <w:numId w:val="29"/>
        </w:numPr>
        <w:tabs>
          <w:tab w:val="clear" w:pos="1505"/>
          <w:tab w:val="num" w:pos="1134"/>
        </w:tabs>
        <w:spacing w:before="120" w:after="120"/>
        <w:ind w:left="1134" w:hanging="567"/>
      </w:pPr>
      <w:r w:rsidRPr="005101C5">
        <w:t>when dispensing and administering the GMO, clinical trial staff must:</w:t>
      </w:r>
    </w:p>
    <w:p w14:paraId="4ECE0B8E" w14:textId="77777777" w:rsidR="00AE14A8" w:rsidRPr="005101C5" w:rsidRDefault="00AE14A8" w:rsidP="00B96BF5">
      <w:pPr>
        <w:numPr>
          <w:ilvl w:val="0"/>
          <w:numId w:val="30"/>
        </w:numPr>
        <w:spacing w:before="120" w:after="120"/>
        <w:ind w:left="1701" w:hanging="283"/>
      </w:pPr>
      <w:r w:rsidRPr="005101C5">
        <w:t>use a Class II biosafety cabinet to prepare the inoculum;</w:t>
      </w:r>
    </w:p>
    <w:p w14:paraId="519E2F1C" w14:textId="77777777" w:rsidR="00AE14A8" w:rsidRPr="005101C5" w:rsidRDefault="00AE14A8" w:rsidP="00B96BF5">
      <w:pPr>
        <w:numPr>
          <w:ilvl w:val="0"/>
          <w:numId w:val="30"/>
        </w:numPr>
        <w:spacing w:before="120" w:after="120"/>
        <w:ind w:left="1701" w:hanging="283"/>
      </w:pPr>
      <w:r w:rsidRPr="005101C5">
        <w:t>wear personal protective equipment including a laboratory coat or gown, gloves, eye protection and mask;</w:t>
      </w:r>
    </w:p>
    <w:p w14:paraId="3C822DEC" w14:textId="77777777" w:rsidR="00AE14A8" w:rsidRPr="005101C5" w:rsidRDefault="00AE14A8" w:rsidP="00B96BF5">
      <w:pPr>
        <w:numPr>
          <w:ilvl w:val="0"/>
          <w:numId w:val="30"/>
        </w:numPr>
        <w:spacing w:before="120" w:after="120"/>
        <w:ind w:left="1701" w:hanging="283"/>
      </w:pPr>
      <w:r w:rsidRPr="005101C5">
        <w:t>follow institutional procedures for safe handling of sharps.</w:t>
      </w:r>
    </w:p>
    <w:p w14:paraId="69288E06" w14:textId="77777777" w:rsidR="00AE14A8" w:rsidRPr="005101C5" w:rsidRDefault="00AE14A8" w:rsidP="00125730">
      <w:pPr>
        <w:spacing w:before="120" w:after="120"/>
        <w:outlineLvl w:val="3"/>
        <w:rPr>
          <w:b/>
          <w:u w:val="single"/>
        </w:rPr>
      </w:pPr>
      <w:bookmarkStart w:id="46" w:name="_Toc330475753"/>
      <w:r w:rsidRPr="005101C5">
        <w:rPr>
          <w:b/>
          <w:u w:val="single"/>
        </w:rPr>
        <w:t>Patient samples containing the GMO</w:t>
      </w:r>
    </w:p>
    <w:p w14:paraId="53DD6D78" w14:textId="77777777" w:rsidR="00AE14A8" w:rsidRPr="005101C5" w:rsidRDefault="00AE14A8" w:rsidP="00B96BF5">
      <w:pPr>
        <w:numPr>
          <w:ilvl w:val="0"/>
          <w:numId w:val="8"/>
        </w:numPr>
        <w:tabs>
          <w:tab w:val="num" w:pos="567"/>
        </w:tabs>
        <w:spacing w:before="120" w:after="120"/>
        <w:ind w:left="0" w:firstLine="0"/>
      </w:pPr>
      <w:r w:rsidRPr="005101C5">
        <w:t>Where a sample taken from a trial participant contains the GMO, or may reasonably be expected to contain the GMO, the sample must be treated as if it were the GMO.</w:t>
      </w:r>
    </w:p>
    <w:p w14:paraId="70BD8702" w14:textId="77777777" w:rsidR="00AE14A8" w:rsidRPr="005101C5" w:rsidRDefault="00AE14A8" w:rsidP="00125730">
      <w:pPr>
        <w:spacing w:before="120" w:after="120"/>
        <w:outlineLvl w:val="3"/>
        <w:rPr>
          <w:b/>
          <w:u w:val="single"/>
        </w:rPr>
      </w:pPr>
      <w:r w:rsidRPr="005101C5">
        <w:rPr>
          <w:b/>
          <w:u w:val="single"/>
        </w:rPr>
        <w:t>Storage of the GMO</w:t>
      </w:r>
    </w:p>
    <w:p w14:paraId="31F13F94" w14:textId="77777777" w:rsidR="00AE14A8" w:rsidRPr="005101C5" w:rsidRDefault="00AE14A8" w:rsidP="00B96BF5">
      <w:pPr>
        <w:numPr>
          <w:ilvl w:val="0"/>
          <w:numId w:val="8"/>
        </w:numPr>
        <w:tabs>
          <w:tab w:val="num" w:pos="567"/>
        </w:tabs>
        <w:spacing w:before="120" w:after="120"/>
        <w:ind w:left="0" w:firstLine="0"/>
      </w:pPr>
      <w:r w:rsidRPr="005101C5">
        <w:t xml:space="preserve">Storage of the GMO at Study Sites must be in accordance with Part 2.1 of the Regulator’s </w:t>
      </w:r>
      <w:r w:rsidRPr="005101C5">
        <w:rPr>
          <w:i/>
        </w:rPr>
        <w:t>Guidelines for the Transport, Storage and Disposal of GMOs,</w:t>
      </w:r>
      <w:r w:rsidRPr="005101C5">
        <w:t xml:space="preserve"> as current at the time of storage.</w:t>
      </w:r>
    </w:p>
    <w:p w14:paraId="0F20E151" w14:textId="77777777" w:rsidR="00AE14A8" w:rsidRPr="005101C5" w:rsidRDefault="00AE14A8" w:rsidP="00B96BF5">
      <w:pPr>
        <w:numPr>
          <w:ilvl w:val="0"/>
          <w:numId w:val="8"/>
        </w:numPr>
        <w:tabs>
          <w:tab w:val="num" w:pos="567"/>
        </w:tabs>
        <w:spacing w:before="120" w:after="120"/>
        <w:ind w:left="0" w:firstLine="0"/>
      </w:pPr>
      <w:r w:rsidRPr="005101C5">
        <w:t>Samples that may reasonably be expected to contain the GMO that are stored in Analytical Facilities must be stored under two levels of containment. The outermost container must be unbreakable and clearly labelled to indicate that it contains or may contain a GMO.</w:t>
      </w:r>
    </w:p>
    <w:p w14:paraId="7B709E03" w14:textId="77777777" w:rsidR="00AE14A8" w:rsidRPr="005101C5" w:rsidRDefault="00AE14A8" w:rsidP="00AE14A8">
      <w:pPr>
        <w:spacing w:before="120" w:after="120"/>
        <w:rPr>
          <w:i/>
        </w:rPr>
      </w:pPr>
      <w:r w:rsidRPr="005101C5">
        <w:rPr>
          <w:i/>
        </w:rPr>
        <w:lastRenderedPageBreak/>
        <w:t>Note: In the case of a small storage unit such as a fridge, freezer or liquid nitrogen container, the secondary container may be the storage unit.</w:t>
      </w:r>
    </w:p>
    <w:p w14:paraId="2A6AE522" w14:textId="77777777" w:rsidR="00AE14A8" w:rsidRPr="005101C5" w:rsidRDefault="00AE14A8" w:rsidP="00125730">
      <w:pPr>
        <w:spacing w:before="120" w:after="120"/>
        <w:outlineLvl w:val="3"/>
        <w:rPr>
          <w:b/>
          <w:u w:val="single"/>
        </w:rPr>
      </w:pPr>
      <w:r w:rsidRPr="005101C5">
        <w:rPr>
          <w:b/>
          <w:u w:val="single"/>
        </w:rPr>
        <w:t>Transport and Disposal</w:t>
      </w:r>
      <w:bookmarkEnd w:id="46"/>
      <w:r w:rsidRPr="005101C5">
        <w:rPr>
          <w:b/>
          <w:u w:val="single"/>
        </w:rPr>
        <w:t xml:space="preserve"> of the GMO</w:t>
      </w:r>
    </w:p>
    <w:p w14:paraId="61E50F8F" w14:textId="77777777" w:rsidR="00AE14A8" w:rsidRPr="005101C5" w:rsidRDefault="00AE14A8" w:rsidP="00B96BF5">
      <w:pPr>
        <w:numPr>
          <w:ilvl w:val="0"/>
          <w:numId w:val="8"/>
        </w:numPr>
        <w:tabs>
          <w:tab w:val="num" w:pos="567"/>
        </w:tabs>
        <w:spacing w:before="120" w:after="120"/>
        <w:ind w:left="0" w:firstLine="0"/>
      </w:pPr>
      <w:bookmarkStart w:id="47" w:name="_Ref433130891"/>
      <w:r w:rsidRPr="005101C5">
        <w:t xml:space="preserve">Transport of the GMO must be in accordance with Part 1.2 of the Regulator’s </w:t>
      </w:r>
      <w:r w:rsidRPr="005101C5">
        <w:rPr>
          <w:i/>
        </w:rPr>
        <w:t xml:space="preserve">Guidelines for the Transport, Storage and Disposal of GMOs </w:t>
      </w:r>
      <w:r w:rsidRPr="005101C5">
        <w:t>in force at the time of transportation, unless:</w:t>
      </w:r>
    </w:p>
    <w:p w14:paraId="2B92C25C" w14:textId="77777777" w:rsidR="00AE14A8" w:rsidRPr="005101C5" w:rsidRDefault="00AE14A8" w:rsidP="00B96BF5">
      <w:pPr>
        <w:numPr>
          <w:ilvl w:val="0"/>
          <w:numId w:val="32"/>
        </w:numPr>
        <w:tabs>
          <w:tab w:val="clear" w:pos="720"/>
          <w:tab w:val="num" w:pos="1134"/>
        </w:tabs>
        <w:spacing w:before="120" w:after="120"/>
        <w:ind w:left="1134" w:hanging="567"/>
      </w:pPr>
      <w:r w:rsidRPr="005101C5">
        <w:t xml:space="preserve">the transport is by contractors transporting the GMO from the point of import directly to a Study Site, and the transport is in accordance with Condition </w:t>
      </w:r>
      <w:r w:rsidRPr="005101C5">
        <w:fldChar w:fldCharType="begin"/>
      </w:r>
      <w:r w:rsidRPr="005101C5">
        <w:instrText xml:space="preserve"> REF _Ref436257043 \r \h </w:instrText>
      </w:r>
      <w:r w:rsidRPr="005101C5">
        <w:fldChar w:fldCharType="separate"/>
      </w:r>
      <w:r w:rsidR="00C970C0" w:rsidRPr="005101C5">
        <w:t>16</w:t>
      </w:r>
      <w:r w:rsidRPr="005101C5">
        <w:fldChar w:fldCharType="end"/>
      </w:r>
      <w:r w:rsidRPr="005101C5">
        <w:t xml:space="preserve"> (b); or</w:t>
      </w:r>
    </w:p>
    <w:p w14:paraId="3836FBFE" w14:textId="77777777" w:rsidR="00AE14A8" w:rsidRPr="005101C5" w:rsidRDefault="00AE14A8" w:rsidP="00B96BF5">
      <w:pPr>
        <w:numPr>
          <w:ilvl w:val="0"/>
          <w:numId w:val="32"/>
        </w:numPr>
        <w:tabs>
          <w:tab w:val="clear" w:pos="720"/>
          <w:tab w:val="num" w:pos="1134"/>
        </w:tabs>
        <w:spacing w:before="120" w:after="120"/>
        <w:ind w:left="1134" w:hanging="567"/>
      </w:pPr>
      <w:r w:rsidRPr="005101C5">
        <w:t xml:space="preserve">the transport is by contractors for the purpose of disposal and is in accordance with Condition </w:t>
      </w:r>
      <w:r w:rsidRPr="005101C5">
        <w:fldChar w:fldCharType="begin"/>
      </w:r>
      <w:r w:rsidRPr="005101C5">
        <w:instrText xml:space="preserve"> REF _Ref436257043 \r \h </w:instrText>
      </w:r>
      <w:r w:rsidRPr="005101C5">
        <w:fldChar w:fldCharType="separate"/>
      </w:r>
      <w:r w:rsidR="00C970C0" w:rsidRPr="005101C5">
        <w:t>16</w:t>
      </w:r>
      <w:r w:rsidRPr="005101C5">
        <w:fldChar w:fldCharType="end"/>
      </w:r>
      <w:r w:rsidRPr="005101C5">
        <w:t xml:space="preserve"> (c</w:t>
      </w:r>
      <w:proofErr w:type="gramStart"/>
      <w:r w:rsidRPr="005101C5">
        <w:t>);</w:t>
      </w:r>
      <w:proofErr w:type="gramEnd"/>
    </w:p>
    <w:p w14:paraId="306E1E6F" w14:textId="77777777" w:rsidR="00AE14A8" w:rsidRPr="005101C5" w:rsidRDefault="00AE14A8" w:rsidP="00B96BF5">
      <w:pPr>
        <w:numPr>
          <w:ilvl w:val="0"/>
          <w:numId w:val="32"/>
        </w:numPr>
        <w:tabs>
          <w:tab w:val="clear" w:pos="720"/>
          <w:tab w:val="num" w:pos="1134"/>
        </w:tabs>
        <w:spacing w:before="120" w:after="120"/>
        <w:ind w:left="1134" w:hanging="567"/>
      </w:pPr>
      <w:r w:rsidRPr="005101C5">
        <w:t>waste potentially contaminated with the GMO is being returned to the treating Study Site by a trial participant.</w:t>
      </w:r>
    </w:p>
    <w:bookmarkEnd w:id="47"/>
    <w:p w14:paraId="0B925607" w14:textId="77777777" w:rsidR="00AE14A8" w:rsidRPr="005101C5" w:rsidRDefault="00AE14A8" w:rsidP="00B96BF5">
      <w:pPr>
        <w:numPr>
          <w:ilvl w:val="0"/>
          <w:numId w:val="8"/>
        </w:numPr>
        <w:tabs>
          <w:tab w:val="num" w:pos="567"/>
        </w:tabs>
        <w:spacing w:before="120" w:after="120"/>
        <w:ind w:left="0" w:firstLine="0"/>
      </w:pPr>
      <w:r w:rsidRPr="005101C5">
        <w:t>Decontamination of the GMO or waste containing the GMO must be by autoclaving, high temperature incineration, chemical treatment or other method used by a Study Site for disposal of infectious clinical waste.</w:t>
      </w:r>
    </w:p>
    <w:p w14:paraId="07FB0BE2" w14:textId="77777777" w:rsidR="00AE14A8" w:rsidRPr="005101C5" w:rsidRDefault="00AE14A8" w:rsidP="00B96BF5">
      <w:pPr>
        <w:numPr>
          <w:ilvl w:val="0"/>
          <w:numId w:val="8"/>
        </w:numPr>
        <w:tabs>
          <w:tab w:val="num" w:pos="567"/>
        </w:tabs>
        <w:spacing w:before="120" w:after="120"/>
        <w:ind w:left="0" w:firstLine="0"/>
      </w:pPr>
      <w:r w:rsidRPr="005101C5">
        <w:t>Unless covered by another authorisation, the GMO and any Material or waste containing the GMO must be destroyed or exported, on or before expiration of the licence.</w:t>
      </w:r>
    </w:p>
    <w:p w14:paraId="45039F90" w14:textId="77777777" w:rsidR="005C5929" w:rsidRPr="005101C5" w:rsidRDefault="005C5929" w:rsidP="00910F9F">
      <w:pPr>
        <w:spacing w:before="120" w:after="120"/>
        <w:rPr>
          <w:i/>
        </w:rPr>
      </w:pPr>
      <w:bookmarkStart w:id="48" w:name="_Toc330475755"/>
      <w:r w:rsidRPr="005101C5">
        <w:rPr>
          <w:i/>
        </w:rPr>
        <w:t>Note: Condition</w:t>
      </w:r>
      <w:r w:rsidRPr="005101C5">
        <w:rPr>
          <w:i/>
        </w:rPr>
        <w:fldChar w:fldCharType="begin"/>
      </w:r>
      <w:r w:rsidRPr="005101C5">
        <w:rPr>
          <w:i/>
        </w:rPr>
        <w:instrText xml:space="preserve"> REF _Ref456270226 \r \h </w:instrText>
      </w:r>
      <w:r w:rsidRPr="005101C5">
        <w:rPr>
          <w:i/>
        </w:rPr>
      </w:r>
      <w:r w:rsidRPr="005101C5">
        <w:rPr>
          <w:i/>
        </w:rPr>
        <w:fldChar w:fldCharType="separate"/>
      </w:r>
      <w:r w:rsidRPr="005101C5">
        <w:rPr>
          <w:i/>
        </w:rPr>
        <w:t>28</w:t>
      </w:r>
      <w:r w:rsidRPr="005101C5">
        <w:rPr>
          <w:i/>
        </w:rPr>
        <w:fldChar w:fldCharType="end"/>
      </w:r>
      <w:r w:rsidRPr="005101C5">
        <w:rPr>
          <w:i/>
        </w:rPr>
        <w:t xml:space="preserve"> requires</w:t>
      </w:r>
      <w:r w:rsidRPr="005101C5">
        <w:t xml:space="preserve"> </w:t>
      </w:r>
      <w:r w:rsidRPr="005101C5">
        <w:rPr>
          <w:i/>
        </w:rPr>
        <w:t>the licence holder to</w:t>
      </w:r>
      <w:r w:rsidRPr="005101C5">
        <w:t xml:space="preserve"> </w:t>
      </w:r>
      <w:r w:rsidRPr="005101C5">
        <w:rPr>
          <w:i/>
        </w:rPr>
        <w:t>account for all GMOs under this licence from import to destruction or export, and to make records available to the Regulator on request.</w:t>
      </w:r>
    </w:p>
    <w:p w14:paraId="370D3593" w14:textId="77777777" w:rsidR="00AE14A8" w:rsidRPr="005101C5" w:rsidRDefault="00AE14A8" w:rsidP="00125730">
      <w:pPr>
        <w:spacing w:before="120" w:after="120"/>
        <w:outlineLvl w:val="3"/>
        <w:rPr>
          <w:b/>
          <w:u w:val="single"/>
        </w:rPr>
      </w:pPr>
      <w:r w:rsidRPr="005101C5">
        <w:rPr>
          <w:b/>
          <w:u w:val="single"/>
        </w:rPr>
        <w:t>Contingency Plans</w:t>
      </w:r>
    </w:p>
    <w:p w14:paraId="10CD0F36" w14:textId="77777777" w:rsidR="00AE14A8" w:rsidRPr="005101C5" w:rsidRDefault="00AE14A8" w:rsidP="00B96BF5">
      <w:pPr>
        <w:numPr>
          <w:ilvl w:val="0"/>
          <w:numId w:val="8"/>
        </w:numPr>
        <w:tabs>
          <w:tab w:val="num" w:pos="567"/>
        </w:tabs>
        <w:spacing w:before="120" w:after="120"/>
        <w:ind w:left="0" w:firstLine="0"/>
      </w:pPr>
      <w:bookmarkStart w:id="49" w:name="_Ref436404590"/>
      <w:r w:rsidRPr="005101C5">
        <w:t>Before any trial participant is inoculated with the GMOs</w:t>
      </w:r>
      <w:r w:rsidR="00725B3E" w:rsidRPr="005101C5">
        <w:t xml:space="preserve"> at </w:t>
      </w:r>
      <w:r w:rsidR="00CA5848" w:rsidRPr="005101C5">
        <w:t>a</w:t>
      </w:r>
      <w:r w:rsidR="00725B3E" w:rsidRPr="005101C5">
        <w:t xml:space="preserve"> Study site</w:t>
      </w:r>
      <w:r w:rsidRPr="005101C5">
        <w:t>, a written Contingency Plan</w:t>
      </w:r>
      <w:r w:rsidR="00CA5848" w:rsidRPr="005101C5">
        <w:t xml:space="preserve"> applicable to that</w:t>
      </w:r>
      <w:r w:rsidR="00725B3E" w:rsidRPr="005101C5">
        <w:t xml:space="preserve"> Study site</w:t>
      </w:r>
      <w:r w:rsidRPr="005101C5">
        <w:t xml:space="preserve"> must be submitted to the Regulator detailing measures to be taken in the event of:</w:t>
      </w:r>
      <w:bookmarkEnd w:id="49"/>
    </w:p>
    <w:p w14:paraId="25CD570C" w14:textId="77777777" w:rsidR="00AE14A8" w:rsidRPr="005101C5" w:rsidRDefault="00AE14A8" w:rsidP="00B96BF5">
      <w:pPr>
        <w:numPr>
          <w:ilvl w:val="0"/>
          <w:numId w:val="33"/>
        </w:numPr>
        <w:spacing w:before="120" w:after="120"/>
        <w:ind w:left="1134" w:hanging="567"/>
      </w:pPr>
      <w:r w:rsidRPr="005101C5">
        <w:t>the unintentional release of the GMO, such as a spill outside of a Study Site;</w:t>
      </w:r>
    </w:p>
    <w:p w14:paraId="51912553" w14:textId="77777777" w:rsidR="00AE14A8" w:rsidRPr="005101C5" w:rsidRDefault="00AE14A8" w:rsidP="00B96BF5">
      <w:pPr>
        <w:numPr>
          <w:ilvl w:val="0"/>
          <w:numId w:val="33"/>
        </w:numPr>
        <w:spacing w:before="120" w:after="120"/>
        <w:ind w:left="1134" w:hanging="567"/>
      </w:pPr>
      <w:r w:rsidRPr="005101C5">
        <w:t>suspected or confirmed transmission to persons other than trial participants; and</w:t>
      </w:r>
    </w:p>
    <w:p w14:paraId="4851C34F" w14:textId="77777777" w:rsidR="00AE14A8" w:rsidRPr="005101C5" w:rsidRDefault="00AE14A8" w:rsidP="00B96BF5">
      <w:pPr>
        <w:numPr>
          <w:ilvl w:val="0"/>
          <w:numId w:val="33"/>
        </w:numPr>
        <w:spacing w:before="120" w:after="120"/>
        <w:ind w:left="1134" w:hanging="567"/>
      </w:pPr>
      <w:r w:rsidRPr="005101C5">
        <w:t xml:space="preserve">a person exposed to the GMOs (including a trial participant) developing a Serious adverse event linked to exposure to the GMO, including those known to result from infection with </w:t>
      </w:r>
      <w:r w:rsidRPr="005101C5">
        <w:rPr>
          <w:i/>
        </w:rPr>
        <w:t>influenza virus</w:t>
      </w:r>
      <w:r w:rsidRPr="005101C5">
        <w:t>.</w:t>
      </w:r>
    </w:p>
    <w:p w14:paraId="03BE8598" w14:textId="77777777" w:rsidR="002B5DB7" w:rsidRPr="005101C5" w:rsidRDefault="00AE14A8" w:rsidP="008D13A8">
      <w:pPr>
        <w:spacing w:before="120" w:after="120"/>
        <w:rPr>
          <w:i/>
        </w:rPr>
      </w:pPr>
      <w:r w:rsidRPr="005101C5">
        <w:rPr>
          <w:i/>
        </w:rPr>
        <w:t xml:space="preserve">Note: </w:t>
      </w:r>
      <w:r w:rsidR="002B5DB7" w:rsidRPr="005101C5">
        <w:rPr>
          <w:i/>
        </w:rPr>
        <w:t>A contingency plan may be applicable to more than one Study site.</w:t>
      </w:r>
    </w:p>
    <w:p w14:paraId="3F17CE2B" w14:textId="77777777" w:rsidR="00AE14A8" w:rsidRPr="005101C5" w:rsidRDefault="002B5DB7" w:rsidP="008D13A8">
      <w:pPr>
        <w:spacing w:before="120" w:after="120"/>
        <w:rPr>
          <w:i/>
        </w:rPr>
      </w:pPr>
      <w:r w:rsidRPr="005101C5">
        <w:rPr>
          <w:i/>
        </w:rPr>
        <w:t>Note 2</w:t>
      </w:r>
      <w:r w:rsidR="00CA5848" w:rsidRPr="005101C5">
        <w:rPr>
          <w:i/>
        </w:rPr>
        <w:t xml:space="preserve">: </w:t>
      </w:r>
      <w:r w:rsidR="00AE14A8" w:rsidRPr="005101C5">
        <w:rPr>
          <w:i/>
        </w:rPr>
        <w:t>Serious adverse events</w:t>
      </w:r>
      <w:r w:rsidR="00AE14A8" w:rsidRPr="005101C5">
        <w:t xml:space="preserve"> </w:t>
      </w:r>
      <w:r w:rsidR="00AE14A8" w:rsidRPr="005101C5">
        <w:rPr>
          <w:i/>
        </w:rPr>
        <w:t>linked to exposure to the GMOs must also be reported in the Annual Report to the Regulator.</w:t>
      </w:r>
    </w:p>
    <w:p w14:paraId="0F4D1912" w14:textId="77777777" w:rsidR="00AE14A8" w:rsidRPr="005101C5" w:rsidRDefault="00AE14A8" w:rsidP="00B96BF5">
      <w:pPr>
        <w:numPr>
          <w:ilvl w:val="0"/>
          <w:numId w:val="8"/>
        </w:numPr>
        <w:tabs>
          <w:tab w:val="num" w:pos="567"/>
        </w:tabs>
        <w:spacing w:before="120" w:after="120"/>
        <w:ind w:left="0" w:firstLine="0"/>
      </w:pPr>
      <w:r w:rsidRPr="005101C5">
        <w:t>The Contingency Plan must include details of procedures to:</w:t>
      </w:r>
    </w:p>
    <w:p w14:paraId="1BC78C07" w14:textId="77777777" w:rsidR="00AE14A8" w:rsidRPr="005101C5" w:rsidRDefault="00AE14A8" w:rsidP="00B96BF5">
      <w:pPr>
        <w:numPr>
          <w:ilvl w:val="0"/>
          <w:numId w:val="34"/>
        </w:numPr>
        <w:tabs>
          <w:tab w:val="num" w:pos="1134"/>
        </w:tabs>
        <w:spacing w:before="120" w:after="120"/>
        <w:ind w:left="1134" w:hanging="567"/>
      </w:pPr>
      <w:r w:rsidRPr="005101C5">
        <w:t>ensure the Regulator is notified as soon as reasonably possible after the licence holder becomes aware of the event; and</w:t>
      </w:r>
    </w:p>
    <w:p w14:paraId="51539CC4" w14:textId="77777777" w:rsidR="00AE14A8" w:rsidRPr="005101C5" w:rsidRDefault="00AE14A8" w:rsidP="00B96BF5">
      <w:pPr>
        <w:numPr>
          <w:ilvl w:val="0"/>
          <w:numId w:val="34"/>
        </w:numPr>
        <w:tabs>
          <w:tab w:val="num" w:pos="1134"/>
        </w:tabs>
        <w:spacing w:before="120" w:after="120"/>
        <w:ind w:left="1134" w:hanging="567"/>
      </w:pPr>
      <w:r w:rsidRPr="005101C5">
        <w:t>if there is a spill of the GMO, such as during import, transport, storage or disposal, implement the following measures:</w:t>
      </w:r>
    </w:p>
    <w:p w14:paraId="0FB1FC33" w14:textId="77777777" w:rsidR="00AE14A8" w:rsidRPr="005101C5" w:rsidRDefault="00AE14A8" w:rsidP="00B96BF5">
      <w:pPr>
        <w:pStyle w:val="roman"/>
        <w:numPr>
          <w:ilvl w:val="0"/>
          <w:numId w:val="40"/>
        </w:numPr>
        <w:ind w:left="1560" w:hanging="426"/>
      </w:pPr>
      <w:r w:rsidRPr="005101C5">
        <w:t>contain the GMOs to prevent further dispersal; and</w:t>
      </w:r>
    </w:p>
    <w:p w14:paraId="3A24E0B5" w14:textId="77777777" w:rsidR="00AE14A8" w:rsidRPr="005101C5" w:rsidRDefault="00AE14A8" w:rsidP="00B96BF5">
      <w:pPr>
        <w:pStyle w:val="roman"/>
        <w:numPr>
          <w:ilvl w:val="0"/>
          <w:numId w:val="40"/>
        </w:numPr>
        <w:ind w:left="1560" w:hanging="426"/>
      </w:pPr>
      <w:r w:rsidRPr="005101C5">
        <w:t>decontaminate the exposed area with an appropriate chemical disinfectant effective against the GMOs;</w:t>
      </w:r>
    </w:p>
    <w:p w14:paraId="33CD51BA" w14:textId="77777777" w:rsidR="00AE14A8" w:rsidRPr="005101C5" w:rsidRDefault="00AE14A8" w:rsidP="00B96BF5">
      <w:pPr>
        <w:numPr>
          <w:ilvl w:val="0"/>
          <w:numId w:val="34"/>
        </w:numPr>
        <w:tabs>
          <w:tab w:val="num" w:pos="1134"/>
        </w:tabs>
        <w:spacing w:before="120" w:after="120"/>
        <w:ind w:left="1134" w:hanging="567"/>
      </w:pPr>
      <w:r w:rsidRPr="005101C5">
        <w:t>if transmission of the GMOs to people other than trial participants is suspected or confirmed, provide appropriate medical treatment to affected persons as necessary;</w:t>
      </w:r>
    </w:p>
    <w:p w14:paraId="66C51B78" w14:textId="77777777" w:rsidR="00AE14A8" w:rsidRPr="005101C5" w:rsidRDefault="00AE14A8" w:rsidP="00B96BF5">
      <w:pPr>
        <w:numPr>
          <w:ilvl w:val="0"/>
          <w:numId w:val="34"/>
        </w:numPr>
        <w:tabs>
          <w:tab w:val="num" w:pos="1134"/>
        </w:tabs>
        <w:spacing w:before="120" w:after="120"/>
        <w:ind w:left="1134" w:hanging="567"/>
      </w:pPr>
      <w:r w:rsidRPr="005101C5">
        <w:t>if a person exposed to the GMO exhibits symptoms of a severe adverse response:</w:t>
      </w:r>
    </w:p>
    <w:p w14:paraId="32BBAEB3" w14:textId="77777777" w:rsidR="00AE14A8" w:rsidRPr="005101C5" w:rsidRDefault="00AE14A8" w:rsidP="00B96BF5">
      <w:pPr>
        <w:pStyle w:val="roman"/>
        <w:numPr>
          <w:ilvl w:val="0"/>
          <w:numId w:val="41"/>
        </w:numPr>
        <w:ind w:left="1560" w:hanging="426"/>
      </w:pPr>
      <w:r w:rsidRPr="005101C5">
        <w:lastRenderedPageBreak/>
        <w:t>provide appropriate medical treatment to the affected person; and</w:t>
      </w:r>
    </w:p>
    <w:p w14:paraId="6529D647" w14:textId="77777777" w:rsidR="00AE14A8" w:rsidRPr="005101C5" w:rsidRDefault="00AE14A8" w:rsidP="00B96BF5">
      <w:pPr>
        <w:pStyle w:val="ListParagraph"/>
        <w:numPr>
          <w:ilvl w:val="0"/>
          <w:numId w:val="41"/>
        </w:numPr>
        <w:spacing w:before="120" w:after="120"/>
        <w:ind w:left="1560" w:hanging="426"/>
      </w:pPr>
      <w:r w:rsidRPr="005101C5">
        <w:t>implement measures prevent the spread or persistence of the GMO.</w:t>
      </w:r>
    </w:p>
    <w:p w14:paraId="110E460D" w14:textId="77777777" w:rsidR="00AE14A8" w:rsidRPr="005101C5" w:rsidRDefault="00AE14A8" w:rsidP="0063657C">
      <w:pPr>
        <w:pStyle w:val="2RARMP"/>
        <w:ind w:left="1531"/>
        <w:rPr>
          <w:rFonts w:eastAsia="Times New Roman"/>
        </w:rPr>
      </w:pPr>
      <w:bookmarkStart w:id="50" w:name="_Toc437596427"/>
      <w:bookmarkStart w:id="51" w:name="_Toc449114413"/>
      <w:bookmarkStart w:id="52" w:name="_Toc451350064"/>
      <w:r w:rsidRPr="005101C5">
        <w:rPr>
          <w:rFonts w:eastAsia="Times New Roman"/>
        </w:rPr>
        <w:t>Additional Reporting Requirements</w:t>
      </w:r>
      <w:bookmarkEnd w:id="48"/>
      <w:bookmarkEnd w:id="50"/>
      <w:bookmarkEnd w:id="51"/>
      <w:bookmarkEnd w:id="52"/>
    </w:p>
    <w:p w14:paraId="6BA2158B" w14:textId="77777777" w:rsidR="00AE14A8" w:rsidRPr="005101C5" w:rsidRDefault="00AE14A8" w:rsidP="0063657C">
      <w:pPr>
        <w:pStyle w:val="3RARMP"/>
        <w:spacing w:before="240"/>
        <w:rPr>
          <w:rFonts w:eastAsia="Times New Roman"/>
        </w:rPr>
      </w:pPr>
      <w:bookmarkStart w:id="53" w:name="_Toc437596428"/>
      <w:r w:rsidRPr="005101C5">
        <w:rPr>
          <w:rFonts w:eastAsia="Times New Roman"/>
        </w:rPr>
        <w:t>Notice of commencement and completion of the trial</w:t>
      </w:r>
      <w:bookmarkEnd w:id="53"/>
    </w:p>
    <w:p w14:paraId="442177DF" w14:textId="77777777" w:rsidR="00AE14A8" w:rsidRPr="005101C5" w:rsidRDefault="00AE14A8" w:rsidP="00B96BF5">
      <w:pPr>
        <w:numPr>
          <w:ilvl w:val="0"/>
          <w:numId w:val="8"/>
        </w:numPr>
        <w:tabs>
          <w:tab w:val="num" w:pos="567"/>
        </w:tabs>
        <w:spacing w:before="120" w:after="120"/>
        <w:ind w:left="0" w:firstLine="0"/>
      </w:pPr>
      <w:r w:rsidRPr="005101C5">
        <w:t>The licence holder must notify the Regulator of the following:</w:t>
      </w:r>
    </w:p>
    <w:p w14:paraId="530081F3" w14:textId="77777777" w:rsidR="00AE14A8" w:rsidRPr="005101C5" w:rsidRDefault="00AE14A8" w:rsidP="00B96BF5">
      <w:pPr>
        <w:numPr>
          <w:ilvl w:val="0"/>
          <w:numId w:val="35"/>
        </w:numPr>
        <w:tabs>
          <w:tab w:val="num" w:pos="1134"/>
        </w:tabs>
        <w:spacing w:before="120" w:after="120"/>
        <w:ind w:left="1134" w:hanging="567"/>
      </w:pPr>
      <w:r w:rsidRPr="005101C5">
        <w:t>the first inoculation of the first trial participant at each Study Site, within 7 days of the event; and</w:t>
      </w:r>
    </w:p>
    <w:p w14:paraId="55861C3F" w14:textId="77777777" w:rsidR="00AE14A8" w:rsidRPr="005101C5" w:rsidRDefault="00AE14A8" w:rsidP="00B96BF5">
      <w:pPr>
        <w:numPr>
          <w:ilvl w:val="0"/>
          <w:numId w:val="35"/>
        </w:numPr>
        <w:tabs>
          <w:tab w:val="num" w:pos="1134"/>
        </w:tabs>
        <w:spacing w:before="120" w:after="120"/>
        <w:ind w:left="1134" w:hanging="567"/>
      </w:pPr>
      <w:r w:rsidRPr="005101C5">
        <w:t>the final inoculation of the last trial participant at each Study Site, within 30 days of the decision to cease inoculations at the Study Site.</w:t>
      </w:r>
    </w:p>
    <w:p w14:paraId="14F675FB" w14:textId="77777777" w:rsidR="00AE14A8" w:rsidRPr="005101C5" w:rsidRDefault="00AE14A8" w:rsidP="0063657C">
      <w:pPr>
        <w:pStyle w:val="3RARMP"/>
        <w:spacing w:before="240"/>
        <w:rPr>
          <w:rFonts w:eastAsia="Times New Roman"/>
        </w:rPr>
      </w:pPr>
      <w:bookmarkStart w:id="54" w:name="_Toc437596429"/>
      <w:r w:rsidRPr="005101C5">
        <w:rPr>
          <w:rFonts w:eastAsia="Times New Roman"/>
        </w:rPr>
        <w:t>Annual Report</w:t>
      </w:r>
      <w:bookmarkEnd w:id="54"/>
    </w:p>
    <w:p w14:paraId="4E18D089" w14:textId="77777777" w:rsidR="00AE14A8" w:rsidRPr="005101C5" w:rsidRDefault="00AE14A8" w:rsidP="00B96BF5">
      <w:pPr>
        <w:numPr>
          <w:ilvl w:val="0"/>
          <w:numId w:val="8"/>
        </w:numPr>
        <w:tabs>
          <w:tab w:val="num" w:pos="567"/>
        </w:tabs>
        <w:spacing w:before="120" w:after="120"/>
        <w:ind w:left="0" w:firstLine="0"/>
      </w:pPr>
      <w:r w:rsidRPr="005101C5">
        <w:t>The licence holder must provide an Annual Report to the Regulator that includes:</w:t>
      </w:r>
    </w:p>
    <w:p w14:paraId="2904F402" w14:textId="77777777" w:rsidR="00AE14A8" w:rsidRPr="005101C5" w:rsidRDefault="00AE14A8" w:rsidP="00B96BF5">
      <w:pPr>
        <w:numPr>
          <w:ilvl w:val="0"/>
          <w:numId w:val="36"/>
        </w:numPr>
        <w:tabs>
          <w:tab w:val="clear" w:pos="1505"/>
          <w:tab w:val="num" w:pos="1134"/>
        </w:tabs>
        <w:spacing w:before="120" w:after="120"/>
        <w:ind w:left="1134" w:hanging="567"/>
      </w:pPr>
      <w:r w:rsidRPr="005101C5">
        <w:t>the number of trial participants inoculated with the GMO at each Study Site under this licence in the previous 12 months; and</w:t>
      </w:r>
    </w:p>
    <w:p w14:paraId="3E11BB35" w14:textId="77777777" w:rsidR="00AE14A8" w:rsidRPr="005101C5" w:rsidRDefault="00AE14A8" w:rsidP="00B96BF5">
      <w:pPr>
        <w:numPr>
          <w:ilvl w:val="0"/>
          <w:numId w:val="36"/>
        </w:numPr>
        <w:spacing w:before="120" w:after="120"/>
        <w:ind w:left="1134" w:hanging="567"/>
      </w:pPr>
      <w:r w:rsidRPr="005101C5">
        <w:t>details of any Serious adverse events linked to exposure to the GMOs.</w:t>
      </w:r>
    </w:p>
    <w:p w14:paraId="4947A8DC" w14:textId="77777777" w:rsidR="00AE14A8" w:rsidRPr="005101C5" w:rsidRDefault="00AE14A8" w:rsidP="0063657C">
      <w:pPr>
        <w:pStyle w:val="3RARMP"/>
        <w:spacing w:before="240"/>
        <w:rPr>
          <w:rFonts w:eastAsia="Times New Roman"/>
        </w:rPr>
      </w:pPr>
      <w:bookmarkStart w:id="55" w:name="_Toc437596430"/>
      <w:r w:rsidRPr="005101C5">
        <w:rPr>
          <w:rFonts w:eastAsia="Times New Roman"/>
        </w:rPr>
        <w:t>Testing methodology</w:t>
      </w:r>
      <w:bookmarkEnd w:id="55"/>
    </w:p>
    <w:p w14:paraId="5D25DA22" w14:textId="77777777" w:rsidR="00AE14A8" w:rsidRPr="005101C5" w:rsidRDefault="00AE14A8" w:rsidP="00B96BF5">
      <w:pPr>
        <w:numPr>
          <w:ilvl w:val="0"/>
          <w:numId w:val="8"/>
        </w:numPr>
        <w:tabs>
          <w:tab w:val="num" w:pos="567"/>
        </w:tabs>
        <w:spacing w:before="120" w:after="120"/>
        <w:ind w:left="0" w:firstLine="0"/>
        <w:sectPr w:rsidR="00AE14A8" w:rsidRPr="005101C5" w:rsidSect="00EE6341">
          <w:footerReference w:type="default" r:id="rId9"/>
          <w:pgSz w:w="11906" w:h="16838" w:code="9"/>
          <w:pgMar w:top="1247" w:right="1361" w:bottom="1247" w:left="1361" w:header="680" w:footer="567" w:gutter="0"/>
          <w:cols w:space="708"/>
          <w:docGrid w:linePitch="360"/>
        </w:sectPr>
      </w:pPr>
      <w:r w:rsidRPr="005101C5">
        <w:t>The licence holder must provide the Regulator with written methodology to reliably detect both the presence of the GMOs and the genetic modifications in the GMOs authorised by this licence, in a recipient organism. The detection method should be capable of reliably distinguishing between GMOs described in this licence and the parent organisms. A detection method applicable for each GMO must be provided prior to commencing any dealings with that GMO.</w:t>
      </w:r>
    </w:p>
    <w:p w14:paraId="102E3EDE" w14:textId="77777777" w:rsidR="004670AF" w:rsidRPr="005101C5" w:rsidRDefault="004670AF" w:rsidP="0063657C">
      <w:pPr>
        <w:tabs>
          <w:tab w:val="num" w:pos="851"/>
        </w:tabs>
        <w:spacing w:after="120"/>
        <w:jc w:val="right"/>
        <w:outlineLvl w:val="1"/>
        <w:rPr>
          <w:b/>
          <w:bCs/>
          <w:sz w:val="28"/>
          <w:szCs w:val="28"/>
          <w:lang w:eastAsia="en-AU"/>
        </w:rPr>
      </w:pPr>
      <w:r w:rsidRPr="005101C5">
        <w:rPr>
          <w:b/>
          <w:bCs/>
          <w:sz w:val="28"/>
          <w:szCs w:val="28"/>
          <w:lang w:eastAsia="en-AU"/>
        </w:rPr>
        <w:lastRenderedPageBreak/>
        <w:t>ATTACHMENT A</w:t>
      </w:r>
    </w:p>
    <w:p w14:paraId="592E8F6E" w14:textId="77777777" w:rsidR="004670AF" w:rsidRPr="005101C5" w:rsidRDefault="004670AF" w:rsidP="004670AF">
      <w:pPr>
        <w:tabs>
          <w:tab w:val="left" w:pos="90"/>
          <w:tab w:val="left" w:pos="2040"/>
          <w:tab w:val="left" w:pos="4975"/>
          <w:tab w:val="left" w:pos="6812"/>
        </w:tabs>
        <w:spacing w:after="120"/>
        <w:rPr>
          <w:b/>
          <w:bCs/>
          <w:lang w:eastAsia="en-AU"/>
        </w:rPr>
      </w:pPr>
      <w:r w:rsidRPr="005101C5">
        <w:rPr>
          <w:b/>
          <w:bCs/>
          <w:lang w:eastAsia="en-AU"/>
        </w:rPr>
        <w:t>DIR No: 1</w:t>
      </w:r>
      <w:r w:rsidR="00533D41" w:rsidRPr="005101C5">
        <w:rPr>
          <w:b/>
          <w:bCs/>
          <w:lang w:eastAsia="en-AU"/>
        </w:rPr>
        <w:t>4</w:t>
      </w:r>
      <w:r w:rsidR="00DC77A6" w:rsidRPr="005101C5">
        <w:rPr>
          <w:b/>
          <w:bCs/>
          <w:lang w:eastAsia="en-AU"/>
        </w:rPr>
        <w:t>4</w:t>
      </w:r>
    </w:p>
    <w:p w14:paraId="6A41656C" w14:textId="77777777" w:rsidR="004670AF" w:rsidRPr="005101C5" w:rsidRDefault="004670AF" w:rsidP="007478BD">
      <w:pPr>
        <w:spacing w:before="120"/>
        <w:ind w:left="2268" w:hanging="2268"/>
        <w:rPr>
          <w:bCs/>
          <w:lang w:eastAsia="en-AU"/>
        </w:rPr>
      </w:pPr>
      <w:r w:rsidRPr="005101C5">
        <w:rPr>
          <w:b/>
          <w:bCs/>
          <w:lang w:eastAsia="en-AU"/>
        </w:rPr>
        <w:t>Full Title:</w:t>
      </w:r>
      <w:r w:rsidRPr="005101C5">
        <w:rPr>
          <w:lang w:eastAsia="en-AU"/>
        </w:rPr>
        <w:tab/>
      </w:r>
      <w:r w:rsidR="003854E2" w:rsidRPr="005101C5">
        <w:t>Clinical trial of live attenuated genetically modified influenza vaccines</w:t>
      </w:r>
    </w:p>
    <w:p w14:paraId="69DCC0BD" w14:textId="77777777" w:rsidR="004670AF" w:rsidRPr="005101C5" w:rsidRDefault="004670AF" w:rsidP="004670AF">
      <w:pPr>
        <w:spacing w:before="240"/>
        <w:ind w:left="2835" w:hanging="2835"/>
        <w:rPr>
          <w:b/>
          <w:bCs/>
          <w:u w:val="single"/>
          <w:lang w:eastAsia="en-AU"/>
        </w:rPr>
      </w:pPr>
      <w:r w:rsidRPr="005101C5">
        <w:rPr>
          <w:b/>
          <w:bCs/>
          <w:u w:val="single"/>
          <w:lang w:eastAsia="en-AU"/>
        </w:rPr>
        <w:t>Organisation Details</w:t>
      </w:r>
    </w:p>
    <w:p w14:paraId="54DB1110" w14:textId="17B1BCC6" w:rsidR="00FB26A4" w:rsidRPr="005101C5" w:rsidRDefault="004670AF" w:rsidP="007478BD">
      <w:pPr>
        <w:tabs>
          <w:tab w:val="left" w:pos="2268"/>
        </w:tabs>
        <w:spacing w:before="60"/>
        <w:ind w:left="2268" w:hanging="2268"/>
      </w:pPr>
      <w:r w:rsidRPr="005101C5">
        <w:t>Postal address:</w:t>
      </w:r>
      <w:r w:rsidRPr="005101C5">
        <w:tab/>
      </w:r>
      <w:proofErr w:type="spellStart"/>
      <w:r w:rsidR="004766CE" w:rsidRPr="005101C5">
        <w:t>Novotech</w:t>
      </w:r>
      <w:proofErr w:type="spellEnd"/>
      <w:r w:rsidR="0067370A" w:rsidRPr="005101C5">
        <w:t xml:space="preserve"> (</w:t>
      </w:r>
      <w:r w:rsidR="004766CE" w:rsidRPr="005101C5">
        <w:t>Australia</w:t>
      </w:r>
      <w:r w:rsidR="0067370A" w:rsidRPr="005101C5">
        <w:t>) Pty Ltd</w:t>
      </w:r>
    </w:p>
    <w:p w14:paraId="732A7D0F" w14:textId="77777777" w:rsidR="00FB26A4" w:rsidRPr="005101C5" w:rsidRDefault="00FB26A4" w:rsidP="007478BD">
      <w:pPr>
        <w:tabs>
          <w:tab w:val="left" w:pos="2268"/>
        </w:tabs>
        <w:ind w:left="2268" w:hanging="2268"/>
      </w:pPr>
      <w:r w:rsidRPr="005101C5">
        <w:tab/>
      </w:r>
      <w:r w:rsidR="000F57E8" w:rsidRPr="005101C5">
        <w:t>Level 2, 381 MacArthur Ave</w:t>
      </w:r>
    </w:p>
    <w:p w14:paraId="400C9805" w14:textId="77777777" w:rsidR="00361CAF" w:rsidRPr="005101C5" w:rsidRDefault="00FB26A4" w:rsidP="007478BD">
      <w:pPr>
        <w:tabs>
          <w:tab w:val="left" w:pos="2268"/>
        </w:tabs>
        <w:ind w:left="2268" w:hanging="2268"/>
      </w:pPr>
      <w:r w:rsidRPr="005101C5">
        <w:tab/>
      </w:r>
      <w:r w:rsidR="000F57E8" w:rsidRPr="005101C5">
        <w:t xml:space="preserve">Hamilton </w:t>
      </w:r>
      <w:r w:rsidR="0067370A" w:rsidRPr="005101C5">
        <w:t>QLD 40</w:t>
      </w:r>
      <w:r w:rsidR="000F57E8" w:rsidRPr="005101C5">
        <w:t>07</w:t>
      </w:r>
    </w:p>
    <w:p w14:paraId="3E30BD20" w14:textId="5C657431" w:rsidR="004670AF" w:rsidRPr="005101C5" w:rsidRDefault="00533D41" w:rsidP="007478BD">
      <w:pPr>
        <w:tabs>
          <w:tab w:val="left" w:pos="2268"/>
        </w:tabs>
        <w:spacing w:before="60" w:after="60"/>
        <w:ind w:left="2268" w:hanging="2268"/>
      </w:pPr>
      <w:r w:rsidRPr="005101C5">
        <w:t>Phone No</w:t>
      </w:r>
      <w:r w:rsidRPr="005101C5">
        <w:tab/>
      </w:r>
      <w:r w:rsidR="004670AF" w:rsidRPr="005101C5">
        <w:t>(0</w:t>
      </w:r>
      <w:r w:rsidR="0067370A" w:rsidRPr="005101C5">
        <w:t>7</w:t>
      </w:r>
      <w:r w:rsidR="004670AF" w:rsidRPr="005101C5">
        <w:t xml:space="preserve">) </w:t>
      </w:r>
      <w:r w:rsidR="001E07E0" w:rsidRPr="005101C5">
        <w:t>3137 6200</w:t>
      </w:r>
    </w:p>
    <w:p w14:paraId="6ED44F23" w14:textId="77777777" w:rsidR="004670AF" w:rsidRPr="005101C5" w:rsidRDefault="004670AF" w:rsidP="004670AF">
      <w:pPr>
        <w:spacing w:before="240"/>
        <w:ind w:left="2835" w:hanging="2835"/>
        <w:rPr>
          <w:b/>
          <w:u w:val="single"/>
          <w:lang w:eastAsia="en-AU"/>
        </w:rPr>
      </w:pPr>
      <w:r w:rsidRPr="005101C5">
        <w:rPr>
          <w:b/>
          <w:u w:val="single"/>
          <w:lang w:eastAsia="en-AU"/>
        </w:rPr>
        <w:t>IBC Details</w:t>
      </w:r>
    </w:p>
    <w:p w14:paraId="61ECDBBD" w14:textId="0C4E8AC8" w:rsidR="004670AF" w:rsidRPr="005101C5" w:rsidRDefault="004670AF" w:rsidP="007478BD">
      <w:pPr>
        <w:tabs>
          <w:tab w:val="left" w:pos="2835"/>
        </w:tabs>
        <w:spacing w:before="60"/>
        <w:ind w:left="2268" w:hanging="2268"/>
        <w:rPr>
          <w:lang w:eastAsia="en-AU"/>
        </w:rPr>
      </w:pPr>
      <w:r w:rsidRPr="005101C5">
        <w:rPr>
          <w:bCs/>
          <w:lang w:eastAsia="en-AU"/>
        </w:rPr>
        <w:t>IBC Name:</w:t>
      </w:r>
      <w:r w:rsidR="0061642D" w:rsidRPr="005101C5">
        <w:rPr>
          <w:lang w:eastAsia="en-AU"/>
        </w:rPr>
        <w:tab/>
      </w:r>
      <w:proofErr w:type="spellStart"/>
      <w:r w:rsidR="009E7163" w:rsidRPr="005101C5">
        <w:t>BioDesk</w:t>
      </w:r>
      <w:proofErr w:type="spellEnd"/>
      <w:r w:rsidR="00533D41" w:rsidRPr="005101C5">
        <w:t xml:space="preserve"> Institutional Biosafety Committee</w:t>
      </w:r>
    </w:p>
    <w:p w14:paraId="56B6BC66" w14:textId="77777777" w:rsidR="004670AF" w:rsidRPr="005101C5" w:rsidRDefault="004670AF" w:rsidP="004670AF">
      <w:pPr>
        <w:spacing w:before="240"/>
        <w:ind w:left="2835" w:hanging="2835"/>
        <w:rPr>
          <w:b/>
          <w:u w:val="single"/>
          <w:lang w:eastAsia="en-AU"/>
        </w:rPr>
      </w:pPr>
      <w:r w:rsidRPr="005101C5">
        <w:rPr>
          <w:b/>
          <w:u w:val="single"/>
          <w:lang w:eastAsia="en-AU"/>
        </w:rPr>
        <w:t>GMO</w:t>
      </w:r>
      <w:r w:rsidR="00012F0F" w:rsidRPr="005101C5">
        <w:rPr>
          <w:b/>
          <w:u w:val="single"/>
          <w:lang w:eastAsia="en-AU"/>
        </w:rPr>
        <w:t xml:space="preserve"> </w:t>
      </w:r>
      <w:r w:rsidRPr="005101C5">
        <w:rPr>
          <w:b/>
          <w:u w:val="single"/>
          <w:lang w:eastAsia="en-AU"/>
        </w:rPr>
        <w:t>Description</w:t>
      </w:r>
    </w:p>
    <w:p w14:paraId="3B666D9F" w14:textId="77777777" w:rsidR="004670AF" w:rsidRPr="005101C5" w:rsidRDefault="006F4DA4" w:rsidP="0063657C">
      <w:pPr>
        <w:tabs>
          <w:tab w:val="left" w:pos="0"/>
        </w:tabs>
        <w:spacing w:before="240" w:after="120"/>
        <w:rPr>
          <w:b/>
          <w:bCs/>
          <w:lang w:eastAsia="en-AU"/>
        </w:rPr>
      </w:pPr>
      <w:r w:rsidRPr="005101C5">
        <w:rPr>
          <w:b/>
          <w:bCs/>
          <w:lang w:eastAsia="en-AU"/>
        </w:rPr>
        <w:t>GMO</w:t>
      </w:r>
      <w:r w:rsidR="004670AF" w:rsidRPr="005101C5">
        <w:rPr>
          <w:b/>
          <w:bCs/>
          <w:lang w:eastAsia="en-AU"/>
        </w:rPr>
        <w:t xml:space="preserve"> </w:t>
      </w:r>
      <w:r w:rsidR="00733F28" w:rsidRPr="005101C5">
        <w:rPr>
          <w:b/>
          <w:bCs/>
          <w:lang w:eastAsia="en-AU"/>
        </w:rPr>
        <w:t xml:space="preserve">type </w:t>
      </w:r>
      <w:r w:rsidR="00E325EE" w:rsidRPr="005101C5">
        <w:rPr>
          <w:b/>
          <w:bCs/>
          <w:lang w:eastAsia="en-AU"/>
        </w:rPr>
        <w:t>1</w:t>
      </w:r>
      <w:r w:rsidR="004670AF" w:rsidRPr="005101C5">
        <w:rPr>
          <w:b/>
          <w:bCs/>
          <w:lang w:eastAsia="en-AU"/>
        </w:rPr>
        <w:t>:</w:t>
      </w:r>
      <w:r w:rsidR="00B50E51" w:rsidRPr="005101C5">
        <w:rPr>
          <w:rFonts w:ascii="NimbusSanL-Regu" w:eastAsiaTheme="minorHAnsi" w:hAnsi="NimbusSanL-Regu" w:cs="NimbusSanL-Regu"/>
          <w:sz w:val="18"/>
          <w:szCs w:val="18"/>
        </w:rPr>
        <w:t xml:space="preserve"> </w:t>
      </w:r>
      <w:proofErr w:type="spellStart"/>
      <w:r w:rsidR="00B50E51" w:rsidRPr="005101C5">
        <w:rPr>
          <w:rStyle w:val="Emphasis"/>
          <w:rFonts w:eastAsiaTheme="minorEastAsia"/>
          <w:bdr w:val="none" w:sz="0" w:space="0" w:color="auto" w:frame="1"/>
          <w:shd w:val="clear" w:color="auto" w:fill="FFFFFF"/>
        </w:rPr>
        <w:t>CodaVax</w:t>
      </w:r>
      <w:proofErr w:type="spellEnd"/>
      <w:r w:rsidR="00B50E51" w:rsidRPr="005101C5">
        <w:rPr>
          <w:rStyle w:val="Emphasis"/>
          <w:rFonts w:eastAsiaTheme="minorEastAsia"/>
          <w:bdr w:val="none" w:sz="0" w:space="0" w:color="auto" w:frame="1"/>
          <w:shd w:val="clear" w:color="auto" w:fill="FFFFFF"/>
        </w:rPr>
        <w:t xml:space="preserve"> and other Synthetic Attenuated Virus Engineering (SAVE) </w:t>
      </w:r>
      <w:r w:rsidR="00BD1952" w:rsidRPr="005101C5">
        <w:rPr>
          <w:rStyle w:val="Emphasis"/>
          <w:rFonts w:eastAsiaTheme="minorEastAsia"/>
          <w:bdr w:val="none" w:sz="0" w:space="0" w:color="auto" w:frame="1"/>
          <w:shd w:val="clear" w:color="auto" w:fill="FFFFFF"/>
        </w:rPr>
        <w:t>influenza</w:t>
      </w:r>
      <w:r w:rsidR="00B50E51" w:rsidRPr="005101C5">
        <w:rPr>
          <w:rStyle w:val="Emphasis"/>
          <w:rFonts w:eastAsiaTheme="minorEastAsia"/>
          <w:bdr w:val="none" w:sz="0" w:space="0" w:color="auto" w:frame="1"/>
          <w:shd w:val="clear" w:color="auto" w:fill="FFFFFF"/>
        </w:rPr>
        <w:t xml:space="preserve"> vaccines</w:t>
      </w:r>
    </w:p>
    <w:p w14:paraId="63883B0F" w14:textId="77777777" w:rsidR="00A144AC" w:rsidRPr="005101C5" w:rsidRDefault="00392AF7" w:rsidP="004670AF">
      <w:pPr>
        <w:keepLines/>
        <w:spacing w:before="120" w:after="120"/>
      </w:pPr>
      <w:r w:rsidRPr="005101C5">
        <w:rPr>
          <w:rStyle w:val="Emphasis"/>
          <w:rFonts w:eastAsiaTheme="minorEastAsia"/>
          <w:bdr w:val="none" w:sz="0" w:space="0" w:color="auto" w:frame="1"/>
          <w:shd w:val="clear" w:color="auto" w:fill="FFFFFF"/>
        </w:rPr>
        <w:t xml:space="preserve">Influenza A </w:t>
      </w:r>
      <w:r w:rsidR="00B50E51" w:rsidRPr="005101C5">
        <w:rPr>
          <w:rStyle w:val="Emphasis"/>
          <w:rFonts w:eastAsiaTheme="minorEastAsia"/>
          <w:bdr w:val="none" w:sz="0" w:space="0" w:color="auto" w:frame="1"/>
          <w:shd w:val="clear" w:color="auto" w:fill="FFFFFF"/>
        </w:rPr>
        <w:t xml:space="preserve"> and B </w:t>
      </w:r>
      <w:r w:rsidRPr="005101C5">
        <w:rPr>
          <w:rStyle w:val="Emphasis"/>
          <w:rFonts w:eastAsiaTheme="minorEastAsia"/>
          <w:bdr w:val="none" w:sz="0" w:space="0" w:color="auto" w:frame="1"/>
          <w:shd w:val="clear" w:color="auto" w:fill="FFFFFF"/>
        </w:rPr>
        <w:t>Virus</w:t>
      </w:r>
      <w:r w:rsidR="006F4DA4" w:rsidRPr="005101C5">
        <w:rPr>
          <w:lang w:eastAsia="en-AU"/>
        </w:rPr>
        <w:t xml:space="preserve"> </w:t>
      </w:r>
      <w:r w:rsidR="006F4DA4" w:rsidRPr="005101C5">
        <w:t xml:space="preserve">genetically </w:t>
      </w:r>
      <w:r w:rsidR="00FC2B80" w:rsidRPr="005101C5">
        <w:rPr>
          <w:lang w:eastAsia="en-AU"/>
        </w:rPr>
        <w:t xml:space="preserve">modified by </w:t>
      </w:r>
      <w:r w:rsidR="00C828F0" w:rsidRPr="005101C5">
        <w:t xml:space="preserve">codon </w:t>
      </w:r>
      <w:proofErr w:type="spellStart"/>
      <w:r w:rsidR="00C828F0" w:rsidRPr="005101C5">
        <w:t>deoptimisation</w:t>
      </w:r>
      <w:proofErr w:type="spellEnd"/>
      <w:r w:rsidR="00F83445" w:rsidRPr="005101C5">
        <w:t xml:space="preserve"> through incorporating a large number of point mutations to the haemagglutinin and neuraminidase genome segments</w:t>
      </w:r>
      <w:r w:rsidR="006F4DA4" w:rsidRPr="005101C5">
        <w:t xml:space="preserve">, </w:t>
      </w:r>
      <w:r w:rsidR="00C828F0" w:rsidRPr="005101C5">
        <w:t xml:space="preserve">known as </w:t>
      </w:r>
      <w:proofErr w:type="spellStart"/>
      <w:r w:rsidR="00C828F0" w:rsidRPr="005101C5">
        <w:t>CodaVax</w:t>
      </w:r>
      <w:proofErr w:type="spellEnd"/>
      <w:r w:rsidR="00B50E51" w:rsidRPr="005101C5">
        <w:t xml:space="preserve"> or </w:t>
      </w:r>
      <w:r w:rsidR="00B50E51" w:rsidRPr="005101C5">
        <w:rPr>
          <w:rStyle w:val="Emphasis"/>
          <w:rFonts w:eastAsiaTheme="minorEastAsia"/>
          <w:bdr w:val="none" w:sz="0" w:space="0" w:color="auto" w:frame="1"/>
          <w:shd w:val="clear" w:color="auto" w:fill="FFFFFF"/>
        </w:rPr>
        <w:t xml:space="preserve">other Synthetic Attenuated Virus Engineering (SAVE) </w:t>
      </w:r>
      <w:r w:rsidR="00BD1952" w:rsidRPr="005101C5">
        <w:rPr>
          <w:rStyle w:val="Emphasis"/>
          <w:rFonts w:eastAsiaTheme="minorEastAsia"/>
          <w:bdr w:val="none" w:sz="0" w:space="0" w:color="auto" w:frame="1"/>
          <w:shd w:val="clear" w:color="auto" w:fill="FFFFFF"/>
        </w:rPr>
        <w:t>influenza</w:t>
      </w:r>
      <w:r w:rsidR="00B50E51" w:rsidRPr="005101C5">
        <w:rPr>
          <w:rStyle w:val="Emphasis"/>
          <w:rFonts w:eastAsiaTheme="minorEastAsia"/>
          <w:bdr w:val="none" w:sz="0" w:space="0" w:color="auto" w:frame="1"/>
          <w:shd w:val="clear" w:color="auto" w:fill="FFFFFF"/>
        </w:rPr>
        <w:t xml:space="preserve"> vaccines</w:t>
      </w:r>
      <w:r w:rsidR="006F4DA4" w:rsidRPr="005101C5">
        <w:t>.</w:t>
      </w:r>
    </w:p>
    <w:p w14:paraId="7C4EA788" w14:textId="77777777" w:rsidR="004670AF" w:rsidRPr="005101C5" w:rsidRDefault="004670AF" w:rsidP="004670AF">
      <w:pPr>
        <w:tabs>
          <w:tab w:val="left" w:pos="90"/>
        </w:tabs>
        <w:spacing w:before="120"/>
        <w:rPr>
          <w:b/>
          <w:bCs/>
          <w:lang w:eastAsia="en-AU"/>
        </w:rPr>
      </w:pPr>
      <w:r w:rsidRPr="005101C5">
        <w:rPr>
          <w:b/>
          <w:bCs/>
          <w:lang w:eastAsia="en-AU"/>
        </w:rPr>
        <w:t>Parent Organism:</w:t>
      </w:r>
    </w:p>
    <w:p w14:paraId="707DFAA0" w14:textId="77777777" w:rsidR="004670AF" w:rsidRPr="005101C5" w:rsidRDefault="009A71FA" w:rsidP="004670AF">
      <w:pPr>
        <w:tabs>
          <w:tab w:val="left" w:pos="2268"/>
        </w:tabs>
        <w:spacing w:before="118"/>
        <w:rPr>
          <w:lang w:eastAsia="en-AU"/>
        </w:rPr>
      </w:pPr>
      <w:r w:rsidRPr="005101C5">
        <w:rPr>
          <w:lang w:eastAsia="en-AU"/>
        </w:rPr>
        <w:t>Common Name:</w:t>
      </w:r>
      <w:r w:rsidRPr="005101C5">
        <w:rPr>
          <w:lang w:eastAsia="en-AU"/>
        </w:rPr>
        <w:tab/>
      </w:r>
      <w:r w:rsidR="00C828F0" w:rsidRPr="005101C5">
        <w:t>Influenza</w:t>
      </w:r>
      <w:r w:rsidR="00392AF7" w:rsidRPr="005101C5">
        <w:t xml:space="preserve"> virus</w:t>
      </w:r>
    </w:p>
    <w:p w14:paraId="2C04AD75" w14:textId="77777777" w:rsidR="004670AF" w:rsidRPr="005101C5" w:rsidRDefault="004670AF" w:rsidP="001D25C5">
      <w:pPr>
        <w:tabs>
          <w:tab w:val="left" w:pos="2268"/>
        </w:tabs>
        <w:spacing w:before="118"/>
        <w:ind w:left="2268" w:hanging="2268"/>
        <w:rPr>
          <w:lang w:eastAsia="en-AU"/>
        </w:rPr>
      </w:pPr>
      <w:r w:rsidRPr="005101C5">
        <w:rPr>
          <w:lang w:eastAsia="en-AU"/>
        </w:rPr>
        <w:t>Scientific Name:</w:t>
      </w:r>
      <w:r w:rsidRPr="005101C5">
        <w:rPr>
          <w:lang w:eastAsia="en-AU"/>
        </w:rPr>
        <w:tab/>
      </w:r>
      <w:r w:rsidR="00C828F0" w:rsidRPr="005101C5">
        <w:t xml:space="preserve">Human </w:t>
      </w:r>
      <w:r w:rsidR="00C828F0" w:rsidRPr="005101C5">
        <w:rPr>
          <w:i/>
        </w:rPr>
        <w:t xml:space="preserve">influenza A </w:t>
      </w:r>
      <w:r w:rsidR="00B50E51" w:rsidRPr="005101C5">
        <w:t>or</w:t>
      </w:r>
      <w:r w:rsidR="00B50E51" w:rsidRPr="005101C5">
        <w:rPr>
          <w:i/>
        </w:rPr>
        <w:t xml:space="preserve"> B </w:t>
      </w:r>
      <w:r w:rsidR="00C828F0" w:rsidRPr="005101C5">
        <w:rPr>
          <w:i/>
        </w:rPr>
        <w:t>virus</w:t>
      </w:r>
      <w:r w:rsidR="00BD1952" w:rsidRPr="005101C5">
        <w:rPr>
          <w:i/>
        </w:rPr>
        <w:t xml:space="preserve"> </w:t>
      </w:r>
      <w:r w:rsidR="00BD1952" w:rsidRPr="005101C5">
        <w:t>(all subtypes and strains)</w:t>
      </w:r>
    </w:p>
    <w:p w14:paraId="4A7F398B" w14:textId="77777777" w:rsidR="00A144AC" w:rsidRPr="005101C5" w:rsidRDefault="00A144AC" w:rsidP="00A144AC">
      <w:pPr>
        <w:tabs>
          <w:tab w:val="left" w:pos="90"/>
        </w:tabs>
        <w:spacing w:before="118"/>
        <w:rPr>
          <w:b/>
          <w:bCs/>
        </w:rPr>
      </w:pPr>
      <w:r w:rsidRPr="005101C5">
        <w:rPr>
          <w:b/>
          <w:bCs/>
        </w:rPr>
        <w:t>Modified traits:</w:t>
      </w:r>
    </w:p>
    <w:p w14:paraId="0DCF73BF" w14:textId="77777777" w:rsidR="006F4DA4" w:rsidRPr="005101C5" w:rsidRDefault="006F4DA4" w:rsidP="001D25C5">
      <w:pPr>
        <w:tabs>
          <w:tab w:val="left" w:pos="2268"/>
        </w:tabs>
        <w:spacing w:before="118"/>
        <w:ind w:left="2268" w:hanging="2268"/>
      </w:pPr>
      <w:r w:rsidRPr="005101C5">
        <w:t>Categories:</w:t>
      </w:r>
      <w:r w:rsidR="00A144AC" w:rsidRPr="005101C5">
        <w:tab/>
        <w:t>human therapeutic – attenuation</w:t>
      </w:r>
    </w:p>
    <w:p w14:paraId="6A982F97" w14:textId="77777777" w:rsidR="00351BAB" w:rsidRPr="005101C5" w:rsidRDefault="00A144AC" w:rsidP="00A144AC">
      <w:pPr>
        <w:tabs>
          <w:tab w:val="left" w:pos="2268"/>
        </w:tabs>
        <w:spacing w:before="60"/>
        <w:ind w:left="2262" w:hanging="2262"/>
      </w:pPr>
      <w:r w:rsidRPr="005101C5">
        <w:t>Description:</w:t>
      </w:r>
      <w:r w:rsidRPr="005101C5">
        <w:tab/>
      </w:r>
      <w:proofErr w:type="spellStart"/>
      <w:r w:rsidR="00B50E51" w:rsidRPr="005101C5">
        <w:t>CodaVax</w:t>
      </w:r>
      <w:proofErr w:type="spellEnd"/>
      <w:r w:rsidR="00B50E51" w:rsidRPr="005101C5">
        <w:t xml:space="preserve"> or </w:t>
      </w:r>
      <w:r w:rsidR="00B50E51" w:rsidRPr="005101C5">
        <w:rPr>
          <w:rStyle w:val="Emphasis"/>
          <w:rFonts w:eastAsiaTheme="minorEastAsia"/>
          <w:i w:val="0"/>
          <w:bdr w:val="none" w:sz="0" w:space="0" w:color="auto" w:frame="1"/>
          <w:shd w:val="clear" w:color="auto" w:fill="FFFFFF"/>
        </w:rPr>
        <w:t xml:space="preserve">other Synthetic Attenuated Virus Engineering (SAVE) </w:t>
      </w:r>
      <w:r w:rsidR="00BD1952" w:rsidRPr="005101C5">
        <w:rPr>
          <w:rStyle w:val="Emphasis"/>
          <w:rFonts w:eastAsiaTheme="minorEastAsia"/>
          <w:i w:val="0"/>
          <w:bdr w:val="none" w:sz="0" w:space="0" w:color="auto" w:frame="1"/>
          <w:shd w:val="clear" w:color="auto" w:fill="FFFFFF"/>
        </w:rPr>
        <w:t>influenza</w:t>
      </w:r>
      <w:r w:rsidR="00B50E51" w:rsidRPr="005101C5">
        <w:rPr>
          <w:rStyle w:val="Emphasis"/>
          <w:rFonts w:eastAsiaTheme="minorEastAsia"/>
          <w:i w:val="0"/>
          <w:bdr w:val="none" w:sz="0" w:space="0" w:color="auto" w:frame="1"/>
          <w:shd w:val="clear" w:color="auto" w:fill="FFFFFF"/>
        </w:rPr>
        <w:t xml:space="preserve"> vaccines</w:t>
      </w:r>
      <w:r w:rsidR="0074217B" w:rsidRPr="005101C5">
        <w:t xml:space="preserve"> </w:t>
      </w:r>
      <w:r w:rsidR="00B50E51" w:rsidRPr="005101C5">
        <w:t>are</w:t>
      </w:r>
      <w:r w:rsidR="0074217B" w:rsidRPr="005101C5">
        <w:t xml:space="preserve"> live attenuated influenza vaccine</w:t>
      </w:r>
      <w:r w:rsidR="00B50E51" w:rsidRPr="005101C5">
        <w:t>s</w:t>
      </w:r>
      <w:r w:rsidR="0074217B" w:rsidRPr="005101C5">
        <w:t xml:space="preserve"> derived from influenza </w:t>
      </w:r>
      <w:r w:rsidR="00B50E51" w:rsidRPr="005101C5">
        <w:t>A or B</w:t>
      </w:r>
      <w:r w:rsidR="00BD1952" w:rsidRPr="005101C5">
        <w:t xml:space="preserve"> </w:t>
      </w:r>
      <w:r w:rsidR="00B50E51" w:rsidRPr="005101C5">
        <w:t xml:space="preserve">virus </w:t>
      </w:r>
      <w:r w:rsidR="0074217B" w:rsidRPr="005101C5">
        <w:t>strain</w:t>
      </w:r>
      <w:r w:rsidR="00B50E51" w:rsidRPr="005101C5">
        <w:t>s</w:t>
      </w:r>
      <w:r w:rsidR="0074217B" w:rsidRPr="005101C5">
        <w:t>, modified to attenuate the virus while retaining the ability to elicit an immune response. The full complement of influenza virus genome segments</w:t>
      </w:r>
      <w:r w:rsidR="008D670B" w:rsidRPr="005101C5">
        <w:t>,</w:t>
      </w:r>
      <w:r w:rsidR="0074217B" w:rsidRPr="005101C5">
        <w:t xml:space="preserve"> generated by </w:t>
      </w:r>
      <w:r w:rsidR="0074217B" w:rsidRPr="005101C5">
        <w:rPr>
          <w:i/>
        </w:rPr>
        <w:t>de novo</w:t>
      </w:r>
      <w:r w:rsidR="0074217B" w:rsidRPr="005101C5">
        <w:t xml:space="preserve"> DNA synthesis</w:t>
      </w:r>
      <w:r w:rsidR="008D670B" w:rsidRPr="005101C5">
        <w:t>,</w:t>
      </w:r>
      <w:r w:rsidR="0074217B" w:rsidRPr="005101C5">
        <w:t xml:space="preserve"> are transfected into tissue culture cells where they replicate to produce new virions with the desired </w:t>
      </w:r>
      <w:r w:rsidR="00ED76D1" w:rsidRPr="005101C5">
        <w:t xml:space="preserve">attenuated </w:t>
      </w:r>
      <w:r w:rsidR="00733F28" w:rsidRPr="005101C5">
        <w:t>g</w:t>
      </w:r>
      <w:r w:rsidR="00ED76D1" w:rsidRPr="005101C5">
        <w:t>enotype</w:t>
      </w:r>
      <w:r w:rsidR="0074217B" w:rsidRPr="005101C5">
        <w:t>.</w:t>
      </w:r>
    </w:p>
    <w:p w14:paraId="6B669F73" w14:textId="77777777" w:rsidR="00E322CC" w:rsidRPr="005101C5" w:rsidRDefault="00E322CC" w:rsidP="00E322CC">
      <w:pPr>
        <w:keepNext/>
        <w:tabs>
          <w:tab w:val="left" w:pos="90"/>
        </w:tabs>
        <w:spacing w:before="240" w:after="120"/>
        <w:rPr>
          <w:lang w:val="pt-BR"/>
        </w:rPr>
      </w:pPr>
      <w:r w:rsidRPr="005101C5">
        <w:rPr>
          <w:b/>
          <w:bCs/>
        </w:rPr>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of genetically modified organism number 1, CodaVax vaccine, including the source, identity, function and modification of the nucleic acid responsible for conferring the modified traits."/>
      </w:tblPr>
      <w:tblGrid>
        <w:gridCol w:w="1524"/>
        <w:gridCol w:w="7876"/>
      </w:tblGrid>
      <w:tr w:rsidR="005101C5" w:rsidRPr="005101C5" w14:paraId="3D403001" w14:textId="77777777" w:rsidTr="00345D6B">
        <w:trPr>
          <w:tblHeader/>
        </w:trPr>
        <w:tc>
          <w:tcPr>
            <w:tcW w:w="1526" w:type="dxa"/>
          </w:tcPr>
          <w:p w14:paraId="5AFFF8AF" w14:textId="77777777" w:rsidR="00E322CC" w:rsidRPr="005101C5" w:rsidRDefault="00E322CC" w:rsidP="00EF2882">
            <w:pPr>
              <w:keepNext/>
              <w:spacing w:before="60"/>
              <w:rPr>
                <w:lang w:val="pt-BR"/>
              </w:rPr>
            </w:pPr>
            <w:r w:rsidRPr="005101C5">
              <w:rPr>
                <w:lang w:val="pt-BR"/>
              </w:rPr>
              <w:t>Source</w:t>
            </w:r>
          </w:p>
        </w:tc>
        <w:tc>
          <w:tcPr>
            <w:tcW w:w="8102" w:type="dxa"/>
          </w:tcPr>
          <w:p w14:paraId="28F43FCC" w14:textId="77777777" w:rsidR="00E322CC" w:rsidRPr="005101C5" w:rsidRDefault="00E322CC" w:rsidP="00B96BF5">
            <w:pPr>
              <w:pStyle w:val="bulletRARMP"/>
              <w:keepNext/>
              <w:numPr>
                <w:ilvl w:val="0"/>
                <w:numId w:val="42"/>
              </w:numPr>
              <w:tabs>
                <w:tab w:val="clear" w:pos="567"/>
                <w:tab w:val="clear" w:pos="720"/>
                <w:tab w:val="left" w:pos="317"/>
              </w:tabs>
              <w:ind w:left="317" w:hanging="284"/>
              <w:rPr>
                <w:lang w:val="pt-BR"/>
              </w:rPr>
            </w:pPr>
            <w:r w:rsidRPr="005101C5">
              <w:t xml:space="preserve">influenza </w:t>
            </w:r>
            <w:r w:rsidR="00B50E51" w:rsidRPr="005101C5">
              <w:t xml:space="preserve">A or B virus </w:t>
            </w:r>
            <w:r w:rsidRPr="005101C5">
              <w:t>strain</w:t>
            </w:r>
          </w:p>
        </w:tc>
      </w:tr>
      <w:tr w:rsidR="005101C5" w:rsidRPr="005101C5" w14:paraId="6FFD14B0" w14:textId="77777777" w:rsidTr="00EF2882">
        <w:tc>
          <w:tcPr>
            <w:tcW w:w="1526" w:type="dxa"/>
          </w:tcPr>
          <w:p w14:paraId="627E675C" w14:textId="77777777" w:rsidR="00E322CC" w:rsidRPr="005101C5" w:rsidRDefault="00E322CC" w:rsidP="00EF2882">
            <w:pPr>
              <w:keepNext/>
              <w:spacing w:before="60"/>
              <w:rPr>
                <w:lang w:val="pt-BR"/>
              </w:rPr>
            </w:pPr>
            <w:r w:rsidRPr="005101C5">
              <w:rPr>
                <w:lang w:val="pt-BR"/>
              </w:rPr>
              <w:t>Identity</w:t>
            </w:r>
          </w:p>
        </w:tc>
        <w:tc>
          <w:tcPr>
            <w:tcW w:w="8102" w:type="dxa"/>
          </w:tcPr>
          <w:p w14:paraId="26501BD3" w14:textId="77777777" w:rsidR="00E322CC" w:rsidRPr="005101C5" w:rsidRDefault="00E322CC" w:rsidP="00B96BF5">
            <w:pPr>
              <w:pStyle w:val="bulletRARMP"/>
              <w:keepNext/>
              <w:numPr>
                <w:ilvl w:val="0"/>
                <w:numId w:val="42"/>
              </w:numPr>
              <w:tabs>
                <w:tab w:val="clear" w:pos="567"/>
                <w:tab w:val="clear" w:pos="720"/>
                <w:tab w:val="left" w:pos="317"/>
              </w:tabs>
              <w:ind w:left="317" w:hanging="284"/>
              <w:rPr>
                <w:lang w:val="pt-BR"/>
              </w:rPr>
            </w:pPr>
            <w:r w:rsidRPr="005101C5">
              <w:rPr>
                <w:lang w:val="pt-BR"/>
              </w:rPr>
              <w:t>Entire haemagglutinin gemome segment</w:t>
            </w:r>
          </w:p>
          <w:p w14:paraId="6A483A9A" w14:textId="77777777" w:rsidR="00E322CC" w:rsidRPr="005101C5" w:rsidRDefault="00E322CC" w:rsidP="00B96BF5">
            <w:pPr>
              <w:pStyle w:val="bulletRARMP"/>
              <w:keepNext/>
              <w:numPr>
                <w:ilvl w:val="0"/>
                <w:numId w:val="42"/>
              </w:numPr>
              <w:tabs>
                <w:tab w:val="clear" w:pos="567"/>
                <w:tab w:val="clear" w:pos="720"/>
                <w:tab w:val="left" w:pos="317"/>
              </w:tabs>
              <w:ind w:left="317" w:hanging="284"/>
              <w:rPr>
                <w:lang w:val="pt-BR"/>
              </w:rPr>
            </w:pPr>
            <w:r w:rsidRPr="005101C5">
              <w:rPr>
                <w:lang w:val="pt-BR"/>
              </w:rPr>
              <w:t>Entire neuraminidase genome segment</w:t>
            </w:r>
          </w:p>
        </w:tc>
      </w:tr>
      <w:tr w:rsidR="005101C5" w:rsidRPr="005101C5" w14:paraId="35FC22A3" w14:textId="77777777" w:rsidTr="00EF2882">
        <w:tc>
          <w:tcPr>
            <w:tcW w:w="1526" w:type="dxa"/>
          </w:tcPr>
          <w:p w14:paraId="5B0F8F9C" w14:textId="77777777" w:rsidR="00E322CC" w:rsidRPr="005101C5" w:rsidRDefault="00E322CC" w:rsidP="00EF2882">
            <w:pPr>
              <w:keepNext/>
              <w:spacing w:before="60"/>
              <w:rPr>
                <w:lang w:val="pt-BR"/>
              </w:rPr>
            </w:pPr>
            <w:r w:rsidRPr="005101C5">
              <w:rPr>
                <w:lang w:val="pt-BR"/>
              </w:rPr>
              <w:t>Function</w:t>
            </w:r>
          </w:p>
        </w:tc>
        <w:tc>
          <w:tcPr>
            <w:tcW w:w="8102" w:type="dxa"/>
          </w:tcPr>
          <w:p w14:paraId="7F052E42" w14:textId="77777777" w:rsidR="00E322CC" w:rsidRPr="005101C5" w:rsidRDefault="00E322CC" w:rsidP="00B96BF5">
            <w:pPr>
              <w:pStyle w:val="bulletRARMP"/>
              <w:keepNext/>
              <w:numPr>
                <w:ilvl w:val="0"/>
                <w:numId w:val="42"/>
              </w:numPr>
              <w:tabs>
                <w:tab w:val="clear" w:pos="567"/>
                <w:tab w:val="clear" w:pos="720"/>
                <w:tab w:val="left" w:pos="317"/>
              </w:tabs>
              <w:ind w:left="317" w:hanging="284"/>
            </w:pPr>
            <w:r w:rsidRPr="005101C5">
              <w:t>Haemagglutinin – receptor binding, fusion of viral and host endosomal membranes; antigenic determinant</w:t>
            </w:r>
          </w:p>
          <w:p w14:paraId="04CC8AF9" w14:textId="77777777" w:rsidR="00E322CC" w:rsidRPr="005101C5" w:rsidRDefault="00E322CC" w:rsidP="00B96BF5">
            <w:pPr>
              <w:pStyle w:val="bulletRARMP"/>
              <w:keepNext/>
              <w:numPr>
                <w:ilvl w:val="0"/>
                <w:numId w:val="42"/>
              </w:numPr>
              <w:tabs>
                <w:tab w:val="clear" w:pos="567"/>
                <w:tab w:val="clear" w:pos="720"/>
                <w:tab w:val="left" w:pos="317"/>
              </w:tabs>
              <w:ind w:left="317" w:hanging="284"/>
            </w:pPr>
            <w:r w:rsidRPr="005101C5">
              <w:t>Neuraminidase – hydrolysis of glycosidic bond between sialic acid and galactose; antigenic determinant</w:t>
            </w:r>
          </w:p>
        </w:tc>
      </w:tr>
      <w:tr w:rsidR="005101C5" w:rsidRPr="005101C5" w14:paraId="489BE859" w14:textId="77777777" w:rsidTr="00EF2882">
        <w:tc>
          <w:tcPr>
            <w:tcW w:w="1526" w:type="dxa"/>
          </w:tcPr>
          <w:p w14:paraId="24C99930" w14:textId="77777777" w:rsidR="00E322CC" w:rsidRPr="005101C5" w:rsidRDefault="00E322CC" w:rsidP="00EF2882">
            <w:pPr>
              <w:spacing w:before="60"/>
              <w:rPr>
                <w:lang w:val="pt-BR"/>
              </w:rPr>
            </w:pPr>
            <w:r w:rsidRPr="005101C5">
              <w:rPr>
                <w:lang w:val="pt-BR"/>
              </w:rPr>
              <w:t>Modification</w:t>
            </w:r>
          </w:p>
        </w:tc>
        <w:tc>
          <w:tcPr>
            <w:tcW w:w="8102" w:type="dxa"/>
          </w:tcPr>
          <w:p w14:paraId="65069556" w14:textId="77777777" w:rsidR="00E322CC" w:rsidRPr="005101C5" w:rsidRDefault="008D670B" w:rsidP="00B96BF5">
            <w:pPr>
              <w:pStyle w:val="bulletRARMP"/>
              <w:keepNext/>
              <w:numPr>
                <w:ilvl w:val="0"/>
                <w:numId w:val="42"/>
              </w:numPr>
              <w:tabs>
                <w:tab w:val="clear" w:pos="567"/>
                <w:tab w:val="clear" w:pos="720"/>
                <w:tab w:val="left" w:pos="317"/>
              </w:tabs>
              <w:ind w:left="317" w:hanging="284"/>
              <w:rPr>
                <w:lang w:val="pt-BR"/>
              </w:rPr>
            </w:pPr>
            <w:r w:rsidRPr="005101C5">
              <w:t xml:space="preserve">Haemagglutinin </w:t>
            </w:r>
            <w:r w:rsidR="001F3FBC" w:rsidRPr="005101C5">
              <w:t xml:space="preserve">and neuraminidase genome segments of the parent virus </w:t>
            </w:r>
            <w:r w:rsidR="00F83445" w:rsidRPr="005101C5">
              <w:t>are</w:t>
            </w:r>
            <w:r w:rsidR="001F3FBC" w:rsidRPr="005101C5">
              <w:t xml:space="preserve"> modified by incorporating a large number of point mutation</w:t>
            </w:r>
            <w:r w:rsidR="000E5601" w:rsidRPr="005101C5">
              <w:t>s</w:t>
            </w:r>
            <w:r w:rsidR="00143E1A" w:rsidRPr="005101C5">
              <w:t xml:space="preserve"> which do not alter the encoded protein sequences</w:t>
            </w:r>
          </w:p>
        </w:tc>
      </w:tr>
    </w:tbl>
    <w:p w14:paraId="202D6B96" w14:textId="77777777" w:rsidR="00A159D5" w:rsidRPr="005101C5" w:rsidRDefault="00A159D5" w:rsidP="0063657C">
      <w:pPr>
        <w:keepNext/>
        <w:tabs>
          <w:tab w:val="left" w:pos="0"/>
        </w:tabs>
        <w:spacing w:before="240" w:after="120"/>
        <w:rPr>
          <w:b/>
          <w:bCs/>
          <w:lang w:eastAsia="en-AU"/>
        </w:rPr>
      </w:pPr>
      <w:r w:rsidRPr="005101C5">
        <w:rPr>
          <w:b/>
          <w:bCs/>
          <w:lang w:eastAsia="en-AU"/>
        </w:rPr>
        <w:lastRenderedPageBreak/>
        <w:t xml:space="preserve">GMO </w:t>
      </w:r>
      <w:r w:rsidR="00733F28" w:rsidRPr="005101C5">
        <w:rPr>
          <w:b/>
          <w:bCs/>
          <w:lang w:eastAsia="en-AU"/>
        </w:rPr>
        <w:t xml:space="preserve">type </w:t>
      </w:r>
      <w:r w:rsidR="00ED76D1" w:rsidRPr="005101C5">
        <w:rPr>
          <w:b/>
          <w:bCs/>
          <w:lang w:eastAsia="en-AU"/>
        </w:rPr>
        <w:t>2</w:t>
      </w:r>
      <w:r w:rsidRPr="005101C5">
        <w:rPr>
          <w:b/>
          <w:bCs/>
          <w:lang w:eastAsia="en-AU"/>
        </w:rPr>
        <w:t>:</w:t>
      </w:r>
    </w:p>
    <w:p w14:paraId="09851763" w14:textId="77777777" w:rsidR="00ED76D1" w:rsidRPr="005101C5" w:rsidRDefault="00143E1A" w:rsidP="0063657C">
      <w:pPr>
        <w:pStyle w:val="Condition"/>
        <w:keepNext/>
        <w:keepLines/>
      </w:pPr>
      <w:r w:rsidRPr="005101C5">
        <w:t xml:space="preserve">Attenuated </w:t>
      </w:r>
      <w:r w:rsidR="00ED76D1" w:rsidRPr="005101C5">
        <w:rPr>
          <w:i/>
        </w:rPr>
        <w:t>Influenza A virus</w:t>
      </w:r>
      <w:r w:rsidR="00ED76D1" w:rsidRPr="005101C5">
        <w:t xml:space="preserve"> and </w:t>
      </w:r>
      <w:r w:rsidR="00ED76D1" w:rsidRPr="005101C5">
        <w:rPr>
          <w:i/>
        </w:rPr>
        <w:t>influenza B virus</w:t>
      </w:r>
      <w:r w:rsidRPr="005101C5">
        <w:t xml:space="preserve"> strains,</w:t>
      </w:r>
      <w:r w:rsidR="00496734" w:rsidRPr="005101C5">
        <w:t xml:space="preserve"> </w:t>
      </w:r>
      <w:r w:rsidR="00ED76D1" w:rsidRPr="005101C5">
        <w:t>with the following genetic modifications:</w:t>
      </w:r>
    </w:p>
    <w:p w14:paraId="51DEE5CA" w14:textId="77777777" w:rsidR="00ED76D1" w:rsidRPr="005101C5" w:rsidRDefault="00ED76D1" w:rsidP="00B96BF5">
      <w:pPr>
        <w:pStyle w:val="bulletRARMP"/>
        <w:numPr>
          <w:ilvl w:val="0"/>
          <w:numId w:val="42"/>
        </w:numPr>
        <w:tabs>
          <w:tab w:val="clear" w:pos="567"/>
          <w:tab w:val="clear" w:pos="720"/>
          <w:tab w:val="left" w:pos="709"/>
        </w:tabs>
        <w:ind w:left="709" w:hanging="425"/>
        <w:rPr>
          <w:bCs/>
        </w:rPr>
      </w:pPr>
      <w:r w:rsidRPr="005101C5">
        <w:t>replacement of entire haemagglutinin segment with the equivalent segment from a target strain</w:t>
      </w:r>
    </w:p>
    <w:p w14:paraId="6F225264" w14:textId="77777777" w:rsidR="00ED76D1" w:rsidRPr="005101C5" w:rsidRDefault="00ED76D1" w:rsidP="00B96BF5">
      <w:pPr>
        <w:pStyle w:val="bulletRARMP"/>
        <w:numPr>
          <w:ilvl w:val="0"/>
          <w:numId w:val="42"/>
        </w:numPr>
        <w:tabs>
          <w:tab w:val="clear" w:pos="567"/>
          <w:tab w:val="clear" w:pos="720"/>
          <w:tab w:val="left" w:pos="709"/>
        </w:tabs>
        <w:ind w:left="709" w:hanging="425"/>
      </w:pPr>
      <w:r w:rsidRPr="005101C5">
        <w:t xml:space="preserve">replacement of entire </w:t>
      </w:r>
      <w:r w:rsidRPr="005101C5">
        <w:rPr>
          <w:lang w:val="pt-BR"/>
        </w:rPr>
        <w:t>neuraminidase</w:t>
      </w:r>
      <w:r w:rsidRPr="005101C5">
        <w:t xml:space="preserve"> segment with the equivale</w:t>
      </w:r>
      <w:r w:rsidR="00496734" w:rsidRPr="005101C5">
        <w:t>nt segment from a target strain</w:t>
      </w:r>
    </w:p>
    <w:p w14:paraId="12BFC8A2" w14:textId="77777777" w:rsidR="00496734" w:rsidRPr="005101C5" w:rsidRDefault="00496734" w:rsidP="00496734">
      <w:pPr>
        <w:pStyle w:val="bulletRARMP"/>
        <w:tabs>
          <w:tab w:val="clear" w:pos="567"/>
          <w:tab w:val="clear" w:pos="720"/>
        </w:tabs>
        <w:ind w:left="284" w:firstLine="0"/>
      </w:pPr>
      <w:r w:rsidRPr="005101C5">
        <w:t xml:space="preserve">vaccine preparations of which are known as </w:t>
      </w:r>
      <w:proofErr w:type="spellStart"/>
      <w:r w:rsidRPr="005101C5">
        <w:t>FluMist</w:t>
      </w:r>
      <w:proofErr w:type="spellEnd"/>
      <w:r w:rsidRPr="005101C5">
        <w:rPr>
          <w:vertAlign w:val="superscript"/>
        </w:rPr>
        <w:t>®</w:t>
      </w:r>
      <w:r w:rsidRPr="005101C5">
        <w:t>.</w:t>
      </w:r>
    </w:p>
    <w:p w14:paraId="62809D88" w14:textId="77777777" w:rsidR="00ED76D1" w:rsidRPr="005101C5" w:rsidRDefault="00ED76D1" w:rsidP="00ED76D1">
      <w:pPr>
        <w:tabs>
          <w:tab w:val="left" w:pos="90"/>
        </w:tabs>
        <w:spacing w:before="240"/>
        <w:rPr>
          <w:b/>
          <w:bCs/>
        </w:rPr>
      </w:pPr>
      <w:r w:rsidRPr="005101C5">
        <w:rPr>
          <w:b/>
          <w:bCs/>
        </w:rPr>
        <w:t>Parent Organism</w:t>
      </w:r>
    </w:p>
    <w:p w14:paraId="7B284A76" w14:textId="77777777" w:rsidR="00ED76D1" w:rsidRPr="005101C5" w:rsidRDefault="00ED76D1" w:rsidP="00ED76D1">
      <w:pPr>
        <w:tabs>
          <w:tab w:val="left" w:pos="1985"/>
        </w:tabs>
        <w:spacing w:before="60"/>
        <w:ind w:left="1985" w:hanging="1985"/>
      </w:pPr>
      <w:r w:rsidRPr="005101C5">
        <w:t>Common Name:</w:t>
      </w:r>
      <w:r w:rsidRPr="005101C5">
        <w:tab/>
        <w:t>Influenza virus</w:t>
      </w:r>
    </w:p>
    <w:p w14:paraId="53BD8BD3" w14:textId="77777777" w:rsidR="00ED76D1" w:rsidRPr="005101C5" w:rsidRDefault="00ED76D1" w:rsidP="00ED76D1">
      <w:pPr>
        <w:tabs>
          <w:tab w:val="left" w:pos="1985"/>
        </w:tabs>
        <w:spacing w:before="60"/>
        <w:ind w:left="1985" w:hanging="1985"/>
      </w:pPr>
      <w:r w:rsidRPr="005101C5">
        <w:t>Scientific Name:</w:t>
      </w:r>
      <w:r w:rsidRPr="005101C5">
        <w:tab/>
        <w:t xml:space="preserve">Human </w:t>
      </w:r>
      <w:r w:rsidRPr="005101C5">
        <w:rPr>
          <w:i/>
        </w:rPr>
        <w:t xml:space="preserve">influenza A virus, </w:t>
      </w:r>
      <w:r w:rsidRPr="005101C5">
        <w:t>cold-adapted (derived from A/Ann Arbour/6/60)</w:t>
      </w:r>
    </w:p>
    <w:p w14:paraId="29A9FA57" w14:textId="77777777" w:rsidR="00ED76D1" w:rsidRPr="005101C5" w:rsidRDefault="00ED76D1" w:rsidP="00ED76D1">
      <w:pPr>
        <w:tabs>
          <w:tab w:val="left" w:pos="1985"/>
        </w:tabs>
        <w:spacing w:before="60"/>
        <w:ind w:left="1985" w:hanging="1985"/>
      </w:pPr>
      <w:r w:rsidRPr="005101C5">
        <w:tab/>
        <w:t xml:space="preserve">Human </w:t>
      </w:r>
      <w:r w:rsidRPr="005101C5">
        <w:rPr>
          <w:i/>
        </w:rPr>
        <w:t xml:space="preserve">influenza B virus, </w:t>
      </w:r>
      <w:r w:rsidRPr="005101C5">
        <w:t>cold-adapted (derived from B/Ann Arbour/1/66)</w:t>
      </w:r>
    </w:p>
    <w:p w14:paraId="78F5A987" w14:textId="77777777" w:rsidR="00ED76D1" w:rsidRPr="005101C5" w:rsidRDefault="00ED76D1" w:rsidP="00ED76D1">
      <w:pPr>
        <w:tabs>
          <w:tab w:val="left" w:pos="90"/>
        </w:tabs>
        <w:spacing w:before="240"/>
        <w:rPr>
          <w:b/>
          <w:bCs/>
        </w:rPr>
      </w:pPr>
      <w:r w:rsidRPr="005101C5">
        <w:rPr>
          <w:b/>
          <w:bCs/>
        </w:rPr>
        <w:t>Modified traits</w:t>
      </w:r>
    </w:p>
    <w:p w14:paraId="03759CA7" w14:textId="77777777" w:rsidR="00ED76D1" w:rsidRPr="005101C5" w:rsidRDefault="00ED76D1" w:rsidP="00ED76D1">
      <w:pPr>
        <w:tabs>
          <w:tab w:val="left" w:pos="1985"/>
        </w:tabs>
        <w:spacing w:before="60"/>
        <w:ind w:left="1985" w:hanging="1985"/>
      </w:pPr>
      <w:r w:rsidRPr="005101C5">
        <w:t>Category:</w:t>
      </w:r>
      <w:r w:rsidRPr="005101C5">
        <w:tab/>
        <w:t>Altered</w:t>
      </w:r>
      <w:r w:rsidRPr="005101C5">
        <w:rPr>
          <w:iCs/>
        </w:rPr>
        <w:t xml:space="preserve"> immune response</w:t>
      </w:r>
    </w:p>
    <w:p w14:paraId="520768D7" w14:textId="77777777" w:rsidR="00A159D5" w:rsidRPr="005101C5" w:rsidRDefault="00ED76D1" w:rsidP="000E5601">
      <w:pPr>
        <w:tabs>
          <w:tab w:val="left" w:pos="1985"/>
        </w:tabs>
        <w:spacing w:before="60"/>
        <w:ind w:left="1985" w:hanging="1985"/>
      </w:pPr>
      <w:r w:rsidRPr="005101C5">
        <w:t>Description:</w:t>
      </w:r>
      <w:r w:rsidRPr="005101C5">
        <w:tab/>
        <w:t>The GMOs are live attenuated cold-adapted influenza A and influenza B viruses, modified to elicit an immune response to targeted flu strains. These GMOs are generated using reverse genetics.</w:t>
      </w:r>
    </w:p>
    <w:p w14:paraId="014DE676" w14:textId="77777777" w:rsidR="00E322CC" w:rsidRPr="005101C5" w:rsidRDefault="00E322CC" w:rsidP="00E322CC">
      <w:pPr>
        <w:keepNext/>
        <w:tabs>
          <w:tab w:val="left" w:pos="90"/>
        </w:tabs>
        <w:spacing w:before="240" w:after="120"/>
        <w:rPr>
          <w:lang w:val="pt-BR"/>
        </w:rPr>
      </w:pPr>
      <w:r w:rsidRPr="005101C5">
        <w:rPr>
          <w:b/>
          <w:bCs/>
        </w:rPr>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of genetically modified organism number 2, FluMist vaccine, including the source, identity, function and modification of the nucleic acid responsible for conferring the modified traits."/>
      </w:tblPr>
      <w:tblGrid>
        <w:gridCol w:w="1524"/>
        <w:gridCol w:w="7876"/>
      </w:tblGrid>
      <w:tr w:rsidR="005101C5" w:rsidRPr="005101C5" w14:paraId="5035EAB1" w14:textId="77777777" w:rsidTr="005A7262">
        <w:trPr>
          <w:tblHeader/>
        </w:trPr>
        <w:tc>
          <w:tcPr>
            <w:tcW w:w="1526" w:type="dxa"/>
          </w:tcPr>
          <w:p w14:paraId="248EF4FE" w14:textId="77777777" w:rsidR="00E322CC" w:rsidRPr="005101C5" w:rsidRDefault="00E322CC" w:rsidP="00EF2882">
            <w:pPr>
              <w:keepNext/>
              <w:spacing w:before="60"/>
              <w:rPr>
                <w:lang w:val="pt-BR"/>
              </w:rPr>
            </w:pPr>
            <w:r w:rsidRPr="005101C5">
              <w:rPr>
                <w:lang w:val="pt-BR"/>
              </w:rPr>
              <w:t>Source</w:t>
            </w:r>
          </w:p>
        </w:tc>
        <w:tc>
          <w:tcPr>
            <w:tcW w:w="8102" w:type="dxa"/>
          </w:tcPr>
          <w:p w14:paraId="1B5969A0" w14:textId="77777777" w:rsidR="00E322CC" w:rsidRPr="005101C5" w:rsidRDefault="00E322CC" w:rsidP="00B96BF5">
            <w:pPr>
              <w:pStyle w:val="bulletRARMP"/>
              <w:keepNext/>
              <w:numPr>
                <w:ilvl w:val="0"/>
                <w:numId w:val="42"/>
              </w:numPr>
              <w:tabs>
                <w:tab w:val="clear" w:pos="567"/>
                <w:tab w:val="clear" w:pos="720"/>
                <w:tab w:val="left" w:pos="317"/>
              </w:tabs>
              <w:ind w:left="317" w:hanging="284"/>
              <w:rPr>
                <w:lang w:val="pt-BR"/>
              </w:rPr>
            </w:pPr>
            <w:r w:rsidRPr="005101C5">
              <w:rPr>
                <w:lang w:val="pt-BR"/>
              </w:rPr>
              <w:t>Contemporary influenza virus strains for targeting with influenza vaccines. These strains would be obtained from the WHO’s Global Influenza Surveillance and Response System (GISRS)</w:t>
            </w:r>
          </w:p>
        </w:tc>
      </w:tr>
      <w:tr w:rsidR="005101C5" w:rsidRPr="005101C5" w14:paraId="701C789C" w14:textId="77777777" w:rsidTr="00345D6B">
        <w:tc>
          <w:tcPr>
            <w:tcW w:w="1526" w:type="dxa"/>
          </w:tcPr>
          <w:p w14:paraId="3F79560A" w14:textId="77777777" w:rsidR="00E322CC" w:rsidRPr="005101C5" w:rsidRDefault="00E322CC" w:rsidP="00EF2882">
            <w:pPr>
              <w:keepNext/>
              <w:spacing w:before="60"/>
              <w:rPr>
                <w:lang w:val="pt-BR"/>
              </w:rPr>
            </w:pPr>
            <w:r w:rsidRPr="005101C5">
              <w:rPr>
                <w:lang w:val="pt-BR"/>
              </w:rPr>
              <w:t>Identity</w:t>
            </w:r>
          </w:p>
        </w:tc>
        <w:tc>
          <w:tcPr>
            <w:tcW w:w="8102" w:type="dxa"/>
          </w:tcPr>
          <w:p w14:paraId="2CE6959A" w14:textId="77777777" w:rsidR="00E322CC" w:rsidRPr="005101C5" w:rsidRDefault="00E322CC" w:rsidP="00B96BF5">
            <w:pPr>
              <w:pStyle w:val="bulletRARMP"/>
              <w:keepNext/>
              <w:numPr>
                <w:ilvl w:val="0"/>
                <w:numId w:val="42"/>
              </w:numPr>
              <w:tabs>
                <w:tab w:val="clear" w:pos="567"/>
                <w:tab w:val="clear" w:pos="720"/>
                <w:tab w:val="left" w:pos="317"/>
              </w:tabs>
              <w:ind w:left="317" w:hanging="284"/>
              <w:rPr>
                <w:lang w:val="pt-BR"/>
              </w:rPr>
            </w:pPr>
            <w:r w:rsidRPr="005101C5">
              <w:rPr>
                <w:lang w:val="pt-BR"/>
              </w:rPr>
              <w:t>Entire haemagglutinin gemome segment</w:t>
            </w:r>
          </w:p>
          <w:p w14:paraId="2505F1DD" w14:textId="77777777" w:rsidR="00E322CC" w:rsidRPr="005101C5" w:rsidRDefault="00E322CC" w:rsidP="00B96BF5">
            <w:pPr>
              <w:pStyle w:val="bulletRARMP"/>
              <w:keepNext/>
              <w:numPr>
                <w:ilvl w:val="0"/>
                <w:numId w:val="42"/>
              </w:numPr>
              <w:tabs>
                <w:tab w:val="clear" w:pos="567"/>
                <w:tab w:val="clear" w:pos="720"/>
                <w:tab w:val="left" w:pos="317"/>
              </w:tabs>
              <w:ind w:left="317" w:hanging="284"/>
              <w:rPr>
                <w:lang w:val="pt-BR"/>
              </w:rPr>
            </w:pPr>
            <w:r w:rsidRPr="005101C5">
              <w:rPr>
                <w:lang w:val="pt-BR"/>
              </w:rPr>
              <w:t>Entire neuraminidase genome segment</w:t>
            </w:r>
          </w:p>
        </w:tc>
      </w:tr>
      <w:tr w:rsidR="005101C5" w:rsidRPr="005101C5" w14:paraId="7086C93D" w14:textId="77777777" w:rsidTr="00345D6B">
        <w:tc>
          <w:tcPr>
            <w:tcW w:w="1526" w:type="dxa"/>
          </w:tcPr>
          <w:p w14:paraId="0F4BE3E6" w14:textId="77777777" w:rsidR="00E322CC" w:rsidRPr="005101C5" w:rsidRDefault="00E322CC" w:rsidP="00EF2882">
            <w:pPr>
              <w:keepNext/>
              <w:spacing w:before="60"/>
              <w:rPr>
                <w:lang w:val="pt-BR"/>
              </w:rPr>
            </w:pPr>
            <w:r w:rsidRPr="005101C5">
              <w:rPr>
                <w:lang w:val="pt-BR"/>
              </w:rPr>
              <w:t>Function</w:t>
            </w:r>
          </w:p>
        </w:tc>
        <w:tc>
          <w:tcPr>
            <w:tcW w:w="8102" w:type="dxa"/>
          </w:tcPr>
          <w:p w14:paraId="6D729F55" w14:textId="77777777" w:rsidR="00E322CC" w:rsidRPr="005101C5" w:rsidRDefault="00E322CC" w:rsidP="00B96BF5">
            <w:pPr>
              <w:pStyle w:val="bulletRARMP"/>
              <w:keepNext/>
              <w:numPr>
                <w:ilvl w:val="0"/>
                <w:numId w:val="42"/>
              </w:numPr>
              <w:tabs>
                <w:tab w:val="clear" w:pos="567"/>
                <w:tab w:val="clear" w:pos="720"/>
                <w:tab w:val="left" w:pos="317"/>
              </w:tabs>
              <w:ind w:left="317" w:hanging="284"/>
            </w:pPr>
            <w:r w:rsidRPr="005101C5">
              <w:t>Haemagglutinin – receptor binding, fusion of viral and host endosomal membranes; antigenic determinant</w:t>
            </w:r>
          </w:p>
          <w:p w14:paraId="6157633B" w14:textId="77777777" w:rsidR="00E322CC" w:rsidRPr="005101C5" w:rsidRDefault="00E322CC" w:rsidP="00B96BF5">
            <w:pPr>
              <w:pStyle w:val="bulletRARMP"/>
              <w:keepNext/>
              <w:numPr>
                <w:ilvl w:val="0"/>
                <w:numId w:val="42"/>
              </w:numPr>
              <w:tabs>
                <w:tab w:val="clear" w:pos="567"/>
                <w:tab w:val="clear" w:pos="720"/>
                <w:tab w:val="left" w:pos="317"/>
              </w:tabs>
              <w:ind w:left="317" w:hanging="284"/>
            </w:pPr>
            <w:r w:rsidRPr="005101C5">
              <w:t>Neuraminidase – hydrolysis of glycosidic bond between sialic acid and galactose; antigenic determinant</w:t>
            </w:r>
          </w:p>
        </w:tc>
      </w:tr>
      <w:tr w:rsidR="005101C5" w:rsidRPr="005101C5" w14:paraId="6126CE00" w14:textId="77777777" w:rsidTr="00345D6B">
        <w:tc>
          <w:tcPr>
            <w:tcW w:w="1526" w:type="dxa"/>
          </w:tcPr>
          <w:p w14:paraId="7DE31E32" w14:textId="77777777" w:rsidR="00E322CC" w:rsidRPr="005101C5" w:rsidRDefault="00E322CC" w:rsidP="00EF2882">
            <w:pPr>
              <w:spacing w:before="60"/>
              <w:rPr>
                <w:lang w:val="pt-BR"/>
              </w:rPr>
            </w:pPr>
            <w:r w:rsidRPr="005101C5">
              <w:rPr>
                <w:lang w:val="pt-BR"/>
              </w:rPr>
              <w:t>Modification</w:t>
            </w:r>
          </w:p>
        </w:tc>
        <w:tc>
          <w:tcPr>
            <w:tcW w:w="8102" w:type="dxa"/>
          </w:tcPr>
          <w:p w14:paraId="0D0A59E1" w14:textId="77777777" w:rsidR="00E322CC" w:rsidRPr="005101C5" w:rsidRDefault="00496734" w:rsidP="00B96BF5">
            <w:pPr>
              <w:pStyle w:val="bulletRARMP"/>
              <w:keepNext/>
              <w:numPr>
                <w:ilvl w:val="0"/>
                <w:numId w:val="42"/>
              </w:numPr>
              <w:tabs>
                <w:tab w:val="clear" w:pos="567"/>
                <w:tab w:val="clear" w:pos="720"/>
                <w:tab w:val="left" w:pos="317"/>
              </w:tabs>
              <w:ind w:left="317" w:hanging="284"/>
              <w:rPr>
                <w:lang w:val="pt-BR"/>
              </w:rPr>
            </w:pPr>
            <w:r w:rsidRPr="005101C5">
              <w:t>The</w:t>
            </w:r>
            <w:r w:rsidR="008D670B" w:rsidRPr="005101C5">
              <w:t>se</w:t>
            </w:r>
            <w:r w:rsidRPr="005101C5">
              <w:t xml:space="preserve"> unmodified </w:t>
            </w:r>
            <w:r w:rsidRPr="005101C5">
              <w:rPr>
                <w:lang w:val="pt-BR"/>
              </w:rPr>
              <w:t>haemagglutinin</w:t>
            </w:r>
            <w:r w:rsidRPr="005101C5">
              <w:t xml:space="preserve"> </w:t>
            </w:r>
            <w:r w:rsidR="000E5601" w:rsidRPr="005101C5">
              <w:t xml:space="preserve">and </w:t>
            </w:r>
            <w:r w:rsidR="000E5601" w:rsidRPr="005101C5">
              <w:rPr>
                <w:lang w:val="pt-BR"/>
              </w:rPr>
              <w:t>neuraminidase</w:t>
            </w:r>
            <w:r w:rsidR="000E5601" w:rsidRPr="005101C5">
              <w:t xml:space="preserve"> genome segments</w:t>
            </w:r>
            <w:r w:rsidRPr="005101C5">
              <w:t xml:space="preserve"> are substituted for the </w:t>
            </w:r>
            <w:r w:rsidR="0043678C" w:rsidRPr="005101C5">
              <w:t>corresponding</w:t>
            </w:r>
            <w:r w:rsidRPr="005101C5">
              <w:t xml:space="preserve"> segments of the parent cold-adapted strains</w:t>
            </w:r>
          </w:p>
        </w:tc>
      </w:tr>
    </w:tbl>
    <w:p w14:paraId="28B9B7DC" w14:textId="77777777" w:rsidR="004670AF" w:rsidRPr="005101C5" w:rsidRDefault="004670AF" w:rsidP="0063657C">
      <w:pPr>
        <w:keepNext/>
        <w:tabs>
          <w:tab w:val="left" w:pos="90"/>
        </w:tabs>
        <w:spacing w:before="240" w:after="120"/>
        <w:rPr>
          <w:b/>
          <w:bCs/>
          <w:lang w:eastAsia="en-AU"/>
        </w:rPr>
      </w:pPr>
      <w:r w:rsidRPr="005101C5">
        <w:rPr>
          <w:b/>
          <w:bCs/>
          <w:lang w:eastAsia="en-AU"/>
        </w:rPr>
        <w:t>Purpo</w:t>
      </w:r>
      <w:r w:rsidR="00D24E5D" w:rsidRPr="005101C5">
        <w:rPr>
          <w:b/>
          <w:bCs/>
          <w:lang w:eastAsia="en-AU"/>
        </w:rPr>
        <w:t>se of the dealings with the GMO</w:t>
      </w:r>
      <w:r w:rsidR="00A159D5" w:rsidRPr="005101C5">
        <w:rPr>
          <w:b/>
          <w:bCs/>
          <w:lang w:eastAsia="en-AU"/>
        </w:rPr>
        <w:t>s</w:t>
      </w:r>
      <w:r w:rsidRPr="005101C5">
        <w:rPr>
          <w:b/>
          <w:bCs/>
          <w:lang w:eastAsia="en-AU"/>
        </w:rPr>
        <w:t>:</w:t>
      </w:r>
    </w:p>
    <w:p w14:paraId="77CF2EF0" w14:textId="77777777" w:rsidR="004670AF" w:rsidRPr="005101C5" w:rsidRDefault="004A1941" w:rsidP="00A144AC">
      <w:pPr>
        <w:tabs>
          <w:tab w:val="left" w:pos="90"/>
        </w:tabs>
        <w:spacing w:before="120"/>
        <w:rPr>
          <w:bCs/>
          <w:lang w:eastAsia="en-AU"/>
        </w:rPr>
      </w:pPr>
      <w:r w:rsidRPr="005101C5">
        <w:rPr>
          <w:bCs/>
          <w:lang w:eastAsia="en-AU"/>
        </w:rPr>
        <w:t xml:space="preserve">The purpose of the </w:t>
      </w:r>
      <w:r w:rsidR="00D24E5D" w:rsidRPr="005101C5">
        <w:rPr>
          <w:bCs/>
          <w:lang w:eastAsia="en-AU"/>
        </w:rPr>
        <w:t>clinical</w:t>
      </w:r>
      <w:r w:rsidRPr="005101C5">
        <w:rPr>
          <w:bCs/>
          <w:lang w:eastAsia="en-AU"/>
        </w:rPr>
        <w:t xml:space="preserve"> trial</w:t>
      </w:r>
      <w:r w:rsidR="00F83445" w:rsidRPr="005101C5">
        <w:rPr>
          <w:bCs/>
          <w:lang w:eastAsia="en-AU"/>
        </w:rPr>
        <w:t>s</w:t>
      </w:r>
      <w:r w:rsidRPr="005101C5">
        <w:rPr>
          <w:bCs/>
          <w:lang w:eastAsia="en-AU"/>
        </w:rPr>
        <w:t xml:space="preserve"> </w:t>
      </w:r>
      <w:r w:rsidR="00220BF3" w:rsidRPr="005101C5">
        <w:rPr>
          <w:bCs/>
          <w:lang w:eastAsia="en-AU"/>
        </w:rPr>
        <w:t>is</w:t>
      </w:r>
      <w:r w:rsidRPr="005101C5">
        <w:rPr>
          <w:bCs/>
          <w:lang w:eastAsia="en-AU"/>
        </w:rPr>
        <w:t xml:space="preserve"> to </w:t>
      </w:r>
      <w:r w:rsidR="000E5601" w:rsidRPr="005101C5">
        <w:t xml:space="preserve">assess the safety and tolerability of </w:t>
      </w:r>
      <w:r w:rsidR="00F83445" w:rsidRPr="005101C5">
        <w:t xml:space="preserve">GM </w:t>
      </w:r>
      <w:proofErr w:type="spellStart"/>
      <w:r w:rsidR="000E5601" w:rsidRPr="005101C5">
        <w:t>CodaVax</w:t>
      </w:r>
      <w:proofErr w:type="spellEnd"/>
      <w:r w:rsidR="000E5601" w:rsidRPr="005101C5">
        <w:t xml:space="preserve"> </w:t>
      </w:r>
      <w:r w:rsidR="00F50ABB" w:rsidRPr="005101C5">
        <w:t>or other</w:t>
      </w:r>
      <w:r w:rsidR="00F50ABB" w:rsidRPr="005101C5">
        <w:rPr>
          <w:rStyle w:val="Emphasis"/>
          <w:rFonts w:eastAsiaTheme="minorEastAsia"/>
          <w:bdr w:val="none" w:sz="0" w:space="0" w:color="auto" w:frame="1"/>
          <w:shd w:val="clear" w:color="auto" w:fill="FFFFFF"/>
        </w:rPr>
        <w:t xml:space="preserve"> Synthetic Attenuated Virus Engineering (SAVE) </w:t>
      </w:r>
      <w:r w:rsidR="00BD1952" w:rsidRPr="005101C5">
        <w:rPr>
          <w:rStyle w:val="Emphasis"/>
          <w:rFonts w:eastAsiaTheme="minorEastAsia"/>
          <w:bdr w:val="none" w:sz="0" w:space="0" w:color="auto" w:frame="1"/>
          <w:shd w:val="clear" w:color="auto" w:fill="FFFFFF"/>
        </w:rPr>
        <w:t xml:space="preserve">influenza </w:t>
      </w:r>
      <w:r w:rsidR="00F50ABB" w:rsidRPr="005101C5">
        <w:rPr>
          <w:rStyle w:val="Emphasis"/>
          <w:rFonts w:eastAsiaTheme="minorEastAsia"/>
          <w:bdr w:val="none" w:sz="0" w:space="0" w:color="auto" w:frame="1"/>
          <w:shd w:val="clear" w:color="auto" w:fill="FFFFFF"/>
        </w:rPr>
        <w:t>vaccines</w:t>
      </w:r>
      <w:r w:rsidR="00F50ABB" w:rsidRPr="005101C5">
        <w:t xml:space="preserve"> </w:t>
      </w:r>
      <w:r w:rsidR="003E74E9" w:rsidRPr="005101C5">
        <w:t>(GMO</w:t>
      </w:r>
      <w:r w:rsidR="00F10841" w:rsidRPr="005101C5">
        <w:t> </w:t>
      </w:r>
      <w:r w:rsidR="003E74E9" w:rsidRPr="005101C5">
        <w:t xml:space="preserve">1) </w:t>
      </w:r>
      <w:r w:rsidR="000E5601" w:rsidRPr="005101C5">
        <w:t xml:space="preserve">with </w:t>
      </w:r>
      <w:r w:rsidR="00F83445" w:rsidRPr="005101C5">
        <w:t xml:space="preserve">the GM </w:t>
      </w:r>
      <w:proofErr w:type="spellStart"/>
      <w:r w:rsidR="000E5601" w:rsidRPr="005101C5">
        <w:t>FluMist</w:t>
      </w:r>
      <w:proofErr w:type="spellEnd"/>
      <w:r w:rsidR="000E5601" w:rsidRPr="005101C5">
        <w:t xml:space="preserve"> flu vaccines</w:t>
      </w:r>
      <w:r w:rsidR="003E74E9" w:rsidRPr="005101C5">
        <w:t xml:space="preserve"> (GMO 2)</w:t>
      </w:r>
      <w:r w:rsidR="000E5601" w:rsidRPr="005101C5">
        <w:t xml:space="preserve"> as a comparator.</w:t>
      </w:r>
    </w:p>
    <w:sectPr w:rsidR="004670AF" w:rsidRPr="005101C5" w:rsidSect="001C1B47">
      <w:footerReference w:type="default" r:id="rId10"/>
      <w:pgSz w:w="11906" w:h="16838" w:code="9"/>
      <w:pgMar w:top="1021" w:right="1361" w:bottom="1021"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56DB" w14:textId="77777777" w:rsidR="001A5685" w:rsidRDefault="001A5685" w:rsidP="00C33334">
      <w:r>
        <w:separator/>
      </w:r>
    </w:p>
  </w:endnote>
  <w:endnote w:type="continuationSeparator" w:id="0">
    <w:p w14:paraId="26A93700" w14:textId="77777777" w:rsidR="001A5685" w:rsidRDefault="001A5685" w:rsidP="00C3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765C" w14:textId="125058E1" w:rsidR="00AE14A8" w:rsidRPr="00465C67" w:rsidRDefault="00EB2F0C" w:rsidP="00167298">
    <w:pPr>
      <w:pBdr>
        <w:top w:val="single" w:sz="4" w:space="1" w:color="auto"/>
      </w:pBdr>
      <w:tabs>
        <w:tab w:val="right" w:pos="9214"/>
      </w:tabs>
      <w:rPr>
        <w:sz w:val="16"/>
        <w:szCs w:val="16"/>
      </w:rPr>
    </w:pPr>
    <w:r w:rsidRPr="00465C67">
      <w:rPr>
        <w:sz w:val="16"/>
        <w:szCs w:val="16"/>
        <w:lang w:eastAsia="en-AU"/>
      </w:rPr>
      <w:t xml:space="preserve">LICENCE NO. DIR 144, </w:t>
    </w:r>
    <w:r w:rsidR="00552B36" w:rsidRPr="00465C67">
      <w:rPr>
        <w:sz w:val="16"/>
        <w:szCs w:val="16"/>
        <w:lang w:eastAsia="en-AU"/>
      </w:rPr>
      <w:t xml:space="preserve">Issued </w:t>
    </w:r>
    <w:r w:rsidR="00C04B8A" w:rsidRPr="00465C67">
      <w:rPr>
        <w:sz w:val="16"/>
        <w:szCs w:val="16"/>
        <w:lang w:eastAsia="en-AU"/>
      </w:rPr>
      <w:t xml:space="preserve">1 </w:t>
    </w:r>
    <w:r w:rsidR="00552B36" w:rsidRPr="00465C67">
      <w:rPr>
        <w:sz w:val="16"/>
        <w:szCs w:val="16"/>
        <w:lang w:eastAsia="en-AU"/>
      </w:rPr>
      <w:t xml:space="preserve">August </w:t>
    </w:r>
    <w:r w:rsidRPr="00465C67">
      <w:rPr>
        <w:sz w:val="16"/>
        <w:szCs w:val="16"/>
        <w:lang w:eastAsia="en-AU"/>
      </w:rPr>
      <w:t>2016</w:t>
    </w:r>
    <w:r w:rsidR="00552B36" w:rsidRPr="00465C67">
      <w:rPr>
        <w:sz w:val="16"/>
        <w:szCs w:val="16"/>
        <w:lang w:eastAsia="en-AU"/>
      </w:rPr>
      <w:t xml:space="preserve">, </w:t>
    </w:r>
    <w:r w:rsidR="0086304E" w:rsidRPr="00465C67">
      <w:rPr>
        <w:sz w:val="16"/>
        <w:szCs w:val="16"/>
        <w:lang w:eastAsia="en-AU"/>
      </w:rPr>
      <w:t>v</w:t>
    </w:r>
    <w:r w:rsidR="00552B36" w:rsidRPr="00465C67">
      <w:rPr>
        <w:sz w:val="16"/>
        <w:szCs w:val="16"/>
        <w:lang w:eastAsia="en-AU"/>
      </w:rPr>
      <w:t xml:space="preserve">aried </w:t>
    </w:r>
    <w:r w:rsidR="008D38CD" w:rsidRPr="00465C67">
      <w:rPr>
        <w:sz w:val="16"/>
        <w:szCs w:val="16"/>
        <w:lang w:eastAsia="en-AU"/>
      </w:rPr>
      <w:t>19</w:t>
    </w:r>
    <w:r w:rsidR="00826D33" w:rsidRPr="00465C67">
      <w:rPr>
        <w:sz w:val="16"/>
        <w:szCs w:val="16"/>
        <w:lang w:eastAsia="en-AU"/>
      </w:rPr>
      <w:t xml:space="preserve"> July</w:t>
    </w:r>
    <w:r w:rsidR="00DE57DF" w:rsidRPr="00465C67">
      <w:rPr>
        <w:sz w:val="16"/>
        <w:szCs w:val="16"/>
        <w:lang w:eastAsia="en-AU"/>
      </w:rPr>
      <w:t xml:space="preserve"> 2021</w:t>
    </w:r>
    <w:r w:rsidR="00AE14A8" w:rsidRPr="00465C67">
      <w:rPr>
        <w:sz w:val="16"/>
        <w:szCs w:val="16"/>
      </w:rPr>
      <w:tab/>
    </w:r>
    <w:r w:rsidR="00AE14A8" w:rsidRPr="00465C67">
      <w:rPr>
        <w:sz w:val="16"/>
        <w:szCs w:val="16"/>
      </w:rPr>
      <w:fldChar w:fldCharType="begin"/>
    </w:r>
    <w:r w:rsidR="00AE14A8" w:rsidRPr="00465C67">
      <w:rPr>
        <w:sz w:val="16"/>
        <w:szCs w:val="16"/>
      </w:rPr>
      <w:instrText xml:space="preserve"> PAGE </w:instrText>
    </w:r>
    <w:r w:rsidR="00AE14A8" w:rsidRPr="00465C67">
      <w:rPr>
        <w:sz w:val="16"/>
        <w:szCs w:val="16"/>
      </w:rPr>
      <w:fldChar w:fldCharType="separate"/>
    </w:r>
    <w:r w:rsidR="007D72F3">
      <w:rPr>
        <w:noProof/>
        <w:sz w:val="16"/>
        <w:szCs w:val="16"/>
      </w:rPr>
      <w:t>12</w:t>
    </w:r>
    <w:r w:rsidR="00AE14A8" w:rsidRPr="00465C67">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FBB07" w14:textId="3C0022B3" w:rsidR="0097044B" w:rsidRPr="007D72F3" w:rsidRDefault="0097044B" w:rsidP="001C1B47">
    <w:pPr>
      <w:pBdr>
        <w:top w:val="single" w:sz="4" w:space="1" w:color="auto"/>
      </w:pBdr>
      <w:tabs>
        <w:tab w:val="center" w:pos="4820"/>
        <w:tab w:val="right" w:pos="9214"/>
      </w:tabs>
      <w:rPr>
        <w:sz w:val="16"/>
        <w:szCs w:val="16"/>
      </w:rPr>
    </w:pPr>
    <w:r w:rsidRPr="007D72F3">
      <w:rPr>
        <w:sz w:val="16"/>
        <w:szCs w:val="16"/>
        <w:lang w:eastAsia="en-AU"/>
      </w:rPr>
      <w:t>LICENCE NO. DIR 1</w:t>
    </w:r>
    <w:r w:rsidR="0002235E" w:rsidRPr="007D72F3">
      <w:rPr>
        <w:sz w:val="16"/>
        <w:szCs w:val="16"/>
        <w:lang w:eastAsia="en-AU"/>
      </w:rPr>
      <w:t>44</w:t>
    </w:r>
    <w:r w:rsidRPr="007D72F3">
      <w:rPr>
        <w:sz w:val="16"/>
        <w:szCs w:val="16"/>
        <w:lang w:eastAsia="en-AU"/>
      </w:rPr>
      <w:t xml:space="preserve">, </w:t>
    </w:r>
    <w:r w:rsidR="004E1FCE" w:rsidRPr="007D72F3">
      <w:rPr>
        <w:sz w:val="16"/>
        <w:szCs w:val="16"/>
        <w:lang w:eastAsia="en-AU"/>
      </w:rPr>
      <w:t xml:space="preserve">Issued 1 August 2016, </w:t>
    </w:r>
    <w:r w:rsidR="0086304E" w:rsidRPr="007D72F3">
      <w:rPr>
        <w:sz w:val="16"/>
        <w:szCs w:val="16"/>
        <w:lang w:eastAsia="en-AU"/>
      </w:rPr>
      <w:t>v</w:t>
    </w:r>
    <w:r w:rsidR="004E1FCE" w:rsidRPr="007D72F3">
      <w:rPr>
        <w:sz w:val="16"/>
        <w:szCs w:val="16"/>
        <w:lang w:eastAsia="en-AU"/>
      </w:rPr>
      <w:t>aried</w:t>
    </w:r>
    <w:r w:rsidR="008D38CD" w:rsidRPr="007D72F3">
      <w:rPr>
        <w:sz w:val="16"/>
        <w:szCs w:val="16"/>
        <w:lang w:eastAsia="en-AU"/>
      </w:rPr>
      <w:t xml:space="preserve"> 19 July 2021</w:t>
    </w:r>
    <w:r w:rsidRPr="007D72F3">
      <w:rPr>
        <w:sz w:val="16"/>
        <w:szCs w:val="16"/>
        <w:lang w:eastAsia="en-AU"/>
      </w:rPr>
      <w:tab/>
    </w:r>
    <w:r w:rsidRPr="007D72F3">
      <w:rPr>
        <w:sz w:val="16"/>
        <w:szCs w:val="16"/>
        <w:lang w:eastAsia="en-AU"/>
      </w:rPr>
      <w:tab/>
    </w:r>
    <w:r w:rsidRPr="007D72F3">
      <w:rPr>
        <w:sz w:val="16"/>
        <w:szCs w:val="16"/>
        <w:lang w:eastAsia="en-AU"/>
      </w:rPr>
      <w:fldChar w:fldCharType="begin"/>
    </w:r>
    <w:r w:rsidRPr="007D72F3">
      <w:rPr>
        <w:sz w:val="16"/>
        <w:szCs w:val="16"/>
        <w:lang w:eastAsia="en-AU"/>
      </w:rPr>
      <w:instrText xml:space="preserve"> PAGE </w:instrText>
    </w:r>
    <w:r w:rsidRPr="007D72F3">
      <w:rPr>
        <w:sz w:val="16"/>
        <w:szCs w:val="16"/>
        <w:lang w:eastAsia="en-AU"/>
      </w:rPr>
      <w:fldChar w:fldCharType="separate"/>
    </w:r>
    <w:r w:rsidR="007D72F3">
      <w:rPr>
        <w:noProof/>
        <w:sz w:val="16"/>
        <w:szCs w:val="16"/>
        <w:lang w:eastAsia="en-AU"/>
      </w:rPr>
      <w:t>14</w:t>
    </w:r>
    <w:r w:rsidRPr="007D72F3">
      <w:rPr>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3B2AD" w14:textId="77777777" w:rsidR="001A5685" w:rsidRDefault="001A5685" w:rsidP="00C33334">
      <w:r>
        <w:separator/>
      </w:r>
    </w:p>
  </w:footnote>
  <w:footnote w:type="continuationSeparator" w:id="0">
    <w:p w14:paraId="6F754842" w14:textId="77777777" w:rsidR="001A5685" w:rsidRDefault="001A5685" w:rsidP="00C33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4AF52F6"/>
    <w:multiLevelType w:val="hybridMultilevel"/>
    <w:tmpl w:val="F6B42286"/>
    <w:lvl w:ilvl="0" w:tplc="0C09001B">
      <w:start w:val="1"/>
      <w:numFmt w:val="lowerRoman"/>
      <w:lvlText w:val="%1."/>
      <w:lvlJc w:val="righ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307FAD"/>
    <w:multiLevelType w:val="hybridMultilevel"/>
    <w:tmpl w:val="ED7E8050"/>
    <w:lvl w:ilvl="0" w:tplc="7EF4CC38">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023B1"/>
    <w:multiLevelType w:val="hybridMultilevel"/>
    <w:tmpl w:val="F03CCCEA"/>
    <w:lvl w:ilvl="0" w:tplc="19AC47FC">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B4EC0"/>
    <w:multiLevelType w:val="hybridMultilevel"/>
    <w:tmpl w:val="48240E00"/>
    <w:lvl w:ilvl="0" w:tplc="687012FC">
      <w:start w:val="1"/>
      <w:numFmt w:val="lowerRoman"/>
      <w:lvlText w:val="%1."/>
      <w:lvlJc w:val="right"/>
      <w:pPr>
        <w:tabs>
          <w:tab w:val="num" w:pos="1778"/>
        </w:tabs>
        <w:ind w:left="1778" w:hanging="360"/>
      </w:pPr>
      <w:rPr>
        <w:rFonts w:hint="default"/>
        <w:color w:val="auto"/>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5" w15:restartNumberingAfterBreak="0">
    <w:nsid w:val="0ED0787E"/>
    <w:multiLevelType w:val="hybridMultilevel"/>
    <w:tmpl w:val="914EC1A6"/>
    <w:lvl w:ilvl="0" w:tplc="8DF441A8">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D655BCD"/>
    <w:multiLevelType w:val="hybridMultilevel"/>
    <w:tmpl w:val="25EC58AC"/>
    <w:lvl w:ilvl="0" w:tplc="8F3C6D1C">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A03B0E"/>
    <w:multiLevelType w:val="hybridMultilevel"/>
    <w:tmpl w:val="8D3A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876BB"/>
    <w:multiLevelType w:val="hybridMultilevel"/>
    <w:tmpl w:val="4D2AB1E2"/>
    <w:lvl w:ilvl="0" w:tplc="3CD664FA">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26067D"/>
    <w:multiLevelType w:val="hybridMultilevel"/>
    <w:tmpl w:val="326A5D88"/>
    <w:lvl w:ilvl="0" w:tplc="BCB4F4C8">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007E7"/>
    <w:multiLevelType w:val="hybridMultilevel"/>
    <w:tmpl w:val="AF84EC00"/>
    <w:lvl w:ilvl="0" w:tplc="4290145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8455E2"/>
    <w:multiLevelType w:val="hybridMultilevel"/>
    <w:tmpl w:val="119E3A4A"/>
    <w:lvl w:ilvl="0" w:tplc="4F7EF060">
      <w:start w:val="2"/>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7574CB"/>
    <w:multiLevelType w:val="hybridMultilevel"/>
    <w:tmpl w:val="D8FAA6EE"/>
    <w:lvl w:ilvl="0" w:tplc="A19AFCA8">
      <w:start w:val="1"/>
      <w:numFmt w:val="lowerRoman"/>
      <w:lvlText w:val="%1."/>
      <w:lvlJc w:val="righ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B342B4"/>
    <w:multiLevelType w:val="hybridMultilevel"/>
    <w:tmpl w:val="500C3D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AE6ABF"/>
    <w:multiLevelType w:val="multilevel"/>
    <w:tmpl w:val="9D183DBA"/>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3942"/>
        </w:tabs>
        <w:ind w:left="3942" w:hanging="1531"/>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C953C0"/>
    <w:multiLevelType w:val="hybridMultilevel"/>
    <w:tmpl w:val="7AFE004E"/>
    <w:lvl w:ilvl="0" w:tplc="C626571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3D603F"/>
    <w:multiLevelType w:val="hybridMultilevel"/>
    <w:tmpl w:val="C27C907C"/>
    <w:lvl w:ilvl="0" w:tplc="71A8BE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B31D27"/>
    <w:multiLevelType w:val="hybridMultilevel"/>
    <w:tmpl w:val="5614A66C"/>
    <w:lvl w:ilvl="0" w:tplc="8E8869F0">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9" w15:restartNumberingAfterBreak="0">
    <w:nsid w:val="3EE347CB"/>
    <w:multiLevelType w:val="hybridMultilevel"/>
    <w:tmpl w:val="08FAA60C"/>
    <w:lvl w:ilvl="0" w:tplc="2D768D8A">
      <w:start w:val="2"/>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804DC5"/>
    <w:multiLevelType w:val="hybridMultilevel"/>
    <w:tmpl w:val="8FA8CC08"/>
    <w:lvl w:ilvl="0" w:tplc="8A14BDEC">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85078D"/>
    <w:multiLevelType w:val="hybridMultilevel"/>
    <w:tmpl w:val="D42AFF28"/>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15:restartNumberingAfterBreak="0">
    <w:nsid w:val="490F0DB5"/>
    <w:multiLevelType w:val="hybridMultilevel"/>
    <w:tmpl w:val="1818AB24"/>
    <w:lvl w:ilvl="0" w:tplc="B4406A32">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822343"/>
    <w:multiLevelType w:val="hybridMultilevel"/>
    <w:tmpl w:val="FE884C14"/>
    <w:lvl w:ilvl="0" w:tplc="8DCAF200">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BE2CA7"/>
    <w:multiLevelType w:val="hybridMultilevel"/>
    <w:tmpl w:val="79ECB6E8"/>
    <w:lvl w:ilvl="0" w:tplc="5D5ABB50">
      <w:start w:val="1"/>
      <w:numFmt w:val="lowerLetter"/>
      <w:lvlText w:val="%1)"/>
      <w:lvlJc w:val="left"/>
      <w:pPr>
        <w:tabs>
          <w:tab w:val="num" w:pos="720"/>
        </w:tabs>
        <w:ind w:left="720" w:hanging="360"/>
      </w:pPr>
      <w:rPr>
        <w:rFonts w:ascii="Times New Roman" w:hAnsi="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CDC1B39"/>
    <w:multiLevelType w:val="hybridMultilevel"/>
    <w:tmpl w:val="3CF602F4"/>
    <w:lvl w:ilvl="0" w:tplc="42901450">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D0D1315"/>
    <w:multiLevelType w:val="hybridMultilevel"/>
    <w:tmpl w:val="61348676"/>
    <w:lvl w:ilvl="0" w:tplc="0C09000B">
      <w:start w:val="1"/>
      <w:numFmt w:val="bullet"/>
      <w:lvlText w:val=""/>
      <w:lvlJc w:val="left"/>
      <w:pPr>
        <w:ind w:left="1854"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591206"/>
    <w:multiLevelType w:val="hybridMultilevel"/>
    <w:tmpl w:val="6A1A06BE"/>
    <w:lvl w:ilvl="0" w:tplc="0BBC9828">
      <w:start w:val="1"/>
      <w:numFmt w:val="lowerLetter"/>
      <w:lvlText w:val="%1)"/>
      <w:lvlJc w:val="left"/>
      <w:pPr>
        <w:tabs>
          <w:tab w:val="num" w:pos="1505"/>
        </w:tabs>
        <w:ind w:left="150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7384E"/>
    <w:multiLevelType w:val="hybridMultilevel"/>
    <w:tmpl w:val="9DAC7724"/>
    <w:lvl w:ilvl="0" w:tplc="FAE26E60">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8A65A5"/>
    <w:multiLevelType w:val="hybridMultilevel"/>
    <w:tmpl w:val="8316527E"/>
    <w:lvl w:ilvl="0" w:tplc="8E8869F0">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1" w15:restartNumberingAfterBreak="0">
    <w:nsid w:val="6BDF1D54"/>
    <w:multiLevelType w:val="hybridMultilevel"/>
    <w:tmpl w:val="B7CEE65E"/>
    <w:lvl w:ilvl="0" w:tplc="4A0AF8FE">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FD2562"/>
    <w:multiLevelType w:val="hybridMultilevel"/>
    <w:tmpl w:val="8FAAED4A"/>
    <w:lvl w:ilvl="0" w:tplc="0C09001B">
      <w:start w:val="1"/>
      <w:numFmt w:val="lowerRoman"/>
      <w:lvlText w:val="%1."/>
      <w:lvlJc w:val="right"/>
      <w:pPr>
        <w:ind w:left="1778" w:hanging="360"/>
      </w:pPr>
      <w:rPr>
        <w:rFon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3" w15:restartNumberingAfterBreak="0">
    <w:nsid w:val="6E452EE5"/>
    <w:multiLevelType w:val="hybridMultilevel"/>
    <w:tmpl w:val="A36CFF86"/>
    <w:lvl w:ilvl="0" w:tplc="C7CC611C">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027446"/>
    <w:multiLevelType w:val="hybridMultilevel"/>
    <w:tmpl w:val="46325EE6"/>
    <w:lvl w:ilvl="0" w:tplc="4AE466D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646CDF"/>
    <w:multiLevelType w:val="hybridMultilevel"/>
    <w:tmpl w:val="0D4C5F80"/>
    <w:lvl w:ilvl="0" w:tplc="70725B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1F2142"/>
    <w:multiLevelType w:val="hybridMultilevel"/>
    <w:tmpl w:val="405C692A"/>
    <w:lvl w:ilvl="0" w:tplc="794E39A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1810AD"/>
    <w:multiLevelType w:val="hybridMultilevel"/>
    <w:tmpl w:val="C39A94AE"/>
    <w:lvl w:ilvl="0" w:tplc="0FBCEA0E">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pStyle w:val="Style2"/>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9" w15:restartNumberingAfterBreak="0">
    <w:nsid w:val="7CD82E60"/>
    <w:multiLevelType w:val="hybridMultilevel"/>
    <w:tmpl w:val="B0DEA702"/>
    <w:lvl w:ilvl="0" w:tplc="0C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9A03BC"/>
    <w:multiLevelType w:val="hybridMultilevel"/>
    <w:tmpl w:val="E79035EC"/>
    <w:lvl w:ilvl="0" w:tplc="3B6E5764">
      <w:start w:val="2"/>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8"/>
  </w:num>
  <w:num w:numId="3">
    <w:abstractNumId w:val="6"/>
  </w:num>
  <w:num w:numId="4">
    <w:abstractNumId w:val="38"/>
  </w:num>
  <w:num w:numId="5">
    <w:abstractNumId w:val="34"/>
  </w:num>
  <w:num w:numId="6">
    <w:abstractNumId w:val="16"/>
  </w:num>
  <w:num w:numId="7">
    <w:abstractNumId w:val="8"/>
  </w:num>
  <w:num w:numId="8">
    <w:abstractNumId w:val="17"/>
  </w:num>
  <w:num w:numId="9">
    <w:abstractNumId w:val="1"/>
  </w:num>
  <w:num w:numId="10">
    <w:abstractNumId w:val="31"/>
  </w:num>
  <w:num w:numId="11">
    <w:abstractNumId w:val="41"/>
  </w:num>
  <w:num w:numId="12">
    <w:abstractNumId w:val="12"/>
  </w:num>
  <w:num w:numId="13">
    <w:abstractNumId w:val="39"/>
  </w:num>
  <w:num w:numId="14">
    <w:abstractNumId w:val="21"/>
  </w:num>
  <w:num w:numId="15">
    <w:abstractNumId w:val="13"/>
  </w:num>
  <w:num w:numId="16">
    <w:abstractNumId w:val="27"/>
  </w:num>
  <w:num w:numId="17">
    <w:abstractNumId w:val="37"/>
  </w:num>
  <w:num w:numId="18">
    <w:abstractNumId w:val="23"/>
  </w:num>
  <w:num w:numId="19">
    <w:abstractNumId w:val="7"/>
  </w:num>
  <w:num w:numId="20">
    <w:abstractNumId w:val="9"/>
  </w:num>
  <w:num w:numId="21">
    <w:abstractNumId w:val="34"/>
    <w:lvlOverride w:ilvl="0">
      <w:startOverride w:val="1"/>
    </w:lvlOverride>
  </w:num>
  <w:num w:numId="22">
    <w:abstractNumId w:val="2"/>
  </w:num>
  <w:num w:numId="23">
    <w:abstractNumId w:val="29"/>
  </w:num>
  <w:num w:numId="24">
    <w:abstractNumId w:val="5"/>
  </w:num>
  <w:num w:numId="25">
    <w:abstractNumId w:val="19"/>
  </w:num>
  <w:num w:numId="26">
    <w:abstractNumId w:val="33"/>
  </w:num>
  <w:num w:numId="27">
    <w:abstractNumId w:val="28"/>
  </w:num>
  <w:num w:numId="28">
    <w:abstractNumId w:val="22"/>
  </w:num>
  <w:num w:numId="29">
    <w:abstractNumId w:val="3"/>
  </w:num>
  <w:num w:numId="30">
    <w:abstractNumId w:val="32"/>
  </w:num>
  <w:num w:numId="31">
    <w:abstractNumId w:val="20"/>
  </w:num>
  <w:num w:numId="32">
    <w:abstractNumId w:val="35"/>
  </w:num>
  <w:num w:numId="33">
    <w:abstractNumId w:val="14"/>
  </w:num>
  <w:num w:numId="34">
    <w:abstractNumId w:val="36"/>
  </w:num>
  <w:num w:numId="35">
    <w:abstractNumId w:val="11"/>
  </w:num>
  <w:num w:numId="36">
    <w:abstractNumId w:val="10"/>
  </w:num>
  <w:num w:numId="37">
    <w:abstractNumId w:val="40"/>
  </w:num>
  <w:num w:numId="38">
    <w:abstractNumId w:val="26"/>
  </w:num>
  <w:num w:numId="39">
    <w:abstractNumId w:val="17"/>
    <w:lvlOverride w:ilvl="0">
      <w:startOverride w:val="1"/>
    </w:lvlOverride>
  </w:num>
  <w:num w:numId="40">
    <w:abstractNumId w:val="18"/>
  </w:num>
  <w:num w:numId="41">
    <w:abstractNumId w:val="30"/>
  </w:num>
  <w:num w:numId="42">
    <w:abstractNumId w:val="25"/>
  </w:num>
  <w:num w:numId="43">
    <w:abstractNumId w:val="24"/>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9AF"/>
    <w:rsid w:val="00010B2B"/>
    <w:rsid w:val="00012F0F"/>
    <w:rsid w:val="0002235E"/>
    <w:rsid w:val="00023B70"/>
    <w:rsid w:val="00034407"/>
    <w:rsid w:val="00036123"/>
    <w:rsid w:val="0004245F"/>
    <w:rsid w:val="00047601"/>
    <w:rsid w:val="00066699"/>
    <w:rsid w:val="0007164A"/>
    <w:rsid w:val="00071FCB"/>
    <w:rsid w:val="000914E4"/>
    <w:rsid w:val="00091BF6"/>
    <w:rsid w:val="0009767D"/>
    <w:rsid w:val="000A1117"/>
    <w:rsid w:val="000A1AA6"/>
    <w:rsid w:val="000A5412"/>
    <w:rsid w:val="000A7DC2"/>
    <w:rsid w:val="000C4DE5"/>
    <w:rsid w:val="000D1C47"/>
    <w:rsid w:val="000D21D7"/>
    <w:rsid w:val="000D5998"/>
    <w:rsid w:val="000D785C"/>
    <w:rsid w:val="000E0A70"/>
    <w:rsid w:val="000E5601"/>
    <w:rsid w:val="000E6091"/>
    <w:rsid w:val="000F4E06"/>
    <w:rsid w:val="000F57E8"/>
    <w:rsid w:val="001014FE"/>
    <w:rsid w:val="001144FB"/>
    <w:rsid w:val="00116277"/>
    <w:rsid w:val="00125730"/>
    <w:rsid w:val="00127E9C"/>
    <w:rsid w:val="001317CD"/>
    <w:rsid w:val="00132F50"/>
    <w:rsid w:val="00143E1A"/>
    <w:rsid w:val="00144BDF"/>
    <w:rsid w:val="00163025"/>
    <w:rsid w:val="00165553"/>
    <w:rsid w:val="00167DFF"/>
    <w:rsid w:val="00184396"/>
    <w:rsid w:val="00194C4E"/>
    <w:rsid w:val="00194C62"/>
    <w:rsid w:val="0019712E"/>
    <w:rsid w:val="001A5685"/>
    <w:rsid w:val="001A69AA"/>
    <w:rsid w:val="001B6EB8"/>
    <w:rsid w:val="001C1B47"/>
    <w:rsid w:val="001D25C5"/>
    <w:rsid w:val="001D2E16"/>
    <w:rsid w:val="001E07E0"/>
    <w:rsid w:val="001E1016"/>
    <w:rsid w:val="001E2D5D"/>
    <w:rsid w:val="001E37B1"/>
    <w:rsid w:val="001E7A33"/>
    <w:rsid w:val="001F27F9"/>
    <w:rsid w:val="001F3713"/>
    <w:rsid w:val="001F3FBC"/>
    <w:rsid w:val="00203CB9"/>
    <w:rsid w:val="00204120"/>
    <w:rsid w:val="00207C51"/>
    <w:rsid w:val="0021656F"/>
    <w:rsid w:val="00220BF3"/>
    <w:rsid w:val="00223E4F"/>
    <w:rsid w:val="00225754"/>
    <w:rsid w:val="002347FA"/>
    <w:rsid w:val="00235234"/>
    <w:rsid w:val="002365D4"/>
    <w:rsid w:val="00244C46"/>
    <w:rsid w:val="0024646F"/>
    <w:rsid w:val="00251563"/>
    <w:rsid w:val="00267CED"/>
    <w:rsid w:val="002933B5"/>
    <w:rsid w:val="00295F50"/>
    <w:rsid w:val="002A266B"/>
    <w:rsid w:val="002A468C"/>
    <w:rsid w:val="002B421B"/>
    <w:rsid w:val="002B55B5"/>
    <w:rsid w:val="002B5DB7"/>
    <w:rsid w:val="002D3F9E"/>
    <w:rsid w:val="002E5019"/>
    <w:rsid w:val="002E54AD"/>
    <w:rsid w:val="002F39E2"/>
    <w:rsid w:val="002F7E0D"/>
    <w:rsid w:val="003169AC"/>
    <w:rsid w:val="0032091D"/>
    <w:rsid w:val="0032409D"/>
    <w:rsid w:val="00326D3C"/>
    <w:rsid w:val="00330B11"/>
    <w:rsid w:val="00341FF7"/>
    <w:rsid w:val="00343F99"/>
    <w:rsid w:val="00345D6B"/>
    <w:rsid w:val="00346F5B"/>
    <w:rsid w:val="00351BAB"/>
    <w:rsid w:val="00351EB4"/>
    <w:rsid w:val="00357464"/>
    <w:rsid w:val="003615B6"/>
    <w:rsid w:val="00361CAF"/>
    <w:rsid w:val="003654C7"/>
    <w:rsid w:val="00366097"/>
    <w:rsid w:val="00373DBB"/>
    <w:rsid w:val="00374979"/>
    <w:rsid w:val="00381894"/>
    <w:rsid w:val="0038436F"/>
    <w:rsid w:val="003854E2"/>
    <w:rsid w:val="00385F53"/>
    <w:rsid w:val="003860F0"/>
    <w:rsid w:val="00392AF7"/>
    <w:rsid w:val="00393DF1"/>
    <w:rsid w:val="00397F8D"/>
    <w:rsid w:val="003A2FC9"/>
    <w:rsid w:val="003A4C71"/>
    <w:rsid w:val="003A5ED8"/>
    <w:rsid w:val="003A704C"/>
    <w:rsid w:val="003B3E9E"/>
    <w:rsid w:val="003B4ED6"/>
    <w:rsid w:val="003C4CBE"/>
    <w:rsid w:val="003D28D1"/>
    <w:rsid w:val="003E74E9"/>
    <w:rsid w:val="003F1403"/>
    <w:rsid w:val="003F226D"/>
    <w:rsid w:val="003F5591"/>
    <w:rsid w:val="00411F87"/>
    <w:rsid w:val="0041438D"/>
    <w:rsid w:val="00431D6E"/>
    <w:rsid w:val="0043678C"/>
    <w:rsid w:val="00440BEB"/>
    <w:rsid w:val="00446723"/>
    <w:rsid w:val="0045158E"/>
    <w:rsid w:val="0046243C"/>
    <w:rsid w:val="00465C67"/>
    <w:rsid w:val="004670AF"/>
    <w:rsid w:val="00471941"/>
    <w:rsid w:val="004766CE"/>
    <w:rsid w:val="00477E6C"/>
    <w:rsid w:val="00481FCD"/>
    <w:rsid w:val="00496734"/>
    <w:rsid w:val="004977D2"/>
    <w:rsid w:val="004A0B24"/>
    <w:rsid w:val="004A1941"/>
    <w:rsid w:val="004A3869"/>
    <w:rsid w:val="004B15B5"/>
    <w:rsid w:val="004C5ADA"/>
    <w:rsid w:val="004D02F3"/>
    <w:rsid w:val="004D461D"/>
    <w:rsid w:val="004D51C8"/>
    <w:rsid w:val="004D774A"/>
    <w:rsid w:val="004E1FCE"/>
    <w:rsid w:val="004E26D5"/>
    <w:rsid w:val="004E32D4"/>
    <w:rsid w:val="004E716F"/>
    <w:rsid w:val="004F5FDB"/>
    <w:rsid w:val="005040F1"/>
    <w:rsid w:val="005101C5"/>
    <w:rsid w:val="0051028A"/>
    <w:rsid w:val="0051606C"/>
    <w:rsid w:val="00516EC2"/>
    <w:rsid w:val="00523CAA"/>
    <w:rsid w:val="005273C3"/>
    <w:rsid w:val="00527D2F"/>
    <w:rsid w:val="005319C8"/>
    <w:rsid w:val="0053201E"/>
    <w:rsid w:val="00533D41"/>
    <w:rsid w:val="0054253C"/>
    <w:rsid w:val="00552B36"/>
    <w:rsid w:val="00557B19"/>
    <w:rsid w:val="00570776"/>
    <w:rsid w:val="005802F7"/>
    <w:rsid w:val="00580FF8"/>
    <w:rsid w:val="00590EC3"/>
    <w:rsid w:val="00594150"/>
    <w:rsid w:val="00594B01"/>
    <w:rsid w:val="00597651"/>
    <w:rsid w:val="00597D99"/>
    <w:rsid w:val="005A0CFC"/>
    <w:rsid w:val="005A186A"/>
    <w:rsid w:val="005A1BC3"/>
    <w:rsid w:val="005A302C"/>
    <w:rsid w:val="005A5510"/>
    <w:rsid w:val="005A7262"/>
    <w:rsid w:val="005B009F"/>
    <w:rsid w:val="005B543A"/>
    <w:rsid w:val="005B75C0"/>
    <w:rsid w:val="005C5929"/>
    <w:rsid w:val="005D30F1"/>
    <w:rsid w:val="005D7952"/>
    <w:rsid w:val="005E05B1"/>
    <w:rsid w:val="005F6D41"/>
    <w:rsid w:val="00604645"/>
    <w:rsid w:val="00607178"/>
    <w:rsid w:val="006075CB"/>
    <w:rsid w:val="00607D2D"/>
    <w:rsid w:val="00607F69"/>
    <w:rsid w:val="0061642D"/>
    <w:rsid w:val="00627F65"/>
    <w:rsid w:val="00631327"/>
    <w:rsid w:val="00633B69"/>
    <w:rsid w:val="0063657C"/>
    <w:rsid w:val="006411C6"/>
    <w:rsid w:val="00643AA7"/>
    <w:rsid w:val="00650338"/>
    <w:rsid w:val="00666AF9"/>
    <w:rsid w:val="0066750F"/>
    <w:rsid w:val="0067370A"/>
    <w:rsid w:val="00676B04"/>
    <w:rsid w:val="006866CB"/>
    <w:rsid w:val="00694384"/>
    <w:rsid w:val="006A200B"/>
    <w:rsid w:val="006A5FAF"/>
    <w:rsid w:val="006A7069"/>
    <w:rsid w:val="006B3153"/>
    <w:rsid w:val="006B3277"/>
    <w:rsid w:val="006B66B6"/>
    <w:rsid w:val="006C2435"/>
    <w:rsid w:val="006C41D5"/>
    <w:rsid w:val="006D02D9"/>
    <w:rsid w:val="006D4A96"/>
    <w:rsid w:val="006E2975"/>
    <w:rsid w:val="006E44DB"/>
    <w:rsid w:val="006E52FF"/>
    <w:rsid w:val="006E6690"/>
    <w:rsid w:val="006E7940"/>
    <w:rsid w:val="006F03A7"/>
    <w:rsid w:val="006F3CA4"/>
    <w:rsid w:val="006F4DA4"/>
    <w:rsid w:val="006F6911"/>
    <w:rsid w:val="0070580F"/>
    <w:rsid w:val="0071166F"/>
    <w:rsid w:val="0071604E"/>
    <w:rsid w:val="00717B8F"/>
    <w:rsid w:val="007239B2"/>
    <w:rsid w:val="0072562D"/>
    <w:rsid w:val="00725B3E"/>
    <w:rsid w:val="00733F28"/>
    <w:rsid w:val="0074217B"/>
    <w:rsid w:val="00743DDB"/>
    <w:rsid w:val="007478BD"/>
    <w:rsid w:val="00752A1E"/>
    <w:rsid w:val="007612C1"/>
    <w:rsid w:val="0076316E"/>
    <w:rsid w:val="007729DE"/>
    <w:rsid w:val="00793847"/>
    <w:rsid w:val="00794E3F"/>
    <w:rsid w:val="00795665"/>
    <w:rsid w:val="00795F37"/>
    <w:rsid w:val="007A1796"/>
    <w:rsid w:val="007A1B79"/>
    <w:rsid w:val="007B606E"/>
    <w:rsid w:val="007D3D8D"/>
    <w:rsid w:val="007D50B9"/>
    <w:rsid w:val="007D5B0A"/>
    <w:rsid w:val="007D72F3"/>
    <w:rsid w:val="007E112E"/>
    <w:rsid w:val="007E5E5E"/>
    <w:rsid w:val="007E7C0D"/>
    <w:rsid w:val="007F783A"/>
    <w:rsid w:val="008015F9"/>
    <w:rsid w:val="00807FBF"/>
    <w:rsid w:val="00810A1B"/>
    <w:rsid w:val="00815CB0"/>
    <w:rsid w:val="00826D33"/>
    <w:rsid w:val="00830CC9"/>
    <w:rsid w:val="0083471A"/>
    <w:rsid w:val="00835D29"/>
    <w:rsid w:val="00842812"/>
    <w:rsid w:val="00846B3C"/>
    <w:rsid w:val="0086304E"/>
    <w:rsid w:val="00872674"/>
    <w:rsid w:val="008771A3"/>
    <w:rsid w:val="008844A6"/>
    <w:rsid w:val="00884DEA"/>
    <w:rsid w:val="008862B0"/>
    <w:rsid w:val="00886362"/>
    <w:rsid w:val="00886E2D"/>
    <w:rsid w:val="008A2FA5"/>
    <w:rsid w:val="008A40F8"/>
    <w:rsid w:val="008D029B"/>
    <w:rsid w:val="008D13A8"/>
    <w:rsid w:val="008D38CD"/>
    <w:rsid w:val="008D670B"/>
    <w:rsid w:val="008E525D"/>
    <w:rsid w:val="008F3533"/>
    <w:rsid w:val="008F61A8"/>
    <w:rsid w:val="00910F9F"/>
    <w:rsid w:val="00913735"/>
    <w:rsid w:val="00916AC8"/>
    <w:rsid w:val="00920B85"/>
    <w:rsid w:val="009221CB"/>
    <w:rsid w:val="009236A7"/>
    <w:rsid w:val="00924D1C"/>
    <w:rsid w:val="00924E88"/>
    <w:rsid w:val="00931135"/>
    <w:rsid w:val="00931259"/>
    <w:rsid w:val="00932901"/>
    <w:rsid w:val="00934172"/>
    <w:rsid w:val="009421F7"/>
    <w:rsid w:val="0096450A"/>
    <w:rsid w:val="00965A75"/>
    <w:rsid w:val="009674C2"/>
    <w:rsid w:val="0097044B"/>
    <w:rsid w:val="00981058"/>
    <w:rsid w:val="00981C92"/>
    <w:rsid w:val="00983846"/>
    <w:rsid w:val="00984BD8"/>
    <w:rsid w:val="0098553C"/>
    <w:rsid w:val="00985F01"/>
    <w:rsid w:val="00990836"/>
    <w:rsid w:val="00990E83"/>
    <w:rsid w:val="00992E9E"/>
    <w:rsid w:val="009A0871"/>
    <w:rsid w:val="009A64D4"/>
    <w:rsid w:val="009A71FA"/>
    <w:rsid w:val="009B3280"/>
    <w:rsid w:val="009B6597"/>
    <w:rsid w:val="009C39A1"/>
    <w:rsid w:val="009E0F0B"/>
    <w:rsid w:val="009E170C"/>
    <w:rsid w:val="009E7163"/>
    <w:rsid w:val="00A06CAA"/>
    <w:rsid w:val="00A11D56"/>
    <w:rsid w:val="00A144AC"/>
    <w:rsid w:val="00A148A9"/>
    <w:rsid w:val="00A15540"/>
    <w:rsid w:val="00A159D5"/>
    <w:rsid w:val="00A249AF"/>
    <w:rsid w:val="00A46EFE"/>
    <w:rsid w:val="00A47813"/>
    <w:rsid w:val="00A5055E"/>
    <w:rsid w:val="00A72EA9"/>
    <w:rsid w:val="00A77685"/>
    <w:rsid w:val="00A77E3B"/>
    <w:rsid w:val="00A82AD3"/>
    <w:rsid w:val="00A902D3"/>
    <w:rsid w:val="00AA18AB"/>
    <w:rsid w:val="00AA6EDB"/>
    <w:rsid w:val="00AC0B4D"/>
    <w:rsid w:val="00AC600F"/>
    <w:rsid w:val="00AD2754"/>
    <w:rsid w:val="00AD3959"/>
    <w:rsid w:val="00AD44D2"/>
    <w:rsid w:val="00AE14A8"/>
    <w:rsid w:val="00AF5085"/>
    <w:rsid w:val="00B26F28"/>
    <w:rsid w:val="00B30121"/>
    <w:rsid w:val="00B4357C"/>
    <w:rsid w:val="00B436C8"/>
    <w:rsid w:val="00B50E51"/>
    <w:rsid w:val="00B52F27"/>
    <w:rsid w:val="00B94362"/>
    <w:rsid w:val="00B96BF5"/>
    <w:rsid w:val="00BA0FA8"/>
    <w:rsid w:val="00BA364C"/>
    <w:rsid w:val="00BB3A7C"/>
    <w:rsid w:val="00BB5582"/>
    <w:rsid w:val="00BC09B4"/>
    <w:rsid w:val="00BD1952"/>
    <w:rsid w:val="00BE1BAC"/>
    <w:rsid w:val="00C04B8A"/>
    <w:rsid w:val="00C07047"/>
    <w:rsid w:val="00C20489"/>
    <w:rsid w:val="00C226A8"/>
    <w:rsid w:val="00C229F4"/>
    <w:rsid w:val="00C33334"/>
    <w:rsid w:val="00C3517C"/>
    <w:rsid w:val="00C37343"/>
    <w:rsid w:val="00C47BBD"/>
    <w:rsid w:val="00C540A8"/>
    <w:rsid w:val="00C67653"/>
    <w:rsid w:val="00C746F9"/>
    <w:rsid w:val="00C800AA"/>
    <w:rsid w:val="00C80E93"/>
    <w:rsid w:val="00C828F0"/>
    <w:rsid w:val="00C85C91"/>
    <w:rsid w:val="00C85EAE"/>
    <w:rsid w:val="00C970C0"/>
    <w:rsid w:val="00CA51E7"/>
    <w:rsid w:val="00CA5848"/>
    <w:rsid w:val="00CB0303"/>
    <w:rsid w:val="00CB63A1"/>
    <w:rsid w:val="00CD0701"/>
    <w:rsid w:val="00CD5828"/>
    <w:rsid w:val="00CE1859"/>
    <w:rsid w:val="00CE359F"/>
    <w:rsid w:val="00CF656B"/>
    <w:rsid w:val="00D03564"/>
    <w:rsid w:val="00D17EB3"/>
    <w:rsid w:val="00D24E5D"/>
    <w:rsid w:val="00D26A40"/>
    <w:rsid w:val="00D30D3A"/>
    <w:rsid w:val="00D3232B"/>
    <w:rsid w:val="00D32F56"/>
    <w:rsid w:val="00D33ADE"/>
    <w:rsid w:val="00D41B8F"/>
    <w:rsid w:val="00D607CA"/>
    <w:rsid w:val="00D67E2F"/>
    <w:rsid w:val="00D82C26"/>
    <w:rsid w:val="00D87242"/>
    <w:rsid w:val="00D875FE"/>
    <w:rsid w:val="00D913DD"/>
    <w:rsid w:val="00D966C1"/>
    <w:rsid w:val="00DA583D"/>
    <w:rsid w:val="00DA7044"/>
    <w:rsid w:val="00DB0223"/>
    <w:rsid w:val="00DB3730"/>
    <w:rsid w:val="00DB397F"/>
    <w:rsid w:val="00DB3A9D"/>
    <w:rsid w:val="00DC1C3C"/>
    <w:rsid w:val="00DC44E2"/>
    <w:rsid w:val="00DC77A6"/>
    <w:rsid w:val="00DE57DF"/>
    <w:rsid w:val="00E02C0F"/>
    <w:rsid w:val="00E03667"/>
    <w:rsid w:val="00E1043F"/>
    <w:rsid w:val="00E10ABC"/>
    <w:rsid w:val="00E14CB8"/>
    <w:rsid w:val="00E16E14"/>
    <w:rsid w:val="00E17157"/>
    <w:rsid w:val="00E22D0F"/>
    <w:rsid w:val="00E26E94"/>
    <w:rsid w:val="00E322CC"/>
    <w:rsid w:val="00E325EE"/>
    <w:rsid w:val="00E47747"/>
    <w:rsid w:val="00E5057E"/>
    <w:rsid w:val="00E50B39"/>
    <w:rsid w:val="00E64361"/>
    <w:rsid w:val="00E74E8A"/>
    <w:rsid w:val="00E8183E"/>
    <w:rsid w:val="00E85965"/>
    <w:rsid w:val="00E87E39"/>
    <w:rsid w:val="00EB2F0C"/>
    <w:rsid w:val="00EB46AA"/>
    <w:rsid w:val="00EB616B"/>
    <w:rsid w:val="00EB780C"/>
    <w:rsid w:val="00EC1376"/>
    <w:rsid w:val="00EC1CB2"/>
    <w:rsid w:val="00EC6804"/>
    <w:rsid w:val="00EC6A06"/>
    <w:rsid w:val="00ED09EB"/>
    <w:rsid w:val="00ED6562"/>
    <w:rsid w:val="00ED6F07"/>
    <w:rsid w:val="00ED76D1"/>
    <w:rsid w:val="00EE3D06"/>
    <w:rsid w:val="00EE5EC1"/>
    <w:rsid w:val="00EF0A8B"/>
    <w:rsid w:val="00EF32F4"/>
    <w:rsid w:val="00F00EFB"/>
    <w:rsid w:val="00F05A22"/>
    <w:rsid w:val="00F05D33"/>
    <w:rsid w:val="00F10841"/>
    <w:rsid w:val="00F13A71"/>
    <w:rsid w:val="00F30E40"/>
    <w:rsid w:val="00F33487"/>
    <w:rsid w:val="00F43F46"/>
    <w:rsid w:val="00F50ABB"/>
    <w:rsid w:val="00F50BFD"/>
    <w:rsid w:val="00F516CA"/>
    <w:rsid w:val="00F5548A"/>
    <w:rsid w:val="00F56903"/>
    <w:rsid w:val="00F628EB"/>
    <w:rsid w:val="00F73F44"/>
    <w:rsid w:val="00F772ED"/>
    <w:rsid w:val="00F77499"/>
    <w:rsid w:val="00F8172E"/>
    <w:rsid w:val="00F83445"/>
    <w:rsid w:val="00F865E6"/>
    <w:rsid w:val="00F87A41"/>
    <w:rsid w:val="00F911CC"/>
    <w:rsid w:val="00FA0F94"/>
    <w:rsid w:val="00FA29FF"/>
    <w:rsid w:val="00FA5561"/>
    <w:rsid w:val="00FA5961"/>
    <w:rsid w:val="00FA788C"/>
    <w:rsid w:val="00FB26A4"/>
    <w:rsid w:val="00FB313D"/>
    <w:rsid w:val="00FB45B3"/>
    <w:rsid w:val="00FB6B42"/>
    <w:rsid w:val="00FB7AD5"/>
    <w:rsid w:val="00FC2B80"/>
    <w:rsid w:val="00FD2E64"/>
    <w:rsid w:val="00FD3B3A"/>
    <w:rsid w:val="00FE2626"/>
    <w:rsid w:val="00FE4CC2"/>
    <w:rsid w:val="00FF0DF6"/>
    <w:rsid w:val="00FF17EC"/>
    <w:rsid w:val="00FF51CF"/>
    <w:rsid w:val="00FF65E5"/>
    <w:rsid w:val="00FF6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74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9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E14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E14A8"/>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A249AF"/>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A249AF"/>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A249AF"/>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249AF"/>
    <w:rPr>
      <w:rFonts w:ascii="Times New Roman" w:eastAsiaTheme="minorEastAsia" w:hAnsi="Times New Roman" w:cs="Times New Roman"/>
      <w:sz w:val="24"/>
      <w:szCs w:val="24"/>
      <w:lang w:eastAsia="en-AU"/>
    </w:rPr>
  </w:style>
  <w:style w:type="character" w:customStyle="1" w:styleId="Heading8Char">
    <w:name w:val="Heading 8 Char"/>
    <w:basedOn w:val="DefaultParagraphFont"/>
    <w:link w:val="Heading8"/>
    <w:rsid w:val="00A249AF"/>
    <w:rPr>
      <w:rFonts w:ascii="Times New Roman" w:eastAsiaTheme="minorEastAsia" w:hAnsi="Times New Roman" w:cs="Times New Roman"/>
      <w:i/>
      <w:iCs/>
      <w:sz w:val="24"/>
      <w:szCs w:val="24"/>
      <w:lang w:eastAsia="en-AU"/>
    </w:rPr>
  </w:style>
  <w:style w:type="character" w:customStyle="1" w:styleId="Heading9Char">
    <w:name w:val="Heading 9 Char"/>
    <w:basedOn w:val="DefaultParagraphFont"/>
    <w:link w:val="Heading9"/>
    <w:rsid w:val="00A249AF"/>
    <w:rPr>
      <w:rFonts w:ascii="Arial" w:eastAsiaTheme="minorEastAsia" w:hAnsi="Arial" w:cs="Arial"/>
      <w:lang w:eastAsia="en-AU"/>
    </w:rPr>
  </w:style>
  <w:style w:type="paragraph" w:customStyle="1" w:styleId="1RARMP">
    <w:name w:val="1 RARMP"/>
    <w:basedOn w:val="Normal"/>
    <w:rsid w:val="00A249AF"/>
    <w:pPr>
      <w:numPr>
        <w:numId w:val="1"/>
      </w:numPr>
      <w:spacing w:before="120" w:after="120"/>
      <w:outlineLvl w:val="0"/>
    </w:pPr>
    <w:rPr>
      <w:rFonts w:ascii="Arial" w:eastAsiaTheme="minorEastAsia" w:hAnsi="Arial" w:cs="Arial"/>
      <w:b/>
      <w:bCs/>
      <w:color w:val="000000"/>
      <w:sz w:val="36"/>
      <w:szCs w:val="36"/>
      <w:lang w:eastAsia="en-AU"/>
    </w:rPr>
  </w:style>
  <w:style w:type="paragraph" w:customStyle="1" w:styleId="2RARMP">
    <w:name w:val="2 RARMP"/>
    <w:basedOn w:val="Normal"/>
    <w:rsid w:val="00A249AF"/>
    <w:pPr>
      <w:keepNext/>
      <w:numPr>
        <w:ilvl w:val="1"/>
        <w:numId w:val="1"/>
      </w:numPr>
      <w:tabs>
        <w:tab w:val="left" w:pos="1440"/>
      </w:tabs>
      <w:spacing w:before="240" w:after="120"/>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A249AF"/>
    <w:pPr>
      <w:keepNext/>
      <w:spacing w:before="120" w:after="120"/>
      <w:outlineLvl w:val="2"/>
    </w:pPr>
    <w:rPr>
      <w:rFonts w:ascii="Arial" w:eastAsiaTheme="minorEastAsia" w:hAnsi="Arial" w:cs="Arial"/>
      <w:b/>
      <w:bCs/>
      <w:lang w:eastAsia="en-AU"/>
    </w:rPr>
  </w:style>
  <w:style w:type="paragraph" w:customStyle="1" w:styleId="4RARMP">
    <w:name w:val="4 RARMP"/>
    <w:basedOn w:val="Normal"/>
    <w:link w:val="4RARMPChar"/>
    <w:rsid w:val="00A249AF"/>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1Para">
    <w:name w:val="1 Para"/>
    <w:basedOn w:val="Normal"/>
    <w:link w:val="1ParaChar"/>
    <w:rsid w:val="00A249AF"/>
    <w:pPr>
      <w:numPr>
        <w:numId w:val="4"/>
      </w:numPr>
      <w:tabs>
        <w:tab w:val="left" w:pos="540"/>
      </w:tabs>
      <w:spacing w:before="120" w:after="120"/>
    </w:pPr>
    <w:rPr>
      <w:rFonts w:eastAsiaTheme="minorEastAsia"/>
      <w:lang w:eastAsia="en-AU"/>
    </w:rPr>
  </w:style>
  <w:style w:type="character" w:customStyle="1" w:styleId="1ParaChar">
    <w:name w:val="1 Para Char"/>
    <w:link w:val="1Para"/>
    <w:rsid w:val="00A249AF"/>
    <w:rPr>
      <w:rFonts w:ascii="Times New Roman" w:eastAsiaTheme="minorEastAsia" w:hAnsi="Times New Roman" w:cs="Times New Roman"/>
      <w:sz w:val="24"/>
      <w:szCs w:val="24"/>
      <w:lang w:eastAsia="en-AU"/>
    </w:rPr>
  </w:style>
  <w:style w:type="paragraph" w:customStyle="1" w:styleId="Paranonumbers">
    <w:name w:val="Para no numbers"/>
    <w:basedOn w:val="Normal"/>
    <w:link w:val="ParanonumbersChar"/>
    <w:rsid w:val="00A249AF"/>
    <w:pPr>
      <w:spacing w:before="120" w:after="120"/>
    </w:pPr>
    <w:rPr>
      <w:rFonts w:eastAsiaTheme="minorEastAsia"/>
      <w:lang w:eastAsia="en-AU"/>
    </w:rPr>
  </w:style>
  <w:style w:type="character" w:customStyle="1" w:styleId="ParanonumbersChar">
    <w:name w:val="Para no numbers Char"/>
    <w:link w:val="Paranonumbers"/>
    <w:locked/>
    <w:rsid w:val="00A249AF"/>
    <w:rPr>
      <w:rFonts w:ascii="Times New Roman" w:eastAsiaTheme="minorEastAsia" w:hAnsi="Times New Roman" w:cs="Times New Roman"/>
      <w:sz w:val="24"/>
      <w:szCs w:val="24"/>
      <w:lang w:eastAsia="en-AU"/>
    </w:rPr>
  </w:style>
  <w:style w:type="table" w:styleId="TableGrid">
    <w:name w:val="Table Grid"/>
    <w:basedOn w:val="TableNormal"/>
    <w:rsid w:val="00A249A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Paranonumbers"/>
    <w:rsid w:val="00A249AF"/>
    <w:pPr>
      <w:numPr>
        <w:numId w:val="3"/>
      </w:numPr>
      <w:tabs>
        <w:tab w:val="clear" w:pos="737"/>
        <w:tab w:val="num" w:pos="360"/>
      </w:tabs>
      <w:ind w:left="0" w:firstLine="0"/>
    </w:pPr>
  </w:style>
  <w:style w:type="character" w:customStyle="1" w:styleId="4RARMPChar">
    <w:name w:val="4 RARMP Char"/>
    <w:basedOn w:val="DefaultParagraphFont"/>
    <w:link w:val="4RARMP"/>
    <w:rsid w:val="00A249AF"/>
    <w:rPr>
      <w:rFonts w:ascii="Arial" w:eastAsiaTheme="minorEastAsia" w:hAnsi="Arial" w:cs="Arial"/>
      <w:b/>
      <w:bCs/>
      <w:i/>
      <w:iCs/>
      <w:lang w:eastAsia="en-AU"/>
    </w:rPr>
  </w:style>
  <w:style w:type="paragraph" w:styleId="BalloonText">
    <w:name w:val="Balloon Text"/>
    <w:basedOn w:val="Normal"/>
    <w:link w:val="BalloonTextChar"/>
    <w:uiPriority w:val="99"/>
    <w:semiHidden/>
    <w:unhideWhenUsed/>
    <w:rsid w:val="00A249AF"/>
    <w:rPr>
      <w:rFonts w:ascii="Tahoma" w:hAnsi="Tahoma" w:cs="Tahoma"/>
      <w:sz w:val="16"/>
      <w:szCs w:val="16"/>
    </w:rPr>
  </w:style>
  <w:style w:type="character" w:customStyle="1" w:styleId="BalloonTextChar">
    <w:name w:val="Balloon Text Char"/>
    <w:basedOn w:val="DefaultParagraphFont"/>
    <w:link w:val="BalloonText"/>
    <w:uiPriority w:val="99"/>
    <w:semiHidden/>
    <w:rsid w:val="00A249AF"/>
    <w:rPr>
      <w:rFonts w:ascii="Tahoma" w:eastAsia="Times New Roman" w:hAnsi="Tahoma" w:cs="Tahoma"/>
      <w:sz w:val="16"/>
      <w:szCs w:val="16"/>
    </w:rPr>
  </w:style>
  <w:style w:type="paragraph" w:styleId="Header">
    <w:name w:val="header"/>
    <w:basedOn w:val="Normal"/>
    <w:link w:val="HeaderChar"/>
    <w:uiPriority w:val="99"/>
    <w:unhideWhenUsed/>
    <w:rsid w:val="00516EC2"/>
    <w:pPr>
      <w:tabs>
        <w:tab w:val="center" w:pos="4513"/>
        <w:tab w:val="right" w:pos="9026"/>
      </w:tabs>
    </w:pPr>
  </w:style>
  <w:style w:type="character" w:customStyle="1" w:styleId="HeaderChar">
    <w:name w:val="Header Char"/>
    <w:basedOn w:val="DefaultParagraphFont"/>
    <w:link w:val="Header"/>
    <w:uiPriority w:val="99"/>
    <w:rsid w:val="00516E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EC2"/>
    <w:pPr>
      <w:tabs>
        <w:tab w:val="center" w:pos="4513"/>
        <w:tab w:val="right" w:pos="9026"/>
      </w:tabs>
    </w:pPr>
  </w:style>
  <w:style w:type="character" w:customStyle="1" w:styleId="FooterChar">
    <w:name w:val="Footer Char"/>
    <w:basedOn w:val="DefaultParagraphFont"/>
    <w:link w:val="Footer"/>
    <w:uiPriority w:val="99"/>
    <w:rsid w:val="00516EC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14FE"/>
    <w:rPr>
      <w:sz w:val="16"/>
      <w:szCs w:val="16"/>
    </w:rPr>
  </w:style>
  <w:style w:type="paragraph" w:styleId="CommentText">
    <w:name w:val="annotation text"/>
    <w:basedOn w:val="Normal"/>
    <w:link w:val="CommentTextChar"/>
    <w:uiPriority w:val="99"/>
    <w:semiHidden/>
    <w:unhideWhenUsed/>
    <w:rsid w:val="001014FE"/>
    <w:rPr>
      <w:sz w:val="20"/>
      <w:szCs w:val="20"/>
    </w:rPr>
  </w:style>
  <w:style w:type="character" w:customStyle="1" w:styleId="CommentTextChar">
    <w:name w:val="Comment Text Char"/>
    <w:basedOn w:val="DefaultParagraphFont"/>
    <w:link w:val="CommentText"/>
    <w:uiPriority w:val="99"/>
    <w:semiHidden/>
    <w:rsid w:val="001014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14FE"/>
    <w:rPr>
      <w:b/>
      <w:bCs/>
    </w:rPr>
  </w:style>
  <w:style w:type="character" w:customStyle="1" w:styleId="CommentSubjectChar">
    <w:name w:val="Comment Subject Char"/>
    <w:basedOn w:val="CommentTextChar"/>
    <w:link w:val="CommentSubject"/>
    <w:uiPriority w:val="99"/>
    <w:semiHidden/>
    <w:rsid w:val="001014F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014FE"/>
    <w:rPr>
      <w:color w:val="0000FF" w:themeColor="hyperlink"/>
      <w:u w:val="single"/>
    </w:rPr>
  </w:style>
  <w:style w:type="table" w:customStyle="1" w:styleId="TableGrid1">
    <w:name w:val="Table Grid1"/>
    <w:basedOn w:val="TableNormal"/>
    <w:next w:val="TableGrid"/>
    <w:rsid w:val="004670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B75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2C0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244C46"/>
    <w:pPr>
      <w:spacing w:after="0" w:line="240" w:lineRule="auto"/>
    </w:pPr>
    <w:rPr>
      <w:rFonts w:ascii="Times New Roman" w:eastAsiaTheme="minorEastAsia" w:hAnsi="Times New Roman"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1">
    <w:name w:val="Table Grid11"/>
    <w:basedOn w:val="TableNormal"/>
    <w:next w:val="TableGrid"/>
    <w:rsid w:val="00244C46"/>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7653"/>
    <w:pPr>
      <w:ind w:left="720"/>
      <w:contextualSpacing/>
    </w:pPr>
  </w:style>
  <w:style w:type="paragraph" w:customStyle="1" w:styleId="Style1">
    <w:name w:val="Style1"/>
    <w:basedOn w:val="1RARMP"/>
    <w:link w:val="Style1Char"/>
    <w:qFormat/>
    <w:rsid w:val="008844A6"/>
    <w:pPr>
      <w:numPr>
        <w:numId w:val="0"/>
      </w:numPr>
      <w:tabs>
        <w:tab w:val="num" w:pos="567"/>
      </w:tabs>
    </w:pPr>
  </w:style>
  <w:style w:type="paragraph" w:customStyle="1" w:styleId="Style2">
    <w:name w:val="Style2"/>
    <w:basedOn w:val="2RARMP"/>
    <w:link w:val="Style2Char"/>
    <w:qFormat/>
    <w:rsid w:val="008844A6"/>
    <w:pPr>
      <w:numPr>
        <w:numId w:val="2"/>
      </w:numPr>
      <w:tabs>
        <w:tab w:val="num" w:pos="1701"/>
      </w:tabs>
      <w:ind w:hanging="3658"/>
    </w:pPr>
  </w:style>
  <w:style w:type="character" w:customStyle="1" w:styleId="Style1Char">
    <w:name w:val="Style1 Char"/>
    <w:basedOn w:val="DefaultParagraphFont"/>
    <w:link w:val="Style1"/>
    <w:rsid w:val="008844A6"/>
    <w:rPr>
      <w:rFonts w:ascii="Arial" w:eastAsiaTheme="minorEastAsia" w:hAnsi="Arial" w:cs="Arial"/>
      <w:b/>
      <w:bCs/>
      <w:color w:val="000000"/>
      <w:sz w:val="36"/>
      <w:szCs w:val="36"/>
      <w:lang w:eastAsia="en-AU"/>
    </w:rPr>
  </w:style>
  <w:style w:type="character" w:customStyle="1" w:styleId="Style2Char">
    <w:name w:val="Style2 Char"/>
    <w:basedOn w:val="DefaultParagraphFont"/>
    <w:link w:val="Style2"/>
    <w:rsid w:val="008844A6"/>
    <w:rPr>
      <w:rFonts w:ascii="Arial" w:eastAsiaTheme="minorEastAsia" w:hAnsi="Arial" w:cs="Arial"/>
      <w:b/>
      <w:bCs/>
      <w:i/>
      <w:iCs/>
      <w:sz w:val="28"/>
      <w:szCs w:val="28"/>
      <w:lang w:eastAsia="en-AU"/>
    </w:rPr>
  </w:style>
  <w:style w:type="character" w:styleId="FollowedHyperlink">
    <w:name w:val="FollowedHyperlink"/>
    <w:basedOn w:val="DefaultParagraphFont"/>
    <w:uiPriority w:val="99"/>
    <w:semiHidden/>
    <w:unhideWhenUsed/>
    <w:rsid w:val="006A7069"/>
    <w:rPr>
      <w:color w:val="800080" w:themeColor="followedHyperlink"/>
      <w:u w:val="single"/>
    </w:rPr>
  </w:style>
  <w:style w:type="paragraph" w:styleId="Revision">
    <w:name w:val="Revision"/>
    <w:hidden/>
    <w:uiPriority w:val="99"/>
    <w:semiHidden/>
    <w:rsid w:val="000A1AA6"/>
    <w:pPr>
      <w:spacing w:after="0" w:line="240" w:lineRule="auto"/>
    </w:pPr>
    <w:rPr>
      <w:rFonts w:ascii="Times New Roman" w:eastAsia="Times New Roman" w:hAnsi="Times New Roman" w:cs="Times New Roman"/>
      <w:sz w:val="24"/>
      <w:szCs w:val="24"/>
    </w:rPr>
  </w:style>
  <w:style w:type="paragraph" w:customStyle="1" w:styleId="roman">
    <w:name w:val="roman"/>
    <w:basedOn w:val="Normal"/>
    <w:rsid w:val="00071FCB"/>
    <w:pPr>
      <w:tabs>
        <w:tab w:val="num" w:pos="720"/>
      </w:tabs>
      <w:spacing w:before="120" w:after="120"/>
      <w:ind w:left="720" w:hanging="360"/>
    </w:pPr>
    <w:rPr>
      <w:lang w:eastAsia="en-AU"/>
    </w:rPr>
  </w:style>
  <w:style w:type="paragraph" w:customStyle="1" w:styleId="tablebullets">
    <w:name w:val="table bullets"/>
    <w:basedOn w:val="Normal"/>
    <w:qFormat/>
    <w:rsid w:val="00A144AC"/>
    <w:pPr>
      <w:numPr>
        <w:numId w:val="37"/>
      </w:numPr>
      <w:spacing w:after="60"/>
      <w:ind w:left="227" w:hanging="227"/>
    </w:pPr>
    <w:rPr>
      <w:rFonts w:ascii="Arial Narrow" w:eastAsiaTheme="minorEastAsia" w:hAnsi="Arial Narrow" w:cs="Arial"/>
      <w:sz w:val="20"/>
      <w:szCs w:val="20"/>
      <w:lang w:eastAsia="en-AU"/>
    </w:rPr>
  </w:style>
  <w:style w:type="character" w:customStyle="1" w:styleId="st1">
    <w:name w:val="st1"/>
    <w:basedOn w:val="DefaultParagraphFont"/>
    <w:rsid w:val="00A144AC"/>
  </w:style>
  <w:style w:type="paragraph" w:styleId="FootnoteText">
    <w:name w:val="footnote text"/>
    <w:basedOn w:val="Normal"/>
    <w:link w:val="FootnoteTextChar"/>
    <w:rsid w:val="00A11D56"/>
    <w:rPr>
      <w:sz w:val="20"/>
      <w:szCs w:val="20"/>
      <w:lang w:eastAsia="en-AU"/>
    </w:rPr>
  </w:style>
  <w:style w:type="character" w:customStyle="1" w:styleId="FootnoteTextChar">
    <w:name w:val="Footnote Text Char"/>
    <w:basedOn w:val="DefaultParagraphFont"/>
    <w:link w:val="FootnoteText"/>
    <w:rsid w:val="00A11D56"/>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semiHidden/>
    <w:rsid w:val="00AE14A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E14A8"/>
    <w:rPr>
      <w:rFonts w:asciiTheme="majorHAnsi" w:eastAsiaTheme="majorEastAsia" w:hAnsiTheme="majorHAnsi" w:cstheme="majorBidi"/>
      <w:b/>
      <w:bCs/>
      <w:i/>
      <w:iCs/>
      <w:color w:val="4F81BD" w:themeColor="accent1"/>
      <w:sz w:val="24"/>
      <w:szCs w:val="24"/>
    </w:rPr>
  </w:style>
  <w:style w:type="paragraph" w:customStyle="1" w:styleId="-">
    <w:name w:val=":-)"/>
    <w:basedOn w:val="Normal"/>
    <w:link w:val="-Char"/>
    <w:qFormat/>
    <w:rsid w:val="00AE14A8"/>
    <w:pPr>
      <w:tabs>
        <w:tab w:val="left" w:pos="567"/>
      </w:tabs>
      <w:spacing w:before="120" w:after="120"/>
    </w:pPr>
    <w:rPr>
      <w:lang w:eastAsia="en-AU"/>
    </w:rPr>
  </w:style>
  <w:style w:type="character" w:customStyle="1" w:styleId="-Char">
    <w:name w:val=":-) Char"/>
    <w:basedOn w:val="DefaultParagraphFont"/>
    <w:link w:val="-"/>
    <w:rsid w:val="00AE14A8"/>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AE14A8"/>
    <w:rPr>
      <w:rFonts w:ascii="Times New Roman" w:eastAsia="Times New Roman" w:hAnsi="Times New Roman" w:cs="Times New Roman"/>
      <w:sz w:val="24"/>
      <w:szCs w:val="24"/>
    </w:rPr>
  </w:style>
  <w:style w:type="character" w:styleId="Emphasis">
    <w:name w:val="Emphasis"/>
    <w:basedOn w:val="DefaultParagraphFont"/>
    <w:uiPriority w:val="20"/>
    <w:qFormat/>
    <w:rsid w:val="00392AF7"/>
    <w:rPr>
      <w:i/>
      <w:iCs/>
    </w:rPr>
  </w:style>
  <w:style w:type="paragraph" w:customStyle="1" w:styleId="Condition">
    <w:name w:val="Condition"/>
    <w:basedOn w:val="Normal"/>
    <w:link w:val="ConditionChar"/>
    <w:rsid w:val="00ED76D1"/>
    <w:pPr>
      <w:tabs>
        <w:tab w:val="left" w:pos="567"/>
      </w:tabs>
      <w:spacing w:before="120" w:after="120"/>
    </w:pPr>
    <w:rPr>
      <w:lang w:eastAsia="en-AU"/>
    </w:rPr>
  </w:style>
  <w:style w:type="character" w:customStyle="1" w:styleId="ConditionChar">
    <w:name w:val="Condition Char"/>
    <w:basedOn w:val="DefaultParagraphFont"/>
    <w:link w:val="Condition"/>
    <w:locked/>
    <w:rsid w:val="00ED76D1"/>
    <w:rPr>
      <w:rFonts w:ascii="Times New Roman" w:eastAsia="Times New Roman" w:hAnsi="Times New Roman" w:cs="Times New Roman"/>
      <w:sz w:val="24"/>
      <w:szCs w:val="24"/>
      <w:lang w:eastAsia="en-AU"/>
    </w:rPr>
  </w:style>
  <w:style w:type="paragraph" w:customStyle="1" w:styleId="bulletedRARMP">
    <w:name w:val="bulleted RARMP"/>
    <w:basedOn w:val="Normal"/>
    <w:qFormat/>
    <w:rsid w:val="00ED76D1"/>
    <w:pPr>
      <w:numPr>
        <w:numId w:val="42"/>
      </w:numPr>
      <w:spacing w:before="120" w:after="120"/>
    </w:pPr>
    <w:rPr>
      <w:rFonts w:eastAsiaTheme="minorEastAsia"/>
      <w:lang w:val="en" w:eastAsia="en-AU"/>
    </w:rPr>
  </w:style>
  <w:style w:type="paragraph" w:customStyle="1" w:styleId="bulletRARMP">
    <w:name w:val="bullet RARMP"/>
    <w:basedOn w:val="Normal"/>
    <w:qFormat/>
    <w:rsid w:val="00ED76D1"/>
    <w:pPr>
      <w:tabs>
        <w:tab w:val="left" w:pos="567"/>
        <w:tab w:val="num" w:pos="720"/>
      </w:tabs>
      <w:spacing w:before="60" w:after="60"/>
      <w:ind w:left="720" w:hanging="36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4394">
      <w:bodyDiv w:val="1"/>
      <w:marLeft w:val="0"/>
      <w:marRight w:val="0"/>
      <w:marTop w:val="0"/>
      <w:marBottom w:val="0"/>
      <w:divBdr>
        <w:top w:val="none" w:sz="0" w:space="0" w:color="auto"/>
        <w:left w:val="none" w:sz="0" w:space="0" w:color="auto"/>
        <w:bottom w:val="none" w:sz="0" w:space="0" w:color="auto"/>
        <w:right w:val="none" w:sz="0" w:space="0" w:color="auto"/>
      </w:divBdr>
    </w:div>
    <w:div w:id="613244026">
      <w:bodyDiv w:val="1"/>
      <w:marLeft w:val="0"/>
      <w:marRight w:val="0"/>
      <w:marTop w:val="0"/>
      <w:marBottom w:val="0"/>
      <w:divBdr>
        <w:top w:val="none" w:sz="0" w:space="0" w:color="auto"/>
        <w:left w:val="none" w:sz="0" w:space="0" w:color="auto"/>
        <w:bottom w:val="none" w:sz="0" w:space="0" w:color="auto"/>
        <w:right w:val="none" w:sz="0" w:space="0" w:color="auto"/>
      </w:divBdr>
    </w:div>
    <w:div w:id="8806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144 - Licence Conditions</dc:title>
  <dc:creator/>
  <cp:lastModifiedBy/>
  <cp:revision>1</cp:revision>
  <dcterms:created xsi:type="dcterms:W3CDTF">2021-07-19T01:44:00Z</dcterms:created>
  <dcterms:modified xsi:type="dcterms:W3CDTF">2021-07-19T01:44:00Z</dcterms:modified>
</cp:coreProperties>
</file>