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9" w:rsidRPr="00542559" w:rsidRDefault="00542559" w:rsidP="00542559">
      <w:pPr>
        <w:keepNext/>
        <w:tabs>
          <w:tab w:val="left" w:pos="2268"/>
        </w:tabs>
        <w:spacing w:before="240" w:after="60"/>
        <w:ind w:left="1814" w:hanging="1814"/>
        <w:jc w:val="center"/>
        <w:outlineLvl w:val="0"/>
        <w:rPr>
          <w:rFonts w:eastAsia="Times New Roman" w:cs="Arial"/>
          <w:b/>
          <w:snapToGrid w:val="0"/>
          <w:sz w:val="36"/>
          <w:szCs w:val="36"/>
          <w:lang w:eastAsia="en-US"/>
        </w:rPr>
      </w:pPr>
      <w:bookmarkStart w:id="0" w:name="_Toc63319815"/>
      <w:bookmarkStart w:id="1" w:name="_Toc59025474"/>
      <w:bookmarkStart w:id="2" w:name="_Toc47536733"/>
      <w:bookmarkStart w:id="3" w:name="_Toc49842829"/>
      <w:bookmarkStart w:id="4" w:name="_Toc174765844"/>
      <w:bookmarkStart w:id="5" w:name="_Toc167164262"/>
      <w:bookmarkStart w:id="6" w:name="_Toc198434571"/>
      <w:bookmarkStart w:id="7" w:name="_Toc259790166"/>
      <w:bookmarkStart w:id="8" w:name="_Toc236620543"/>
      <w:bookmarkStart w:id="9" w:name="_Toc209859545"/>
      <w:bookmarkStart w:id="10" w:name="_Toc342042133"/>
      <w:bookmarkStart w:id="11" w:name="_Toc347392001"/>
      <w:bookmarkStart w:id="12" w:name="_GoBack"/>
      <w:bookmarkEnd w:id="12"/>
      <w:r w:rsidRPr="00542559">
        <w:rPr>
          <w:rFonts w:eastAsia="Times New Roman" w:cs="Arial"/>
          <w:b/>
          <w:snapToGrid w:val="0"/>
          <w:sz w:val="36"/>
          <w:szCs w:val="36"/>
          <w:lang w:eastAsia="en-US"/>
        </w:rPr>
        <w:t>Summary of the Risk Assessment and Risk Management Plan</w:t>
      </w:r>
      <w:bookmarkEnd w:id="0"/>
    </w:p>
    <w:p w:rsidR="00542559" w:rsidRPr="00542559" w:rsidRDefault="00542559" w:rsidP="00542559">
      <w:pPr>
        <w:keepNext/>
        <w:jc w:val="center"/>
        <w:rPr>
          <w:rFonts w:eastAsia="Times New Roman" w:cs="Arial"/>
          <w:b/>
          <w:bCs/>
          <w:kern w:val="32"/>
          <w:sz w:val="28"/>
          <w:szCs w:val="28"/>
          <w:lang w:eastAsia="en-US"/>
        </w:rPr>
      </w:pPr>
      <w:proofErr w:type="gramStart"/>
      <w:r w:rsidRPr="00542559">
        <w:rPr>
          <w:rFonts w:eastAsia="Times New Roman" w:cs="Arial"/>
          <w:b/>
          <w:bCs/>
          <w:kern w:val="32"/>
          <w:sz w:val="28"/>
          <w:szCs w:val="28"/>
          <w:lang w:eastAsia="en-US"/>
        </w:rPr>
        <w:t>for</w:t>
      </w:r>
      <w:proofErr w:type="gramEnd"/>
    </w:p>
    <w:p w:rsidR="00542559" w:rsidRPr="00542559" w:rsidRDefault="00542559" w:rsidP="00542559">
      <w:pPr>
        <w:keepNext/>
        <w:jc w:val="center"/>
        <w:rPr>
          <w:rFonts w:eastAsia="Times New Roman" w:cs="Arial"/>
          <w:b/>
          <w:bCs/>
          <w:kern w:val="32"/>
          <w:sz w:val="36"/>
          <w:szCs w:val="36"/>
          <w:lang w:eastAsia="en-US"/>
        </w:rPr>
      </w:pPr>
      <w:r w:rsidRPr="00542559">
        <w:rPr>
          <w:rFonts w:eastAsia="Times New Roman" w:cs="Arial"/>
          <w:b/>
          <w:bCs/>
          <w:kern w:val="32"/>
          <w:sz w:val="36"/>
          <w:szCs w:val="36"/>
          <w:lang w:eastAsia="en-US"/>
        </w:rPr>
        <w:t>Licence Application DIR 180</w:t>
      </w:r>
    </w:p>
    <w:p w:rsidR="00542559" w:rsidRPr="00542559" w:rsidRDefault="00542559" w:rsidP="00542559">
      <w:pPr>
        <w:keepNext/>
        <w:tabs>
          <w:tab w:val="left" w:pos="1418"/>
        </w:tabs>
        <w:spacing w:before="240" w:after="60"/>
        <w:outlineLvl w:val="1"/>
        <w:rPr>
          <w:rFonts w:eastAsia="Times New Roman" w:cs="Times New Roman"/>
          <w:b/>
          <w:i/>
          <w:sz w:val="28"/>
          <w:szCs w:val="28"/>
          <w:lang w:eastAsia="en-US"/>
        </w:rPr>
      </w:pPr>
      <w:bookmarkStart w:id="13" w:name="_Toc47536734"/>
      <w:bookmarkStart w:id="14" w:name="_Toc63319816"/>
      <w:r w:rsidRPr="00542559">
        <w:rPr>
          <w:rFonts w:eastAsia="Times New Roman" w:cs="Times New Roman"/>
          <w:b/>
          <w:i/>
          <w:sz w:val="28"/>
          <w:szCs w:val="28"/>
          <w:lang w:eastAsia="en-US"/>
        </w:rPr>
        <w:t>Decision</w:t>
      </w:r>
      <w:bookmarkEnd w:id="13"/>
      <w:bookmarkEnd w:id="14"/>
    </w:p>
    <w:p w:rsidR="00542559" w:rsidRPr="00542559" w:rsidRDefault="00542559" w:rsidP="00542559">
      <w:pPr>
        <w:rPr>
          <w:rFonts w:eastAsia="Times New Roman" w:cs="Times New Roman"/>
        </w:rPr>
      </w:pPr>
      <w:r w:rsidRPr="00542559">
        <w:rPr>
          <w:rFonts w:eastAsia="Times New Roman" w:cs="Times New Roman"/>
        </w:rPr>
        <w:t xml:space="preserve">The Gene Technology Regulator (the Regulator) has decided to issue a licence for application (DIR 180) for the import, transport, storage and disposal of a genetically modified (GM) COVID-19 vaccine, as part of its commercial supply as a human vaccine. </w:t>
      </w:r>
    </w:p>
    <w:p w:rsidR="00542559" w:rsidRPr="00542559" w:rsidRDefault="00542559" w:rsidP="00542559">
      <w:pPr>
        <w:rPr>
          <w:rFonts w:eastAsia="Times New Roman" w:cs="Times New Roman"/>
        </w:rPr>
      </w:pPr>
      <w:r w:rsidRPr="00542559">
        <w:rPr>
          <w:rFonts w:eastAsia="Times New Roman" w:cs="Times New Roman"/>
        </w:rPr>
        <w:t xml:space="preserve">Before the GM vaccine can be used, AstraZeneca must also obtain regulatory approval from the Therapeutic Goods Administration (TGA). Therapeutic goods for sale in Australia must be included in the Australian Register of Therapeutic Goods (ARTG) under the </w:t>
      </w:r>
      <w:r w:rsidRPr="00542559">
        <w:rPr>
          <w:rFonts w:eastAsia="Times New Roman" w:cs="Times New Roman"/>
          <w:i/>
        </w:rPr>
        <w:t>Therapeutic Goods Act 1989</w:t>
      </w:r>
      <w:r w:rsidRPr="00542559">
        <w:rPr>
          <w:rFonts w:eastAsia="Times New Roman" w:cs="Times New Roman"/>
        </w:rPr>
        <w:t>. The TGA would assess patient safety and the quality and efficacy of the vaccine prior to including the GM vaccine on the ARTG. In addition, approval from the Department of Agriculture, Water and the Environment will be required for import of the GM vaccine.</w:t>
      </w:r>
    </w:p>
    <w:p w:rsidR="00542559" w:rsidRPr="00542559" w:rsidRDefault="00542559" w:rsidP="00542559">
      <w:pPr>
        <w:rPr>
          <w:rFonts w:eastAsia="Times New Roman" w:cs="Times New Roman"/>
        </w:rPr>
      </w:pPr>
      <w:r w:rsidRPr="00542559">
        <w:rPr>
          <w:rFonts w:eastAsia="Times New Roman" w:cs="Times New Roman"/>
        </w:rPr>
        <w:t xml:space="preserve">The Regulator has prepared a Risk Assessment and Risk Management Plan (RARMP) for this application, which concludes that the proposed supply of the GM vaccine poses negligible risks to human health and safety and the environment and no specific risk treatment measures are imposed. However, general licence conditions have been imposed to ensure that there is ongoing oversight of the proposed supply. </w:t>
      </w:r>
      <w:bookmarkStart w:id="15" w:name="_Toc342042135"/>
      <w:bookmarkStart w:id="16" w:name="_Toc47536735"/>
      <w:bookmarkStart w:id="17" w:name="_Toc291151777"/>
      <w:bookmarkStart w:id="18" w:name="_Toc274904727"/>
      <w:bookmarkStart w:id="19" w:name="_Toc209859548"/>
    </w:p>
    <w:p w:rsidR="00542559" w:rsidRPr="00542559" w:rsidRDefault="00542559" w:rsidP="00542559">
      <w:pPr>
        <w:keepNext/>
        <w:tabs>
          <w:tab w:val="left" w:pos="1418"/>
        </w:tabs>
        <w:spacing w:before="240" w:after="60"/>
        <w:outlineLvl w:val="1"/>
        <w:rPr>
          <w:rFonts w:eastAsia="Times New Roman" w:cs="Times New Roman"/>
          <w:b/>
          <w:i/>
          <w:sz w:val="28"/>
          <w:szCs w:val="28"/>
        </w:rPr>
      </w:pPr>
      <w:bookmarkStart w:id="20" w:name="_Toc63319817"/>
      <w:r w:rsidRPr="00542559">
        <w:rPr>
          <w:rFonts w:eastAsia="Times New Roman" w:cs="Times New Roman"/>
          <w:b/>
          <w:i/>
          <w:sz w:val="28"/>
          <w:szCs w:val="28"/>
        </w:rPr>
        <w:t>The application</w:t>
      </w:r>
      <w:bookmarkEnd w:id="15"/>
      <w:bookmarkEnd w:id="16"/>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he application"/>
        <w:tblDescription w:val="This table provides information about the licence application at a glance. The table has nine rows, one each for Application Number, Applicant, Project title, Parent organism, Introduced gene and modified trait, Previous releases, Current approvals, Proposed locations, and Primary Purpose."/>
      </w:tblPr>
      <w:tblGrid>
        <w:gridCol w:w="2263"/>
        <w:gridCol w:w="7343"/>
      </w:tblGrid>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t>Application number</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rPr>
              <w:t>DIR-180</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t>Applicant</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rPr>
              <w:t>AstraZeneca Pty Ltd</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t>Project title</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rPr>
              <w:t>Commercial supply of a genetically modified COVID-19 vaccine</w:t>
            </w:r>
            <w:r w:rsidRPr="00542559">
              <w:rPr>
                <w:rFonts w:eastAsia="Times New Roman" w:cs="Times New Roman"/>
                <w:vertAlign w:val="superscript"/>
              </w:rPr>
              <w:footnoteReference w:id="1"/>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t>Parent organism</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rPr>
              <w:t>Chimpanzee adenovirus Y25</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t>Introduced gene and modified trait</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keepNext/>
              <w:numPr>
                <w:ilvl w:val="0"/>
                <w:numId w:val="16"/>
              </w:numPr>
              <w:tabs>
                <w:tab w:val="right" w:leader="dot" w:pos="9356"/>
              </w:tabs>
              <w:autoSpaceDE w:val="0"/>
              <w:autoSpaceDN w:val="0"/>
              <w:spacing w:before="0" w:after="40"/>
              <w:jc w:val="both"/>
              <w:rPr>
                <w:rFonts w:eastAsia="Times New Roman" w:cs="Calibri"/>
                <w:iCs/>
                <w:szCs w:val="22"/>
              </w:rPr>
            </w:pPr>
            <w:r w:rsidRPr="00542559">
              <w:rPr>
                <w:rFonts w:eastAsia="Times New Roman" w:cs="Calibri"/>
                <w:iCs/>
                <w:szCs w:val="22"/>
              </w:rPr>
              <w:t>Deletion of:</w:t>
            </w:r>
          </w:p>
          <w:p w:rsidR="00542559" w:rsidRPr="00542559" w:rsidRDefault="00542559" w:rsidP="00542559">
            <w:pPr>
              <w:keepNext/>
              <w:numPr>
                <w:ilvl w:val="0"/>
                <w:numId w:val="18"/>
              </w:numPr>
              <w:tabs>
                <w:tab w:val="right" w:leader="dot" w:pos="9356"/>
              </w:tabs>
              <w:autoSpaceDE w:val="0"/>
              <w:autoSpaceDN w:val="0"/>
              <w:spacing w:before="0" w:after="40"/>
              <w:ind w:left="772"/>
              <w:jc w:val="both"/>
              <w:rPr>
                <w:rFonts w:eastAsia="Times New Roman" w:cs="Calibri"/>
                <w:iCs/>
                <w:szCs w:val="22"/>
              </w:rPr>
            </w:pPr>
            <w:r w:rsidRPr="00542559">
              <w:rPr>
                <w:rFonts w:eastAsia="Times New Roman" w:cs="Calibri"/>
                <w:iCs/>
                <w:szCs w:val="22"/>
              </w:rPr>
              <w:t xml:space="preserve">E1 gene (renders virus unable to multiply) </w:t>
            </w:r>
          </w:p>
          <w:p w:rsidR="00542559" w:rsidRPr="00542559" w:rsidRDefault="00542559" w:rsidP="00542559">
            <w:pPr>
              <w:keepNext/>
              <w:numPr>
                <w:ilvl w:val="0"/>
                <w:numId w:val="18"/>
              </w:numPr>
              <w:tabs>
                <w:tab w:val="right" w:leader="dot" w:pos="9356"/>
              </w:tabs>
              <w:autoSpaceDE w:val="0"/>
              <w:autoSpaceDN w:val="0"/>
              <w:spacing w:before="0" w:after="40"/>
              <w:ind w:left="772"/>
              <w:jc w:val="both"/>
              <w:rPr>
                <w:rFonts w:eastAsia="Times New Roman" w:cs="Calibri"/>
                <w:iCs/>
                <w:szCs w:val="22"/>
              </w:rPr>
            </w:pPr>
            <w:r w:rsidRPr="00542559">
              <w:rPr>
                <w:rFonts w:eastAsia="Times New Roman" w:cs="Calibri"/>
                <w:iCs/>
                <w:szCs w:val="22"/>
              </w:rPr>
              <w:t>E3 gene (increases immune response to virus and virus production during manufacture)</w:t>
            </w:r>
          </w:p>
          <w:p w:rsidR="00542559" w:rsidRPr="00542559" w:rsidRDefault="00542559" w:rsidP="00542559">
            <w:pPr>
              <w:keepNext/>
              <w:numPr>
                <w:ilvl w:val="0"/>
                <w:numId w:val="16"/>
              </w:numPr>
              <w:tabs>
                <w:tab w:val="right" w:leader="dot" w:pos="9356"/>
              </w:tabs>
              <w:autoSpaceDE w:val="0"/>
              <w:autoSpaceDN w:val="0"/>
              <w:spacing w:before="0" w:after="40"/>
              <w:jc w:val="both"/>
              <w:rPr>
                <w:rFonts w:eastAsia="Times New Roman" w:cs="Calibri"/>
                <w:iCs/>
                <w:szCs w:val="22"/>
              </w:rPr>
            </w:pPr>
            <w:r w:rsidRPr="00542559">
              <w:rPr>
                <w:rFonts w:eastAsia="Times New Roman" w:cs="Calibri"/>
                <w:iCs/>
                <w:szCs w:val="22"/>
              </w:rPr>
              <w:t>Partial substitution of E4 gene with the corresponding gene from the human adenovirus 5 (improves virus yield during manufacture)</w:t>
            </w:r>
          </w:p>
          <w:p w:rsidR="00542559" w:rsidRPr="00542559" w:rsidRDefault="00542559" w:rsidP="00542559">
            <w:pPr>
              <w:keepNext/>
              <w:numPr>
                <w:ilvl w:val="0"/>
                <w:numId w:val="16"/>
              </w:numPr>
              <w:tabs>
                <w:tab w:val="right" w:leader="dot" w:pos="9356"/>
              </w:tabs>
              <w:autoSpaceDE w:val="0"/>
              <w:autoSpaceDN w:val="0"/>
              <w:spacing w:before="0" w:after="40"/>
              <w:jc w:val="both"/>
              <w:rPr>
                <w:rFonts w:eastAsia="Times New Roman" w:cs="Calibri"/>
                <w:iCs/>
                <w:szCs w:val="22"/>
              </w:rPr>
            </w:pPr>
            <w:r w:rsidRPr="00542559">
              <w:rPr>
                <w:rFonts w:eastAsia="Times New Roman" w:cs="Calibri"/>
                <w:iCs/>
                <w:szCs w:val="22"/>
              </w:rPr>
              <w:t>Insertion of a gene encoding codon-optimised full length SARS-CoV-2 spike protein (expresses spike protein)</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b/>
              </w:rPr>
              <w:t>Previous clinical trials</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widowControl w:val="0"/>
              <w:spacing w:before="60" w:after="100"/>
              <w:rPr>
                <w:rFonts w:eastAsia="Times New Roman" w:cs="Calibri"/>
                <w:szCs w:val="22"/>
              </w:rPr>
            </w:pPr>
            <w:r w:rsidRPr="00542559">
              <w:rPr>
                <w:rFonts w:eastAsia="Times New Roman" w:cs="Calibri"/>
                <w:szCs w:val="22"/>
              </w:rPr>
              <w:t xml:space="preserve">Phase 1/2 clinical trial with the GM vaccine ChAdOx1-S [recombinant] (also known as AZD1222, </w:t>
            </w:r>
            <w:r w:rsidRPr="00542559">
              <w:rPr>
                <w:rFonts w:eastAsia="Times New Roman" w:cs="Calibri"/>
                <w:color w:val="000000"/>
                <w:szCs w:val="22"/>
              </w:rPr>
              <w:t>ChAdOx1 nCoV-19)</w:t>
            </w:r>
            <w:r w:rsidRPr="00542559">
              <w:rPr>
                <w:rFonts w:eastAsia="Times New Roman" w:cs="Calibri"/>
                <w:szCs w:val="22"/>
              </w:rPr>
              <w:t xml:space="preserve"> was conducted and completed in the United Kingdom (UK) to test the safety of the vaccine in adults aged 18-55 years.</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b/>
              </w:rPr>
              <w:t>Current approvals</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widowControl w:val="0"/>
              <w:numPr>
                <w:ilvl w:val="0"/>
                <w:numId w:val="13"/>
              </w:numPr>
              <w:spacing w:before="60" w:after="100"/>
              <w:rPr>
                <w:rFonts w:eastAsia="Times New Roman" w:cs="Calibri"/>
                <w:szCs w:val="22"/>
              </w:rPr>
            </w:pPr>
            <w:r w:rsidRPr="00542559">
              <w:rPr>
                <w:rFonts w:eastAsia="Times New Roman" w:cs="Calibri"/>
                <w:szCs w:val="22"/>
              </w:rPr>
              <w:t xml:space="preserve">Clinical trials with the GM vaccine ChAdOx1-S [recombinant] (also known as AZD1222, </w:t>
            </w:r>
            <w:r w:rsidRPr="00542559">
              <w:rPr>
                <w:rFonts w:eastAsia="Times New Roman" w:cs="Calibri"/>
                <w:color w:val="000000"/>
                <w:szCs w:val="22"/>
              </w:rPr>
              <w:t>ChAdOx1 nCoV-19)</w:t>
            </w:r>
            <w:r w:rsidRPr="00542559">
              <w:rPr>
                <w:rFonts w:eastAsia="Times New Roman" w:cs="Calibri"/>
                <w:szCs w:val="22"/>
              </w:rPr>
              <w:t xml:space="preserve"> are approved and are currently ongoing in </w:t>
            </w:r>
            <w:r w:rsidRPr="00542559">
              <w:rPr>
                <w:rFonts w:eastAsia="Times New Roman" w:cs="Calibri"/>
                <w:szCs w:val="22"/>
              </w:rPr>
              <w:lastRenderedPageBreak/>
              <w:t>several overseas jurisdictions including the UK, the United States (US), Brazil, South Africa, Argentina, Chile, Colombia, Japan, Peru and the Russian Federation.</w:t>
            </w:r>
          </w:p>
          <w:p w:rsidR="00542559" w:rsidRPr="00542559" w:rsidRDefault="00542559" w:rsidP="00542559">
            <w:pPr>
              <w:widowControl w:val="0"/>
              <w:numPr>
                <w:ilvl w:val="0"/>
                <w:numId w:val="13"/>
              </w:numPr>
              <w:spacing w:before="60" w:after="100"/>
              <w:rPr>
                <w:rFonts w:eastAsia="Times New Roman" w:cs="Calibri"/>
                <w:szCs w:val="22"/>
              </w:rPr>
            </w:pPr>
            <w:r w:rsidRPr="00542559">
              <w:rPr>
                <w:rFonts w:eastAsia="Times New Roman" w:cs="Calibri"/>
                <w:szCs w:val="22"/>
              </w:rPr>
              <w:t>The GM vaccine may be manufactured in Australia under a licence for Dealings Not involving Intentional Release (DNIR) of a GMO into the environment (DNIR-630 and DNIR-632) or imported under a Notifiable Low Risk Dealing authorisation.</w:t>
            </w:r>
          </w:p>
          <w:p w:rsidR="00542559" w:rsidRPr="00542559" w:rsidRDefault="00542559" w:rsidP="00542559">
            <w:pPr>
              <w:widowControl w:val="0"/>
              <w:numPr>
                <w:ilvl w:val="0"/>
                <w:numId w:val="13"/>
              </w:numPr>
              <w:spacing w:before="60" w:after="100"/>
              <w:rPr>
                <w:rFonts w:eastAsia="Times New Roman" w:cs="Calibri"/>
                <w:szCs w:val="22"/>
              </w:rPr>
            </w:pPr>
            <w:r w:rsidRPr="00542559">
              <w:rPr>
                <w:rFonts w:eastAsia="Times New Roman" w:cs="Calibri"/>
                <w:szCs w:val="22"/>
              </w:rPr>
              <w:t xml:space="preserve">The GM vaccine is currently approved for emergency use in several countries including the </w:t>
            </w:r>
            <w:r w:rsidRPr="00542559">
              <w:rPr>
                <w:rFonts w:eastAsia="Times New Roman" w:cs="Arial"/>
                <w:szCs w:val="22"/>
              </w:rPr>
              <w:t>UK, Argentina, Brazil, El Salvador, India, Dominican Republic, Mexico, Morocco and Pakistan</w:t>
            </w:r>
            <w:r w:rsidRPr="00542559">
              <w:rPr>
                <w:rFonts w:eastAsia="Times New Roman" w:cs="Calibri"/>
                <w:szCs w:val="22"/>
              </w:rPr>
              <w:t xml:space="preserve">. </w:t>
            </w:r>
          </w:p>
          <w:p w:rsidR="00542559" w:rsidRPr="00542559" w:rsidRDefault="00542559" w:rsidP="00542559">
            <w:pPr>
              <w:widowControl w:val="0"/>
              <w:numPr>
                <w:ilvl w:val="0"/>
                <w:numId w:val="13"/>
              </w:numPr>
              <w:spacing w:before="60" w:after="100"/>
              <w:rPr>
                <w:rFonts w:eastAsia="Times New Roman" w:cs="Calibri"/>
                <w:szCs w:val="22"/>
              </w:rPr>
            </w:pPr>
            <w:r w:rsidRPr="00542559">
              <w:rPr>
                <w:rFonts w:eastAsia="Times New Roman" w:cs="Calibri"/>
                <w:szCs w:val="22"/>
              </w:rPr>
              <w:t>The GM vaccine has been approved for commercial use in the European Union.</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lastRenderedPageBreak/>
              <w:t>Proposed locations</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rPr>
              <w:t>Australia-wide</w:t>
            </w:r>
          </w:p>
        </w:tc>
      </w:tr>
      <w:tr w:rsidR="00542559" w:rsidRPr="00542559" w:rsidTr="009B7AE2">
        <w:tc>
          <w:tcPr>
            <w:tcW w:w="2263" w:type="dxa"/>
            <w:tcBorders>
              <w:top w:val="single" w:sz="4" w:space="0" w:color="auto"/>
              <w:left w:val="single" w:sz="4" w:space="0" w:color="auto"/>
              <w:bottom w:val="single" w:sz="4" w:space="0" w:color="auto"/>
              <w:right w:val="single" w:sz="4" w:space="0" w:color="auto"/>
            </w:tcBorders>
            <w:hideMark/>
          </w:tcPr>
          <w:p w:rsidR="00542559" w:rsidRPr="00542559" w:rsidRDefault="00542559" w:rsidP="00542559">
            <w:pPr>
              <w:spacing w:before="60" w:after="60"/>
              <w:rPr>
                <w:rFonts w:eastAsia="Times New Roman" w:cs="Times New Roman"/>
                <w:b/>
              </w:rPr>
            </w:pPr>
            <w:r w:rsidRPr="00542559">
              <w:rPr>
                <w:rFonts w:eastAsia="Times New Roman" w:cs="Times New Roman"/>
                <w:b/>
              </w:rPr>
              <w:t xml:space="preserve">Primary purpose </w:t>
            </w:r>
          </w:p>
        </w:tc>
        <w:tc>
          <w:tcPr>
            <w:tcW w:w="7343" w:type="dxa"/>
            <w:tcBorders>
              <w:top w:val="single" w:sz="4" w:space="0" w:color="auto"/>
              <w:left w:val="single" w:sz="4" w:space="0" w:color="auto"/>
              <w:bottom w:val="single" w:sz="4" w:space="0" w:color="auto"/>
              <w:right w:val="single" w:sz="4" w:space="0" w:color="auto"/>
            </w:tcBorders>
          </w:tcPr>
          <w:p w:rsidR="00542559" w:rsidRPr="00542559" w:rsidRDefault="00542559" w:rsidP="00542559">
            <w:pPr>
              <w:spacing w:before="60" w:after="60"/>
              <w:rPr>
                <w:rFonts w:eastAsia="Times New Roman" w:cs="Times New Roman"/>
              </w:rPr>
            </w:pPr>
            <w:r w:rsidRPr="00542559">
              <w:rPr>
                <w:rFonts w:eastAsia="Times New Roman" w:cs="Times New Roman"/>
              </w:rPr>
              <w:t>Commercial supply of the GM COVID-19 vaccine</w:t>
            </w:r>
          </w:p>
        </w:tc>
      </w:tr>
    </w:tbl>
    <w:p w:rsidR="00542559" w:rsidRPr="00542559" w:rsidRDefault="00542559" w:rsidP="00542559">
      <w:pPr>
        <w:keepNext/>
        <w:tabs>
          <w:tab w:val="left" w:pos="1418"/>
        </w:tabs>
        <w:spacing w:before="240" w:after="60"/>
        <w:outlineLvl w:val="1"/>
        <w:rPr>
          <w:rFonts w:eastAsia="Times New Roman" w:cs="Times New Roman"/>
          <w:b/>
          <w:i/>
          <w:sz w:val="28"/>
          <w:szCs w:val="28"/>
        </w:rPr>
      </w:pPr>
      <w:bookmarkStart w:id="21" w:name="_Toc342042136"/>
      <w:bookmarkStart w:id="22" w:name="_Toc47536736"/>
      <w:bookmarkStart w:id="23" w:name="_Toc63319818"/>
      <w:r w:rsidRPr="00542559">
        <w:rPr>
          <w:rFonts w:eastAsia="Times New Roman" w:cs="Times New Roman"/>
          <w:b/>
          <w:i/>
          <w:sz w:val="28"/>
          <w:szCs w:val="28"/>
        </w:rPr>
        <w:t>Risk assessment</w:t>
      </w:r>
      <w:bookmarkEnd w:id="17"/>
      <w:bookmarkEnd w:id="18"/>
      <w:bookmarkEnd w:id="19"/>
      <w:bookmarkEnd w:id="21"/>
      <w:bookmarkEnd w:id="22"/>
      <w:bookmarkEnd w:id="23"/>
    </w:p>
    <w:p w:rsidR="00542559" w:rsidRPr="00542559" w:rsidRDefault="00542559" w:rsidP="00542559">
      <w:pPr>
        <w:rPr>
          <w:rFonts w:eastAsia="Times New Roman" w:cs="Times New Roman"/>
          <w:bCs/>
        </w:rPr>
      </w:pPr>
      <w:r w:rsidRPr="00542559">
        <w:rPr>
          <w:rFonts w:eastAsia="Times New Roman" w:cs="Times New Roman"/>
        </w:rPr>
        <w:t xml:space="preserve">The risk assessment concluded that risks to the health and safety of people or the environment from the proposed supply, either in the short or long term, are </w:t>
      </w:r>
      <w:r w:rsidRPr="00542559">
        <w:rPr>
          <w:rFonts w:eastAsia="Times New Roman" w:cs="Times New Roman"/>
          <w:bCs/>
        </w:rPr>
        <w:t>negligible</w:t>
      </w:r>
      <w:r w:rsidRPr="00542559">
        <w:rPr>
          <w:rFonts w:eastAsia="Times New Roman" w:cs="Times New Roman"/>
        </w:rPr>
        <w:t>. N</w:t>
      </w:r>
      <w:r w:rsidRPr="00542559">
        <w:rPr>
          <w:rFonts w:eastAsia="Times New Roman" w:cs="Times New Roman"/>
          <w:bCs/>
        </w:rPr>
        <w:t>o specific risk treatment measures are required to manage these negligible risks.</w:t>
      </w:r>
    </w:p>
    <w:p w:rsidR="00542559" w:rsidRPr="00542559" w:rsidRDefault="00542559" w:rsidP="00542559">
      <w:pPr>
        <w:rPr>
          <w:rFonts w:eastAsia="Times New Roman" w:cs="Times New Roman"/>
        </w:rPr>
      </w:pPr>
      <w:r w:rsidRPr="00542559">
        <w:rPr>
          <w:rFonts w:eastAsia="Times New Roman" w:cs="Times New Roman"/>
        </w:rPr>
        <w:t xml:space="preserve">The current assessment focused on risks posed to people other than the intended vaccine recipient and to the environment, including long term persistence of the GMOs, which may arise from the import, transport, storage or disposal of the GMO. </w:t>
      </w:r>
      <w:r w:rsidRPr="00542559">
        <w:rPr>
          <w:rFonts w:eastAsia="Times New Roman" w:cs="Calibri"/>
        </w:rPr>
        <w:t>The risk assessment process considered how the genetic modification and activities conducted with the GM vaccine in the context of import, transport, storage and disposal might lead to harm to people or the environment. Risks were characterised in relation to both</w:t>
      </w:r>
      <w:r w:rsidRPr="00542559">
        <w:rPr>
          <w:rFonts w:eastAsia="Times New Roman" w:cs="Calibri"/>
          <w:szCs w:val="22"/>
        </w:rPr>
        <w:t xml:space="preserve"> the seriousness and likelihood of harm, taking into account information in the application, relevant previous approvals, current scientific knowledge and advice received from a wide range of experts, agencies and authorities consulted on the preparation of the RARMP. Both the short and long term risks were considered. </w:t>
      </w:r>
    </w:p>
    <w:p w:rsidR="00542559" w:rsidRPr="00542559" w:rsidRDefault="00542559" w:rsidP="00542559">
      <w:pPr>
        <w:rPr>
          <w:rFonts w:eastAsia="Times New Roman" w:cs="Calibri"/>
          <w:szCs w:val="22"/>
        </w:rPr>
      </w:pPr>
      <w:r w:rsidRPr="00542559">
        <w:rPr>
          <w:rFonts w:eastAsia="Times New Roman" w:cs="Calibri"/>
          <w:szCs w:val="22"/>
        </w:rPr>
        <w:t xml:space="preserve">Credible pathways to potential harm that were considered included: whether people and animals can be exposed to the GMO and whether there is a potential for the GMO to recombine with other similar viruses or to get genes from those viruses. The potential for the GMO to be released into the environment and its effects was also considered. </w:t>
      </w:r>
    </w:p>
    <w:p w:rsidR="00542559" w:rsidRPr="00542559" w:rsidRDefault="00542559" w:rsidP="00542559">
      <w:pPr>
        <w:rPr>
          <w:rFonts w:eastAsia="Times New Roman" w:cs="Calibri"/>
          <w:szCs w:val="22"/>
        </w:rPr>
      </w:pPr>
      <w:r w:rsidRPr="00542559">
        <w:rPr>
          <w:rFonts w:eastAsia="Times New Roman" w:cs="Calibri"/>
          <w:szCs w:val="22"/>
        </w:rPr>
        <w:t xml:space="preserve">The principal reasons for the conclusion of negligible risks associated with import, transport, storage and disposal of the GMO are: </w:t>
      </w:r>
    </w:p>
    <w:p w:rsidR="00542559" w:rsidRPr="00542559" w:rsidRDefault="00542559" w:rsidP="00542559">
      <w:pPr>
        <w:numPr>
          <w:ilvl w:val="0"/>
          <w:numId w:val="19"/>
        </w:numPr>
        <w:rPr>
          <w:rFonts w:eastAsia="Times New Roman" w:cs="Times New Roman"/>
        </w:rPr>
      </w:pPr>
      <w:r w:rsidRPr="00542559">
        <w:rPr>
          <w:rFonts w:eastAsia="Times New Roman" w:cs="Times New Roman"/>
        </w:rPr>
        <w:t>The GMO is replication incompetent which will prevent it from multiplying in other cells;</w:t>
      </w:r>
    </w:p>
    <w:p w:rsidR="00542559" w:rsidRPr="00542559" w:rsidRDefault="00542559" w:rsidP="00542559">
      <w:pPr>
        <w:numPr>
          <w:ilvl w:val="0"/>
          <w:numId w:val="17"/>
        </w:numPr>
        <w:rPr>
          <w:rFonts w:eastAsia="Times New Roman" w:cs="Times New Roman"/>
        </w:rPr>
      </w:pPr>
      <w:r w:rsidRPr="00542559">
        <w:rPr>
          <w:rFonts w:eastAsia="Times New Roman" w:cs="Times New Roman"/>
        </w:rPr>
        <w:t>The GMO would be restricted to the site of injection and/or draining lymph nodes and would not be shed from the vaccine recipients;</w:t>
      </w:r>
    </w:p>
    <w:p w:rsidR="00542559" w:rsidRPr="00542559" w:rsidRDefault="00542559" w:rsidP="00542559">
      <w:pPr>
        <w:numPr>
          <w:ilvl w:val="0"/>
          <w:numId w:val="17"/>
        </w:numPr>
        <w:rPr>
          <w:rFonts w:eastAsia="Times New Roman" w:cs="Calibri"/>
          <w:szCs w:val="22"/>
        </w:rPr>
      </w:pPr>
      <w:r w:rsidRPr="00542559">
        <w:rPr>
          <w:rFonts w:eastAsia="Times New Roman" w:cs="Calibri"/>
        </w:rPr>
        <w:t xml:space="preserve">The likelihood of complementation and recombination of GMO with other adenoviruses is very low; </w:t>
      </w:r>
    </w:p>
    <w:p w:rsidR="00542559" w:rsidRPr="00542559" w:rsidRDefault="00542559" w:rsidP="00542559">
      <w:pPr>
        <w:numPr>
          <w:ilvl w:val="0"/>
          <w:numId w:val="17"/>
        </w:numPr>
        <w:rPr>
          <w:rFonts w:eastAsia="Times New Roman" w:cs="Times New Roman"/>
        </w:rPr>
      </w:pPr>
      <w:r w:rsidRPr="00542559">
        <w:rPr>
          <w:rFonts w:eastAsia="Times New Roman" w:cs="Times New Roman"/>
        </w:rPr>
        <w:t>The GMO does not cause disease in humans and other organisms other than great apes;</w:t>
      </w:r>
    </w:p>
    <w:p w:rsidR="005A4F43" w:rsidRDefault="00542559" w:rsidP="00542559">
      <w:pPr>
        <w:numPr>
          <w:ilvl w:val="0"/>
          <w:numId w:val="17"/>
        </w:numPr>
        <w:rPr>
          <w:rFonts w:eastAsia="Times New Roman" w:cs="Times New Roman"/>
        </w:rPr>
        <w:sectPr w:rsidR="005A4F43" w:rsidSect="00060E93">
          <w:footerReference w:type="even" r:id="rId8"/>
          <w:headerReference w:type="first" r:id="rId9"/>
          <w:pgSz w:w="11909" w:h="16834" w:code="9"/>
          <w:pgMar w:top="1418" w:right="1134" w:bottom="1134" w:left="1134" w:header="567" w:footer="567" w:gutter="0"/>
          <w:pgNumType w:fmt="upperRoman" w:start="1"/>
          <w:cols w:space="720"/>
          <w:titlePg/>
          <w:docGrid w:linePitch="299"/>
        </w:sectPr>
      </w:pPr>
      <w:r w:rsidRPr="00542559">
        <w:rPr>
          <w:rFonts w:eastAsia="Times New Roman" w:cs="Times New Roman"/>
        </w:rPr>
        <w:t>The likelihood of accidental exposure to the GMO in people not being vaccinated would be minimised due to implementation of well-established import, transport, storage and disposal procedures.</w:t>
      </w:r>
    </w:p>
    <w:p w:rsidR="00542559" w:rsidRPr="00542559" w:rsidRDefault="00542559" w:rsidP="00542559">
      <w:pPr>
        <w:keepNext/>
        <w:tabs>
          <w:tab w:val="left" w:pos="1418"/>
        </w:tabs>
        <w:spacing w:before="240" w:after="60"/>
        <w:outlineLvl w:val="1"/>
        <w:rPr>
          <w:rFonts w:eastAsia="Times New Roman" w:cs="Times New Roman"/>
          <w:b/>
          <w:i/>
          <w:sz w:val="28"/>
          <w:szCs w:val="28"/>
        </w:rPr>
      </w:pPr>
      <w:bookmarkStart w:id="24" w:name="_Toc47536737"/>
      <w:bookmarkStart w:id="25" w:name="_Toc63319819"/>
      <w:r w:rsidRPr="00542559">
        <w:rPr>
          <w:rFonts w:eastAsia="Times New Roman" w:cs="Times New Roman"/>
          <w:b/>
          <w:i/>
          <w:sz w:val="28"/>
          <w:szCs w:val="28"/>
        </w:rPr>
        <w:lastRenderedPageBreak/>
        <w:t>Risk ma</w:t>
      </w:r>
      <w:bookmarkStart w:id="26" w:name="_Toc209859549"/>
      <w:bookmarkStart w:id="27" w:name="_Toc342042137"/>
      <w:bookmarkStart w:id="28" w:name="_Toc291151778"/>
      <w:bookmarkStart w:id="29" w:name="_Toc274904728"/>
      <w:r w:rsidRPr="00542559">
        <w:rPr>
          <w:rFonts w:eastAsia="Times New Roman" w:cs="Times New Roman"/>
          <w:b/>
          <w:i/>
          <w:sz w:val="28"/>
          <w:szCs w:val="28"/>
        </w:rPr>
        <w:t>nagement</w:t>
      </w:r>
      <w:bookmarkEnd w:id="24"/>
      <w:bookmarkEnd w:id="25"/>
      <w:bookmarkEnd w:id="26"/>
      <w:bookmarkEnd w:id="27"/>
      <w:bookmarkEnd w:id="28"/>
      <w:bookmarkEnd w:id="29"/>
    </w:p>
    <w:p w:rsidR="00542559" w:rsidRPr="00542559" w:rsidRDefault="00542559" w:rsidP="00542559">
      <w:pPr>
        <w:rPr>
          <w:rFonts w:eastAsia="Times New Roman" w:cs="Times New Roman"/>
        </w:rPr>
      </w:pPr>
      <w:r w:rsidRPr="00542559">
        <w:rPr>
          <w:rFonts w:eastAsia="Times New Roman" w:cs="Times New Roman"/>
        </w:rPr>
        <w:t>Risk management is used to protect the health and safety of people and to protect the environment by controlling or mitigating risk. The risk management plan evaluates and treats identified risks and considers general risk management measures. The risk management plan is given effect through licence conditions.</w:t>
      </w:r>
    </w:p>
    <w:p w:rsidR="00542559" w:rsidRPr="00542559" w:rsidRDefault="00542559" w:rsidP="00542559">
      <w:pPr>
        <w:rPr>
          <w:rFonts w:eastAsia="Times New Roman" w:cs="Times New Roman"/>
          <w:bCs/>
        </w:rPr>
      </w:pPr>
      <w:r w:rsidRPr="00542559">
        <w:rPr>
          <w:rFonts w:eastAsia="Times New Roman" w:cs="Times New Roman"/>
        </w:rPr>
        <w:t>The risk management plan concludes that risks from the proposed activities can be managed so that people and the environment are protected by imposing general conditions to ensure that there is ongoing oversight of the vaccine containing the GMO.</w:t>
      </w:r>
    </w:p>
    <w:p w:rsidR="00060E93" w:rsidRPr="004D0D02" w:rsidRDefault="00542559" w:rsidP="005A4F43">
      <w:pPr>
        <w:rPr>
          <w:rFonts w:eastAsia="SimSun" w:cs="Times New Roman"/>
          <w:szCs w:val="22"/>
        </w:rPr>
      </w:pPr>
      <w:bookmarkStart w:id="30" w:name="_Toc342042138"/>
      <w:bookmarkStart w:id="31" w:name="_Toc291151780"/>
      <w:bookmarkStart w:id="32" w:name="_Toc274904730"/>
      <w:bookmarkStart w:id="33" w:name="_Toc209859551"/>
      <w:r w:rsidRPr="00542559">
        <w:rPr>
          <w:rFonts w:eastAsia="Times New Roman" w:cs="Times New Roman"/>
        </w:rPr>
        <w:t xml:space="preserve">As the level of risk was assessed as negligible, specific risk treatment is not required. </w:t>
      </w:r>
      <w:r w:rsidRPr="00542559">
        <w:rPr>
          <w:rFonts w:eastAsia="SimSun" w:cs="Times New Roman"/>
          <w:szCs w:val="22"/>
        </w:rPr>
        <w:t>However, the Regulator has imposed licence conditions regarding post-release review (post-market surveillance) to ensure that there is ongoing oversight of the supply of the GM COVID-19 vaccine and to allow the collection of ongoing information to verify the findings of the RARMP. The licence also contains a number of general conditions relating to ongoing licence holder suitability, auditing and monitoring, and reporting requirements, which include an obligation to report any unintended effects from activities with the vaccine.</w:t>
      </w:r>
      <w:bookmarkEnd w:id="1"/>
      <w:bookmarkEnd w:id="30"/>
      <w:bookmarkEnd w:id="31"/>
      <w:bookmarkEnd w:id="32"/>
      <w:bookmarkEnd w:id="33"/>
      <w:r w:rsidR="004D0D02" w:rsidRPr="004D0D02">
        <w:rPr>
          <w:rFonts w:eastAsia="Times New Roman" w:cs="Arial"/>
          <w:b/>
          <w:snapToGrid w:val="0"/>
          <w:sz w:val="36"/>
          <w:szCs w:val="36"/>
          <w:lang w:eastAsia="en-US"/>
        </w:rPr>
        <w:t xml:space="preserve"> </w:t>
      </w:r>
      <w:bookmarkEnd w:id="2"/>
      <w:bookmarkEnd w:id="3"/>
      <w:bookmarkEnd w:id="4"/>
      <w:bookmarkEnd w:id="5"/>
      <w:bookmarkEnd w:id="6"/>
      <w:bookmarkEnd w:id="7"/>
      <w:bookmarkEnd w:id="8"/>
      <w:bookmarkEnd w:id="9"/>
      <w:bookmarkEnd w:id="10"/>
      <w:bookmarkEnd w:id="11"/>
    </w:p>
    <w:sectPr w:rsidR="00060E93" w:rsidRPr="004D0D02" w:rsidSect="00060E93">
      <w:headerReference w:type="even" r:id="rId10"/>
      <w:headerReference w:type="default" r:id="rId11"/>
      <w:footerReference w:type="even" r:id="rId12"/>
      <w:footerReference w:type="default" r:id="rId13"/>
      <w:headerReference w:type="first" r:id="rId14"/>
      <w:footerReference w:type="first" r:id="rId15"/>
      <w:pgSz w:w="11909" w:h="16834" w:code="9"/>
      <w:pgMar w:top="1418" w:right="1134" w:bottom="1134" w:left="1134" w:header="567" w:footer="567" w:gutter="0"/>
      <w:pgNumType w:fmt="upperRoman"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686" w:rsidRDefault="00CA2686" w:rsidP="00CA2686">
      <w:pPr>
        <w:spacing w:before="0" w:after="0"/>
      </w:pPr>
      <w:r>
        <w:separator/>
      </w:r>
    </w:p>
  </w:endnote>
  <w:endnote w:type="continuationSeparator" w:id="0">
    <w:p w:rsidR="00CA2686" w:rsidRDefault="00CA2686" w:rsidP="00CA26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A1" w:rsidRPr="00236287" w:rsidRDefault="007C32A1" w:rsidP="007C32A1">
    <w:pPr>
      <w:pBdr>
        <w:top w:val="single" w:sz="8" w:space="1" w:color="auto"/>
      </w:pBdr>
      <w:jc w:val="center"/>
      <w:rPr>
        <w:rFonts w:cs="Calibri"/>
        <w:noProof/>
        <w:sz w:val="20"/>
        <w:szCs w:val="20"/>
      </w:rPr>
    </w:pPr>
    <w:r w:rsidRPr="00236287">
      <w:rPr>
        <w:rFonts w:cs="Calibri"/>
        <w:noProof/>
        <w:sz w:val="20"/>
        <w:szCs w:val="20"/>
      </w:rPr>
      <w:t>Address: MDP 54 GPO Box 9848, Canberra ACT 2601  Website: www.ogtr.gov.au</w:t>
    </w:r>
  </w:p>
  <w:p w:rsidR="007C32A1" w:rsidRPr="00CA2686" w:rsidRDefault="007C32A1" w:rsidP="007C32A1">
    <w:pPr>
      <w:pStyle w:val="Footer"/>
      <w:jc w:val="center"/>
      <w:rPr>
        <w:rFonts w:cs="Calibri"/>
        <w:sz w:val="20"/>
        <w:szCs w:val="20"/>
      </w:rPr>
    </w:pPr>
    <w:r w:rsidRPr="00236287">
      <w:rPr>
        <w:rFonts w:cs="Calibri"/>
        <w:noProof/>
        <w:sz w:val="20"/>
        <w:szCs w:val="20"/>
      </w:rPr>
      <w:t>Telephone: 1800 181 030  Email: ogtr@health.gov.au</w:t>
    </w:r>
  </w:p>
  <w:p w:rsidR="007C32A1" w:rsidRDefault="007C3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02" w:rsidRDefault="004D0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02" w:rsidRDefault="004D0D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3" w:rsidRPr="00236287" w:rsidRDefault="00060E93" w:rsidP="00060E93">
    <w:pPr>
      <w:pBdr>
        <w:top w:val="single" w:sz="8" w:space="1" w:color="auto"/>
      </w:pBdr>
      <w:jc w:val="center"/>
      <w:rPr>
        <w:rFonts w:cs="Calibri"/>
        <w:noProof/>
        <w:sz w:val="20"/>
        <w:szCs w:val="20"/>
      </w:rPr>
    </w:pPr>
    <w:r w:rsidRPr="00236287">
      <w:rPr>
        <w:rFonts w:cs="Calibri"/>
        <w:noProof/>
        <w:sz w:val="20"/>
        <w:szCs w:val="20"/>
      </w:rPr>
      <w:t>Address: MDP 54 GPO Box 9848, Canberra ACT 2601  Website: www.ogtr.gov.au</w:t>
    </w:r>
  </w:p>
  <w:p w:rsidR="00060E93" w:rsidRPr="00060E93" w:rsidRDefault="00060E93" w:rsidP="00060E93">
    <w:pPr>
      <w:pStyle w:val="Footer"/>
      <w:jc w:val="center"/>
      <w:rPr>
        <w:rFonts w:cs="Calibri"/>
        <w:sz w:val="20"/>
        <w:szCs w:val="20"/>
      </w:rPr>
    </w:pPr>
    <w:r w:rsidRPr="00236287">
      <w:rPr>
        <w:rFonts w:cs="Calibri"/>
        <w:noProof/>
        <w:sz w:val="20"/>
        <w:szCs w:val="20"/>
      </w:rPr>
      <w:t>Telephone: 1800 181 030  Email: ogtr@health.gov.au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686" w:rsidRDefault="00CA2686" w:rsidP="00CA2686">
      <w:pPr>
        <w:spacing w:before="0" w:after="0"/>
      </w:pPr>
      <w:r>
        <w:separator/>
      </w:r>
    </w:p>
  </w:footnote>
  <w:footnote w:type="continuationSeparator" w:id="0">
    <w:p w:rsidR="00CA2686" w:rsidRDefault="00CA2686" w:rsidP="00CA2686">
      <w:pPr>
        <w:spacing w:before="0" w:after="0"/>
      </w:pPr>
      <w:r>
        <w:continuationSeparator/>
      </w:r>
    </w:p>
  </w:footnote>
  <w:footnote w:id="1">
    <w:p w:rsidR="00542559" w:rsidRDefault="00542559" w:rsidP="00542559">
      <w:pPr>
        <w:pStyle w:val="FootnoteText"/>
      </w:pPr>
      <w:r>
        <w:rPr>
          <w:rStyle w:val="FootnoteReference"/>
        </w:rPr>
        <w:footnoteRef/>
      </w:r>
      <w:r>
        <w:t xml:space="preserve"> The title of the licence application submitted by AstraZeneca is “Commercial release of a COVID-19 vaccine AstraZeneca to Prevent Severe Acute Respiratory Syndrome Coronavirus 2 (SARS-CoV-2)”.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86" w:rsidRPr="005513BB" w:rsidRDefault="00060E93" w:rsidP="005513BB">
    <w:pPr>
      <w:pStyle w:val="Header"/>
    </w:pPr>
    <w:r w:rsidRPr="00542559">
      <w:rPr>
        <w:rFonts w:cs="Calibri"/>
        <w:noProof/>
        <w:szCs w:val="22"/>
      </w:rPr>
      <w:drawing>
        <wp:inline distT="0" distB="0" distL="0" distR="0" wp14:anchorId="0F43BAA2" wp14:editId="345B9758">
          <wp:extent cx="3337200" cy="950400"/>
          <wp:effectExtent l="0" t="0" r="0" b="2540"/>
          <wp:docPr id="1" name="Picture 1"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7200" cy="950400"/>
                  </a:xfrm>
                  <a:prstGeom prst="rect">
                    <a:avLst/>
                  </a:prstGeom>
                  <a:noFill/>
                  <a:ln>
                    <a:noFill/>
                  </a:ln>
                </pic:spPr>
              </pic:pic>
            </a:graphicData>
          </a:graphic>
        </wp:inline>
      </w:drawing>
    </w:r>
    <w:r w:rsidRPr="00AD7E51">
      <w:t xml:space="preserve"> </w:t>
    </w:r>
    <w:r w:rsidR="008337F0">
      <w:tab/>
      <w:t>08</w:t>
    </w:r>
    <w:r>
      <w:t xml:space="preserve"> </w:t>
    </w:r>
    <w:r w:rsidR="00542559">
      <w:t>February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02" w:rsidRDefault="004D0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02" w:rsidRDefault="004D0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02" w:rsidRDefault="004D0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6A96"/>
    <w:multiLevelType w:val="hybridMultilevel"/>
    <w:tmpl w:val="9FCC0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15:restartNumberingAfterBreak="0">
    <w:nsid w:val="25921E40"/>
    <w:multiLevelType w:val="hybridMultilevel"/>
    <w:tmpl w:val="47481DD8"/>
    <w:lvl w:ilvl="0" w:tplc="0C090003">
      <w:start w:val="1"/>
      <w:numFmt w:val="bullet"/>
      <w:lvlText w:val="o"/>
      <w:lvlJc w:val="left"/>
      <w:pPr>
        <w:ind w:left="1125" w:hanging="360"/>
      </w:pPr>
      <w:rPr>
        <w:rFonts w:ascii="Courier New" w:hAnsi="Courier New" w:cs="Courier New"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 w15:restartNumberingAfterBreak="0">
    <w:nsid w:val="35996E70"/>
    <w:multiLevelType w:val="hybridMultilevel"/>
    <w:tmpl w:val="DFD8D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6AE6ABF"/>
    <w:multiLevelType w:val="multilevel"/>
    <w:tmpl w:val="107EF544"/>
    <w:lvl w:ilvl="0">
      <w:start w:val="1"/>
      <w:numFmt w:val="decimal"/>
      <w:pStyle w:val="1RARMP"/>
      <w:lvlText w:val="Chapter %1"/>
      <w:lvlJc w:val="left"/>
      <w:pPr>
        <w:tabs>
          <w:tab w:val="num" w:pos="3545"/>
        </w:tabs>
        <w:ind w:left="3261"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RARMP"/>
      <w:lvlText w:val="Section %2"/>
      <w:lvlJc w:val="left"/>
      <w:pPr>
        <w:tabs>
          <w:tab w:val="num" w:pos="1531"/>
        </w:tabs>
        <w:ind w:left="1531" w:hanging="15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RARMP"/>
      <w:lvlText w:val="%2.%3"/>
      <w:lvlJc w:val="left"/>
      <w:pPr>
        <w:tabs>
          <w:tab w:val="num" w:pos="284"/>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RARMP"/>
      <w:lvlText w:val="%2.%3.%4"/>
      <w:lvlJc w:val="left"/>
      <w:pPr>
        <w:tabs>
          <w:tab w:val="num" w:pos="993"/>
        </w:tabs>
        <w:ind w:left="709"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14A6F0C"/>
    <w:multiLevelType w:val="hybridMultilevel"/>
    <w:tmpl w:val="9A786DE0"/>
    <w:lvl w:ilvl="0" w:tplc="837CCB9C">
      <w:start w:val="1"/>
      <w:numFmt w:val="bullet"/>
      <w:pStyle w:val="BulletedRARMP"/>
      <w:lvlText w:val=""/>
      <w:lvlJc w:val="left"/>
      <w:pPr>
        <w:tabs>
          <w:tab w:val="num" w:pos="567"/>
        </w:tabs>
        <w:ind w:left="567" w:hanging="283"/>
      </w:pPr>
      <w:rPr>
        <w:rFonts w:ascii="Symbol" w:hAnsi="Symbol" w:cs="Symbol" w:hint="default"/>
        <w:sz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0D0491"/>
    <w:multiLevelType w:val="hybridMultilevel"/>
    <w:tmpl w:val="C4125AB4"/>
    <w:lvl w:ilvl="0" w:tplc="103C176E">
      <w:start w:val="1"/>
      <w:numFmt w:val="decimal"/>
      <w:pStyle w:val="RARMPnumberedparagraphs"/>
      <w:lvlText w:val="%1."/>
      <w:lvlJc w:val="left"/>
      <w:pPr>
        <w:ind w:left="786"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8" w15:restartNumberingAfterBreak="0">
    <w:nsid w:val="48AC2295"/>
    <w:multiLevelType w:val="hybridMultilevel"/>
    <w:tmpl w:val="AA3A0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CF66DD"/>
    <w:multiLevelType w:val="hybridMultilevel"/>
    <w:tmpl w:val="1228E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F1427F"/>
    <w:multiLevelType w:val="hybridMultilevel"/>
    <w:tmpl w:val="9A788FA0"/>
    <w:lvl w:ilvl="0" w:tplc="53184546">
      <w:start w:val="1"/>
      <w:numFmt w:val="decimal"/>
      <w:pStyle w:val="RARMPPara"/>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640109"/>
    <w:multiLevelType w:val="hybridMultilevel"/>
    <w:tmpl w:val="73307F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F547FF"/>
    <w:multiLevelType w:val="hybridMultilevel"/>
    <w:tmpl w:val="8B4EC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6"/>
  </w:num>
  <w:num w:numId="6">
    <w:abstractNumId w:val="1"/>
  </w:num>
  <w:num w:numId="7">
    <w:abstractNumId w:val="9"/>
  </w:num>
  <w:num w:numId="8">
    <w:abstractNumId w:val="13"/>
  </w:num>
  <w:num w:numId="9">
    <w:abstractNumId w:val="11"/>
  </w:num>
  <w:num w:numId="10">
    <w:abstractNumId w:val="10"/>
  </w:num>
  <w:num w:numId="11">
    <w:abstractNumId w:val="7"/>
  </w:num>
  <w:num w:numId="12">
    <w:abstractNumId w:val="2"/>
  </w:num>
  <w:num w:numId="13">
    <w:abstractNumId w:val="4"/>
  </w:num>
  <w:num w:numId="14">
    <w:abstractNumId w:val="0"/>
  </w:num>
  <w:num w:numId="15">
    <w:abstractNumId w:val="14"/>
  </w:num>
  <w:num w:numId="16">
    <w:abstractNumId w:val="15"/>
  </w:num>
  <w:num w:numId="17">
    <w:abstractNumId w:val="8"/>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86"/>
    <w:rsid w:val="00060E93"/>
    <w:rsid w:val="00186A29"/>
    <w:rsid w:val="00205F4D"/>
    <w:rsid w:val="00280050"/>
    <w:rsid w:val="00404F0D"/>
    <w:rsid w:val="004D0D02"/>
    <w:rsid w:val="00542559"/>
    <w:rsid w:val="00550BC4"/>
    <w:rsid w:val="005513BB"/>
    <w:rsid w:val="005A4F43"/>
    <w:rsid w:val="0065668D"/>
    <w:rsid w:val="00690839"/>
    <w:rsid w:val="007872EB"/>
    <w:rsid w:val="007C32A1"/>
    <w:rsid w:val="008337F0"/>
    <w:rsid w:val="009B523B"/>
    <w:rsid w:val="00AD7E51"/>
    <w:rsid w:val="00B105D6"/>
    <w:rsid w:val="00C22BAC"/>
    <w:rsid w:val="00C31CB7"/>
    <w:rsid w:val="00CA2686"/>
    <w:rsid w:val="00CF4E02"/>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F65AEEC-3A93-464B-8BDB-787B9ECF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CA2686"/>
    <w:pPr>
      <w:spacing w:before="120" w:after="120" w:line="240" w:lineRule="auto"/>
    </w:pPr>
    <w:rPr>
      <w:rFonts w:ascii="Calibri" w:hAnsi="Calibri" w:cstheme="minorBidi"/>
      <w:sz w:val="22"/>
      <w:lang w:eastAsia="en-AU"/>
    </w:rPr>
  </w:style>
  <w:style w:type="paragraph" w:styleId="Heading1">
    <w:name w:val="heading 1"/>
    <w:basedOn w:val="Normal"/>
    <w:next w:val="Normal"/>
    <w:link w:val="Heading1Char"/>
    <w:qFormat/>
    <w:rsid w:val="00CA2686"/>
    <w:pPr>
      <w:keepNext/>
      <w:keepLines/>
      <w:spacing w:before="240"/>
      <w:outlineLvl w:val="0"/>
    </w:pPr>
    <w:rPr>
      <w:rFonts w:asciiTheme="minorHAnsi" w:eastAsia="Times New Roman" w:hAnsiTheme="minorHAnsi" w:cstheme="majorBidi"/>
      <w:b/>
      <w:bCs/>
      <w:i/>
      <w:sz w:val="28"/>
      <w:szCs w:val="28"/>
    </w:rPr>
  </w:style>
  <w:style w:type="paragraph" w:styleId="Heading2">
    <w:name w:val="heading 2"/>
    <w:basedOn w:val="Normal"/>
    <w:next w:val="Normal"/>
    <w:link w:val="Heading2Char"/>
    <w:uiPriority w:val="9"/>
    <w:semiHidden/>
    <w:unhideWhenUsed/>
    <w:qFormat/>
    <w:rsid w:val="00CF4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ARMP">
    <w:name w:val="1 RARMP"/>
    <w:basedOn w:val="Normal"/>
    <w:qFormat/>
    <w:rsid w:val="00404F0D"/>
    <w:pPr>
      <w:numPr>
        <w:numId w:val="4"/>
      </w:numPr>
      <w:tabs>
        <w:tab w:val="left" w:pos="1843"/>
      </w:tabs>
      <w:outlineLvl w:val="0"/>
    </w:pPr>
    <w:rPr>
      <w:rFonts w:asciiTheme="minorHAnsi" w:eastAsiaTheme="minorEastAsia" w:hAnsiTheme="minorHAnsi" w:cs="Arial"/>
      <w:b/>
      <w:bCs/>
      <w:color w:val="000000"/>
      <w:sz w:val="36"/>
      <w:szCs w:val="36"/>
    </w:rPr>
  </w:style>
  <w:style w:type="paragraph" w:customStyle="1" w:styleId="2RARMP">
    <w:name w:val="2 RARMP"/>
    <w:basedOn w:val="Normal"/>
    <w:link w:val="2RARMPChar"/>
    <w:qFormat/>
    <w:rsid w:val="00404F0D"/>
    <w:pPr>
      <w:keepNext/>
      <w:numPr>
        <w:ilvl w:val="1"/>
        <w:numId w:val="4"/>
      </w:numPr>
      <w:tabs>
        <w:tab w:val="left" w:pos="1559"/>
      </w:tabs>
      <w:spacing w:before="240"/>
      <w:outlineLvl w:val="1"/>
    </w:pPr>
    <w:rPr>
      <w:rFonts w:asciiTheme="minorHAnsi" w:eastAsiaTheme="minorEastAsia" w:hAnsiTheme="minorHAnsi" w:cs="Arial"/>
      <w:b/>
      <w:bCs/>
      <w:iCs/>
      <w:sz w:val="28"/>
      <w:szCs w:val="28"/>
    </w:rPr>
  </w:style>
  <w:style w:type="character" w:customStyle="1" w:styleId="2RARMPChar">
    <w:name w:val="2 RARMP Char"/>
    <w:basedOn w:val="DefaultParagraphFont"/>
    <w:link w:val="2RARMP"/>
    <w:rsid w:val="00404F0D"/>
    <w:rPr>
      <w:rFonts w:asciiTheme="minorHAnsi" w:eastAsiaTheme="minorEastAsia" w:hAnsiTheme="minorHAnsi" w:cs="Arial"/>
      <w:b/>
      <w:bCs/>
      <w:iCs/>
      <w:sz w:val="28"/>
      <w:szCs w:val="28"/>
      <w:lang w:eastAsia="en-AU"/>
    </w:rPr>
  </w:style>
  <w:style w:type="paragraph" w:customStyle="1" w:styleId="3RARMP">
    <w:name w:val="3 RARMP"/>
    <w:basedOn w:val="Normal"/>
    <w:uiPriority w:val="1"/>
    <w:qFormat/>
    <w:rsid w:val="00404F0D"/>
    <w:pPr>
      <w:keepNext/>
      <w:numPr>
        <w:ilvl w:val="2"/>
        <w:numId w:val="4"/>
      </w:numPr>
      <w:spacing w:before="240"/>
      <w:outlineLvl w:val="2"/>
    </w:pPr>
    <w:rPr>
      <w:rFonts w:asciiTheme="minorHAnsi" w:eastAsiaTheme="minorEastAsia" w:hAnsiTheme="minorHAnsi" w:cs="Arial"/>
      <w:b/>
      <w:bCs/>
    </w:rPr>
  </w:style>
  <w:style w:type="paragraph" w:customStyle="1" w:styleId="4RARMP">
    <w:name w:val="4 RARMP"/>
    <w:basedOn w:val="Normal"/>
    <w:uiPriority w:val="1"/>
    <w:qFormat/>
    <w:rsid w:val="00404F0D"/>
    <w:pPr>
      <w:keepNext/>
      <w:keepLines/>
      <w:numPr>
        <w:ilvl w:val="3"/>
        <w:numId w:val="4"/>
      </w:numPr>
      <w:tabs>
        <w:tab w:val="clear" w:pos="993"/>
        <w:tab w:val="num" w:pos="567"/>
        <w:tab w:val="left" w:pos="851"/>
      </w:tabs>
      <w:outlineLvl w:val="3"/>
    </w:pPr>
    <w:rPr>
      <w:rFonts w:asciiTheme="minorHAnsi" w:eastAsiaTheme="minorEastAsia" w:hAnsiTheme="minorHAnsi" w:cs="Arial"/>
      <w:b/>
      <w:bCs/>
      <w:i/>
      <w:iCs/>
    </w:rPr>
  </w:style>
  <w:style w:type="paragraph" w:customStyle="1" w:styleId="5RARMP">
    <w:name w:val="5 RARMP"/>
    <w:basedOn w:val="Normal"/>
    <w:link w:val="5RARMPChar"/>
    <w:uiPriority w:val="1"/>
    <w:rsid w:val="00404F0D"/>
    <w:pPr>
      <w:tabs>
        <w:tab w:val="left" w:pos="567"/>
      </w:tabs>
      <w:outlineLvl w:val="4"/>
    </w:pPr>
    <w:rPr>
      <w:rFonts w:eastAsia="Times New Roman"/>
      <w:i/>
      <w:u w:val="single"/>
    </w:rPr>
  </w:style>
  <w:style w:type="character" w:customStyle="1" w:styleId="5RARMPChar">
    <w:name w:val="5 RARMP Char"/>
    <w:basedOn w:val="DefaultParagraphFont"/>
    <w:link w:val="5RARMP"/>
    <w:uiPriority w:val="1"/>
    <w:rsid w:val="00404F0D"/>
    <w:rPr>
      <w:rFonts w:ascii="Calibri" w:eastAsia="Times New Roman" w:hAnsi="Calibri"/>
      <w:i/>
      <w:sz w:val="22"/>
      <w:u w:val="single"/>
      <w:lang w:eastAsia="en-AU"/>
    </w:rPr>
  </w:style>
  <w:style w:type="paragraph" w:customStyle="1" w:styleId="bulletedRARMP0">
    <w:name w:val="bulleted RARMP"/>
    <w:basedOn w:val="Normal"/>
    <w:qFormat/>
    <w:rsid w:val="00404F0D"/>
    <w:pPr>
      <w:tabs>
        <w:tab w:val="num" w:pos="720"/>
      </w:tabs>
      <w:ind w:left="720" w:hanging="360"/>
    </w:pPr>
    <w:rPr>
      <w:rFonts w:eastAsiaTheme="minorEastAsia"/>
      <w:lang w:val="en"/>
    </w:rPr>
  </w:style>
  <w:style w:type="paragraph" w:customStyle="1" w:styleId="BulletedRARMP">
    <w:name w:val="Bulleted RARMP"/>
    <w:basedOn w:val="Normal"/>
    <w:link w:val="BulletedRARMPChar"/>
    <w:rsid w:val="00404F0D"/>
    <w:pPr>
      <w:numPr>
        <w:numId w:val="5"/>
      </w:numPr>
      <w:spacing w:after="60"/>
    </w:pPr>
    <w:rPr>
      <w:rFonts w:eastAsiaTheme="minorEastAsia"/>
    </w:rPr>
  </w:style>
  <w:style w:type="character" w:customStyle="1" w:styleId="BulletedRARMPChar">
    <w:name w:val="Bulleted RARMP Char"/>
    <w:basedOn w:val="DefaultParagraphFont"/>
    <w:link w:val="BulletedRARMP"/>
    <w:rsid w:val="00404F0D"/>
    <w:rPr>
      <w:rFonts w:eastAsiaTheme="minorEastAsia"/>
      <w:lang w:eastAsia="en-AU"/>
    </w:rPr>
  </w:style>
  <w:style w:type="character" w:customStyle="1" w:styleId="BulletedRARMPCharChar">
    <w:name w:val="Bulleted RARMP Char Char"/>
    <w:rsid w:val="00404F0D"/>
    <w:rPr>
      <w:rFonts w:ascii="Calibri" w:eastAsiaTheme="minorEastAsia" w:hAnsi="Calibri"/>
      <w:sz w:val="22"/>
      <w:lang w:eastAsia="en-AU"/>
    </w:rPr>
  </w:style>
  <w:style w:type="paragraph" w:customStyle="1" w:styleId="bulletedRARMP2">
    <w:name w:val="bulleted RARMP2"/>
    <w:basedOn w:val="Normal"/>
    <w:uiPriority w:val="19"/>
    <w:rsid w:val="00404F0D"/>
    <w:pPr>
      <w:tabs>
        <w:tab w:val="num" w:pos="720"/>
      </w:tabs>
      <w:spacing w:before="60" w:after="60"/>
      <w:ind w:left="720" w:hanging="360"/>
    </w:pPr>
    <w:rPr>
      <w:rFonts w:eastAsia="Times New Roman"/>
    </w:rPr>
  </w:style>
  <w:style w:type="paragraph" w:customStyle="1" w:styleId="chapter">
    <w:name w:val="chapter"/>
    <w:basedOn w:val="Normal"/>
    <w:next w:val="Normal"/>
    <w:rsid w:val="00404F0D"/>
    <w:pPr>
      <w:keepNext/>
      <w:tabs>
        <w:tab w:val="num" w:pos="397"/>
      </w:tabs>
      <w:spacing w:before="240"/>
      <w:ind w:left="397" w:hanging="397"/>
      <w:outlineLvl w:val="0"/>
    </w:pPr>
    <w:rPr>
      <w:rFonts w:ascii="Arial" w:eastAsia="Times New Roman" w:hAnsi="Arial"/>
      <w:b/>
      <w:sz w:val="36"/>
    </w:rPr>
  </w:style>
  <w:style w:type="paragraph" w:customStyle="1" w:styleId="Licencebullets">
    <w:name w:val="Licence bullets"/>
    <w:basedOn w:val="Normal"/>
    <w:rsid w:val="00404F0D"/>
    <w:pPr>
      <w:numPr>
        <w:numId w:val="6"/>
      </w:numPr>
      <w:tabs>
        <w:tab w:val="clear" w:pos="737"/>
        <w:tab w:val="num" w:pos="360"/>
      </w:tabs>
    </w:pPr>
    <w:rPr>
      <w:rFonts w:eastAsiaTheme="minorEastAsia"/>
    </w:rPr>
  </w:style>
  <w:style w:type="paragraph" w:customStyle="1" w:styleId="Licencecondition">
    <w:name w:val="Licence condition"/>
    <w:basedOn w:val="Normal"/>
    <w:uiPriority w:val="7"/>
    <w:qFormat/>
    <w:rsid w:val="00404F0D"/>
    <w:pPr>
      <w:numPr>
        <w:numId w:val="7"/>
      </w:numPr>
      <w:tabs>
        <w:tab w:val="left" w:pos="567"/>
      </w:tabs>
    </w:pPr>
    <w:rPr>
      <w:rFonts w:eastAsia="Times New Roman"/>
    </w:rPr>
  </w:style>
  <w:style w:type="paragraph" w:customStyle="1" w:styleId="RARMPPara">
    <w:name w:val="RARMP Para"/>
    <w:basedOn w:val="Normal"/>
    <w:link w:val="RARMPParaChar"/>
    <w:autoRedefine/>
    <w:qFormat/>
    <w:rsid w:val="00404F0D"/>
    <w:pPr>
      <w:numPr>
        <w:numId w:val="8"/>
      </w:numPr>
      <w:tabs>
        <w:tab w:val="left" w:pos="567"/>
      </w:tabs>
      <w:spacing w:before="240" w:after="240"/>
    </w:pPr>
    <w:rPr>
      <w:rFonts w:asciiTheme="minorHAnsi" w:eastAsia="Times New Roman" w:hAnsiTheme="minorHAnsi" w:cstheme="minorHAnsi"/>
      <w:szCs w:val="22"/>
      <w:u w:color="000000"/>
      <w:shd w:val="clear" w:color="auto" w:fill="FEFEFE"/>
      <w:lang w:val="en"/>
    </w:rPr>
  </w:style>
  <w:style w:type="character" w:customStyle="1" w:styleId="RARMPParaChar">
    <w:name w:val="RARMP Para Char"/>
    <w:basedOn w:val="DefaultParagraphFont"/>
    <w:link w:val="RARMPPara"/>
    <w:rsid w:val="00404F0D"/>
    <w:rPr>
      <w:rFonts w:asciiTheme="minorHAnsi" w:eastAsia="Times New Roman" w:hAnsiTheme="minorHAnsi" w:cstheme="minorHAnsi"/>
      <w:sz w:val="22"/>
      <w:szCs w:val="22"/>
      <w:u w:color="000000"/>
      <w:lang w:val="en"/>
    </w:rPr>
  </w:style>
  <w:style w:type="paragraph" w:customStyle="1" w:styleId="RARMPParagraph">
    <w:name w:val="RARMP Paragraph"/>
    <w:basedOn w:val="Normal"/>
    <w:link w:val="RARMPParagraphChar"/>
    <w:uiPriority w:val="7"/>
    <w:qFormat/>
    <w:rsid w:val="00404F0D"/>
    <w:pPr>
      <w:tabs>
        <w:tab w:val="num" w:pos="360"/>
        <w:tab w:val="left" w:pos="567"/>
      </w:tabs>
    </w:pPr>
    <w:rPr>
      <w:rFonts w:eastAsia="Calibri"/>
    </w:rPr>
  </w:style>
  <w:style w:type="character" w:customStyle="1" w:styleId="RARMPParagraphChar">
    <w:name w:val="RARMP Paragraph Char"/>
    <w:basedOn w:val="DefaultParagraphFont"/>
    <w:link w:val="RARMPParagraph"/>
    <w:uiPriority w:val="7"/>
    <w:rsid w:val="00404F0D"/>
    <w:rPr>
      <w:rFonts w:ascii="Calibri" w:eastAsia="Calibri" w:hAnsi="Calibri"/>
      <w:sz w:val="22"/>
      <w:lang w:eastAsia="en-AU"/>
    </w:rPr>
  </w:style>
  <w:style w:type="character" w:customStyle="1" w:styleId="Heading1Char">
    <w:name w:val="Heading 1 Char"/>
    <w:basedOn w:val="DefaultParagraphFont"/>
    <w:link w:val="Heading1"/>
    <w:rsid w:val="00CA2686"/>
    <w:rPr>
      <w:rFonts w:asciiTheme="minorHAnsi" w:eastAsia="Times New Roman" w:hAnsiTheme="minorHAnsi" w:cstheme="majorBidi"/>
      <w:b/>
      <w:bCs/>
      <w:i/>
      <w:sz w:val="28"/>
      <w:szCs w:val="28"/>
      <w:lang w:eastAsia="en-AU"/>
    </w:rPr>
  </w:style>
  <w:style w:type="character" w:customStyle="1" w:styleId="FootnoteTextChar">
    <w:name w:val="Footnote Text Char"/>
    <w:basedOn w:val="DefaultParagraphFont"/>
    <w:link w:val="FootnoteText"/>
    <w:rsid w:val="00CA2686"/>
    <w:rPr>
      <w:sz w:val="20"/>
      <w:szCs w:val="20"/>
    </w:rPr>
  </w:style>
  <w:style w:type="character" w:styleId="FootnoteReference">
    <w:name w:val="footnote reference"/>
    <w:uiPriority w:val="99"/>
    <w:rsid w:val="00CA2686"/>
    <w:rPr>
      <w:vertAlign w:val="superscript"/>
    </w:rPr>
  </w:style>
  <w:style w:type="paragraph" w:styleId="FootnoteText">
    <w:name w:val="footnote text"/>
    <w:basedOn w:val="Normal"/>
    <w:link w:val="FootnoteTextChar"/>
    <w:rsid w:val="00CA2686"/>
    <w:pPr>
      <w:spacing w:after="0"/>
    </w:pPr>
    <w:rPr>
      <w:rFonts w:ascii="Times New Roman" w:hAnsi="Times New Roman" w:cs="Times New Roman"/>
      <w:sz w:val="20"/>
      <w:szCs w:val="20"/>
      <w:lang w:eastAsia="en-US"/>
    </w:rPr>
  </w:style>
  <w:style w:type="character" w:customStyle="1" w:styleId="FootnoteTextChar1">
    <w:name w:val="Footnote Text Char1"/>
    <w:basedOn w:val="DefaultParagraphFont"/>
    <w:uiPriority w:val="99"/>
    <w:semiHidden/>
    <w:rsid w:val="00CA2686"/>
    <w:rPr>
      <w:rFonts w:ascii="Calibri" w:hAnsi="Calibri" w:cstheme="minorBidi"/>
      <w:sz w:val="20"/>
      <w:szCs w:val="20"/>
      <w:lang w:eastAsia="en-AU"/>
    </w:rPr>
  </w:style>
  <w:style w:type="paragraph" w:customStyle="1" w:styleId="RIGHTLIST">
    <w:name w:val="RIGHTLIST"/>
    <w:basedOn w:val="LEFTLIST"/>
    <w:link w:val="RIGHTLISTChar"/>
    <w:rsid w:val="00CA2686"/>
    <w:rPr>
      <w:rFonts w:ascii="Times New Roman" w:hAnsi="Times New Roman" w:cs="Times New Roman"/>
      <w:b w:val="0"/>
      <w:bCs w:val="0"/>
    </w:rPr>
  </w:style>
  <w:style w:type="paragraph" w:customStyle="1" w:styleId="LEFTLIST">
    <w:name w:val="LEFTLIST"/>
    <w:basedOn w:val="Heading1"/>
    <w:rsid w:val="00CA2686"/>
    <w:pPr>
      <w:keepLines w:val="0"/>
      <w:tabs>
        <w:tab w:val="right" w:leader="dot" w:pos="9356"/>
      </w:tabs>
      <w:spacing w:before="80" w:after="40"/>
      <w:outlineLvl w:val="9"/>
    </w:pPr>
    <w:rPr>
      <w:rFonts w:ascii="Arial Narrow" w:hAnsi="Arial Narrow" w:cs="Arial Narrow"/>
      <w:i w:val="0"/>
      <w:sz w:val="22"/>
      <w:szCs w:val="22"/>
    </w:rPr>
  </w:style>
  <w:style w:type="paragraph" w:customStyle="1" w:styleId="Paranonumbers">
    <w:name w:val="Para no numbers"/>
    <w:basedOn w:val="Normal"/>
    <w:link w:val="ParanonumbersChar"/>
    <w:qFormat/>
    <w:rsid w:val="00CA2686"/>
    <w:rPr>
      <w:rFonts w:ascii="Times New Roman" w:eastAsiaTheme="minorEastAsia" w:hAnsi="Times New Roman" w:cs="Times New Roman"/>
      <w:sz w:val="24"/>
    </w:rPr>
  </w:style>
  <w:style w:type="character" w:customStyle="1" w:styleId="ParanonumbersChar">
    <w:name w:val="Para no numbers Char"/>
    <w:link w:val="Paranonumbers"/>
    <w:locked/>
    <w:rsid w:val="00CA2686"/>
    <w:rPr>
      <w:rFonts w:eastAsiaTheme="minorEastAsia"/>
      <w:lang w:eastAsia="en-AU"/>
    </w:rPr>
  </w:style>
  <w:style w:type="paragraph" w:customStyle="1" w:styleId="Body">
    <w:name w:val="Body"/>
    <w:rsid w:val="00CA2686"/>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en-AU"/>
    </w:rPr>
  </w:style>
  <w:style w:type="paragraph" w:styleId="Header">
    <w:name w:val="header"/>
    <w:basedOn w:val="Normal"/>
    <w:link w:val="HeaderChar"/>
    <w:uiPriority w:val="99"/>
    <w:unhideWhenUsed/>
    <w:rsid w:val="00CA2686"/>
    <w:pPr>
      <w:tabs>
        <w:tab w:val="center" w:pos="4513"/>
        <w:tab w:val="right" w:pos="9026"/>
      </w:tabs>
      <w:spacing w:before="0" w:after="0"/>
    </w:pPr>
  </w:style>
  <w:style w:type="character" w:customStyle="1" w:styleId="HeaderChar">
    <w:name w:val="Header Char"/>
    <w:basedOn w:val="DefaultParagraphFont"/>
    <w:link w:val="Header"/>
    <w:uiPriority w:val="99"/>
    <w:rsid w:val="00CA2686"/>
    <w:rPr>
      <w:rFonts w:ascii="Calibri" w:hAnsi="Calibri" w:cstheme="minorBidi"/>
      <w:sz w:val="22"/>
      <w:lang w:eastAsia="en-AU"/>
    </w:rPr>
  </w:style>
  <w:style w:type="paragraph" w:styleId="Footer">
    <w:name w:val="footer"/>
    <w:basedOn w:val="Normal"/>
    <w:link w:val="FooterChar"/>
    <w:uiPriority w:val="99"/>
    <w:unhideWhenUsed/>
    <w:rsid w:val="00CA2686"/>
    <w:pPr>
      <w:tabs>
        <w:tab w:val="center" w:pos="4513"/>
        <w:tab w:val="right" w:pos="9026"/>
      </w:tabs>
      <w:spacing w:before="0" w:after="0"/>
    </w:pPr>
  </w:style>
  <w:style w:type="character" w:customStyle="1" w:styleId="FooterChar">
    <w:name w:val="Footer Char"/>
    <w:basedOn w:val="DefaultParagraphFont"/>
    <w:link w:val="Footer"/>
    <w:uiPriority w:val="99"/>
    <w:rsid w:val="00CA2686"/>
    <w:rPr>
      <w:rFonts w:ascii="Calibri" w:hAnsi="Calibri" w:cstheme="minorBidi"/>
      <w:sz w:val="22"/>
      <w:lang w:eastAsia="en-AU"/>
    </w:rPr>
  </w:style>
  <w:style w:type="character" w:customStyle="1" w:styleId="Heading2Char">
    <w:name w:val="Heading 2 Char"/>
    <w:basedOn w:val="DefaultParagraphFont"/>
    <w:link w:val="Heading2"/>
    <w:uiPriority w:val="9"/>
    <w:semiHidden/>
    <w:rsid w:val="00CF4E02"/>
    <w:rPr>
      <w:rFonts w:asciiTheme="majorHAnsi" w:eastAsiaTheme="majorEastAsia" w:hAnsiTheme="majorHAnsi" w:cstheme="majorBidi"/>
      <w:color w:val="2E74B5" w:themeColor="accent1" w:themeShade="BF"/>
      <w:sz w:val="26"/>
      <w:szCs w:val="26"/>
      <w:lang w:eastAsia="en-AU"/>
    </w:rPr>
  </w:style>
  <w:style w:type="paragraph" w:customStyle="1" w:styleId="FootnoteText1">
    <w:name w:val="Footnote Text1"/>
    <w:basedOn w:val="Normal"/>
    <w:qFormat/>
    <w:rsid w:val="007C32A1"/>
    <w:rPr>
      <w:rFonts w:eastAsia="Times New Roman" w:cs="Times New Roman"/>
      <w:sz w:val="20"/>
      <w:szCs w:val="20"/>
    </w:rPr>
  </w:style>
  <w:style w:type="numbering" w:customStyle="1" w:styleId="tablebulletsRARMP">
    <w:name w:val="table bullets RARMP"/>
    <w:basedOn w:val="NoList"/>
    <w:rsid w:val="007C32A1"/>
    <w:pPr>
      <w:numPr>
        <w:numId w:val="10"/>
      </w:numPr>
    </w:pPr>
  </w:style>
  <w:style w:type="paragraph" w:customStyle="1" w:styleId="RARMPnumberedparagraphs">
    <w:name w:val="RARMP numbered paragraphs"/>
    <w:basedOn w:val="ListParagraph"/>
    <w:link w:val="RARMPnumberedparagraphsChar"/>
    <w:qFormat/>
    <w:rsid w:val="00550BC4"/>
    <w:pPr>
      <w:numPr>
        <w:numId w:val="11"/>
      </w:numPr>
      <w:tabs>
        <w:tab w:val="num" w:pos="567"/>
      </w:tabs>
      <w:ind w:left="0" w:firstLine="0"/>
      <w:contextualSpacing w:val="0"/>
    </w:pPr>
    <w:rPr>
      <w:rFonts w:eastAsia="Times New Roman" w:cs="Times New Roman"/>
    </w:rPr>
  </w:style>
  <w:style w:type="character" w:customStyle="1" w:styleId="RARMPnumberedparagraphsChar">
    <w:name w:val="RARMP numbered paragraphs Char"/>
    <w:basedOn w:val="DefaultParagraphFont"/>
    <w:link w:val="RARMPnumberedparagraphs"/>
    <w:rsid w:val="00550BC4"/>
    <w:rPr>
      <w:rFonts w:ascii="Calibri" w:eastAsia="Times New Roman" w:hAnsi="Calibri"/>
      <w:sz w:val="22"/>
      <w:lang w:eastAsia="en-AU"/>
    </w:rPr>
  </w:style>
  <w:style w:type="paragraph" w:customStyle="1" w:styleId="Para">
    <w:name w:val="Para"/>
    <w:basedOn w:val="Normal"/>
    <w:link w:val="ParaCharChar"/>
    <w:autoRedefine/>
    <w:rsid w:val="00550BC4"/>
    <w:pPr>
      <w:numPr>
        <w:numId w:val="12"/>
      </w:numPr>
      <w:tabs>
        <w:tab w:val="clear" w:pos="6755"/>
        <w:tab w:val="left" w:pos="567"/>
        <w:tab w:val="num" w:pos="771"/>
      </w:tabs>
    </w:pPr>
    <w:rPr>
      <w:rFonts w:ascii="Times New Roman" w:eastAsia="Times New Roman" w:hAnsi="Times New Roman" w:cs="Times New Roman"/>
      <w:sz w:val="24"/>
    </w:rPr>
  </w:style>
  <w:style w:type="character" w:customStyle="1" w:styleId="RIGHTLISTChar">
    <w:name w:val="RIGHTLIST Char"/>
    <w:basedOn w:val="DefaultParagraphFont"/>
    <w:link w:val="RIGHTLIST"/>
    <w:rsid w:val="00550BC4"/>
    <w:rPr>
      <w:rFonts w:eastAsia="Times New Roman"/>
      <w:sz w:val="22"/>
      <w:szCs w:val="22"/>
      <w:lang w:eastAsia="en-AU"/>
    </w:rPr>
  </w:style>
  <w:style w:type="character" w:customStyle="1" w:styleId="ParaCharChar">
    <w:name w:val="Para Char Char"/>
    <w:basedOn w:val="DefaultParagraphFont"/>
    <w:link w:val="Para"/>
    <w:locked/>
    <w:rsid w:val="00550BC4"/>
    <w:rPr>
      <w:rFonts w:eastAsia="Times New Roman"/>
      <w:lang w:eastAsia="en-AU"/>
    </w:rPr>
  </w:style>
  <w:style w:type="paragraph" w:styleId="ListParagraph">
    <w:name w:val="List Paragraph"/>
    <w:basedOn w:val="Normal"/>
    <w:uiPriority w:val="34"/>
    <w:qFormat/>
    <w:rsid w:val="00550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B4039-64C2-4434-9C92-E707CF73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5458</Characters>
  <Application>Microsoft Office Word</Application>
  <DocSecurity>0</DocSecurity>
  <Lines>86</Lines>
  <Paragraphs>44</Paragraphs>
  <ScaleCrop>false</ScaleCrop>
  <HeadingPairs>
    <vt:vector size="2" baseType="variant">
      <vt:variant>
        <vt:lpstr>Title</vt:lpstr>
      </vt:variant>
      <vt:variant>
        <vt:i4>1</vt:i4>
      </vt:variant>
    </vt:vector>
  </HeadingPairs>
  <TitlesOfParts>
    <vt:vector size="1" baseType="lpstr">
      <vt:lpstr>DIR 180 - Full Risk Assessment and Risk Management Plan</vt:lpstr>
    </vt:vector>
  </TitlesOfParts>
  <Company>Department of Health</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180 - Summary of Risk Assessment and Risk Management Plan</dc:title>
  <dc:subject/>
  <dc:creator>OGTR.Voicemail@health.gov.au</dc:creator>
  <cp:keywords/>
  <dc:description/>
  <cp:lastModifiedBy>SMITH, Justine</cp:lastModifiedBy>
  <cp:revision>2</cp:revision>
  <dcterms:created xsi:type="dcterms:W3CDTF">2021-02-07T23:41:00Z</dcterms:created>
  <dcterms:modified xsi:type="dcterms:W3CDTF">2021-02-07T23:41:00Z</dcterms:modified>
</cp:coreProperties>
</file>