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B79" w:rsidRPr="00300B79" w:rsidRDefault="00300B79" w:rsidP="00300B79">
      <w:pPr>
        <w:keepLines/>
        <w:spacing w:before="240" w:after="0" w:line="240" w:lineRule="auto"/>
        <w:outlineLvl w:val="0"/>
        <w:rPr>
          <w:rFonts w:ascii="Calibri" w:eastAsia="SimSun" w:hAnsi="Calibri"/>
          <w:bCs/>
          <w:sz w:val="36"/>
          <w:szCs w:val="28"/>
        </w:rPr>
      </w:pPr>
      <w:bookmarkStart w:id="0" w:name="_Toc355007993"/>
      <w:bookmarkStart w:id="1" w:name="_Toc474484240"/>
      <w:bookmarkStart w:id="2" w:name="_Toc209859545"/>
      <w:bookmarkStart w:id="3" w:name="_Toc236620543"/>
      <w:bookmarkStart w:id="4" w:name="_Toc259790166"/>
      <w:bookmarkStart w:id="5" w:name="_Toc198434571"/>
      <w:bookmarkStart w:id="6" w:name="_Toc167164262"/>
      <w:bookmarkStart w:id="7" w:name="_Toc174765844"/>
      <w:bookmarkStart w:id="8" w:name="_Toc377743543"/>
      <w:bookmarkStart w:id="9" w:name="_GoBack"/>
      <w:bookmarkEnd w:id="9"/>
      <w:r w:rsidRPr="00527DBC">
        <w:rPr>
          <w:rFonts w:asciiTheme="minorHAnsi" w:eastAsia="SimSun" w:hAnsiTheme="minorHAnsi" w:cstheme="minorHAnsi"/>
          <w:noProof/>
          <w:sz w:val="22"/>
          <w:lang w:eastAsia="en-AU"/>
        </w:rPr>
        <w:drawing>
          <wp:inline distT="0" distB="0" distL="0" distR="0" wp14:anchorId="0183F4EF" wp14:editId="3E5828AD">
            <wp:extent cx="3335020" cy="951230"/>
            <wp:effectExtent l="0" t="0" r="0" b="1270"/>
            <wp:docPr id="27" name="Picture 27" descr="The picture describes the logo of the department"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5020" cy="951230"/>
                    </a:xfrm>
                    <a:prstGeom prst="rect">
                      <a:avLst/>
                    </a:prstGeom>
                    <a:noFill/>
                  </pic:spPr>
                </pic:pic>
              </a:graphicData>
            </a:graphic>
          </wp:inline>
        </w:drawing>
      </w:r>
      <w:r w:rsidRPr="00300B79">
        <w:t xml:space="preserve"> </w:t>
      </w:r>
    </w:p>
    <w:p w:rsidR="00300B79" w:rsidRPr="00300B79" w:rsidRDefault="003649C0" w:rsidP="00300B79">
      <w:pPr>
        <w:keepLines/>
        <w:spacing w:before="240" w:after="0" w:line="240" w:lineRule="auto"/>
        <w:jc w:val="right"/>
        <w:outlineLvl w:val="0"/>
        <w:rPr>
          <w:rFonts w:ascii="Calibri" w:eastAsia="SimSun" w:hAnsi="Calibri"/>
          <w:bCs/>
          <w:szCs w:val="28"/>
        </w:rPr>
      </w:pPr>
      <w:r>
        <w:rPr>
          <w:rFonts w:ascii="Calibri" w:eastAsia="SimSun" w:hAnsi="Calibri"/>
          <w:bCs/>
          <w:szCs w:val="28"/>
        </w:rPr>
        <w:t>October</w:t>
      </w:r>
      <w:r w:rsidR="00300B79" w:rsidRPr="00300B79">
        <w:rPr>
          <w:rFonts w:ascii="Calibri" w:eastAsia="SimSun" w:hAnsi="Calibri"/>
          <w:bCs/>
          <w:szCs w:val="28"/>
        </w:rPr>
        <w:t xml:space="preserve"> 2020</w:t>
      </w:r>
    </w:p>
    <w:p w:rsidR="007F6B4E" w:rsidRPr="007F6B4E" w:rsidRDefault="007F6B4E" w:rsidP="007F6B4E">
      <w:pPr>
        <w:keepLines/>
        <w:spacing w:before="240" w:after="0" w:line="240" w:lineRule="auto"/>
        <w:jc w:val="center"/>
        <w:outlineLvl w:val="0"/>
        <w:rPr>
          <w:rFonts w:ascii="Calibri" w:eastAsia="SimSun" w:hAnsi="Calibri"/>
          <w:b/>
          <w:bCs/>
          <w:sz w:val="36"/>
          <w:szCs w:val="36"/>
          <w:lang w:eastAsia="en-AU"/>
        </w:rPr>
      </w:pPr>
      <w:r w:rsidRPr="007F6B4E">
        <w:rPr>
          <w:rFonts w:ascii="Calibri" w:eastAsia="SimSun" w:hAnsi="Calibri"/>
          <w:b/>
          <w:bCs/>
          <w:sz w:val="36"/>
          <w:szCs w:val="28"/>
        </w:rPr>
        <w:t>Summary of the Risk Assessment and Risk Management Plan</w:t>
      </w:r>
      <w:bookmarkStart w:id="10" w:name="_Toc475693826"/>
      <w:bookmarkStart w:id="11" w:name="_Toc475694208"/>
      <w:bookmarkStart w:id="12" w:name="_Toc475694681"/>
      <w:bookmarkEnd w:id="0"/>
      <w:bookmarkEnd w:id="1"/>
    </w:p>
    <w:p w:rsidR="007F6B4E" w:rsidRPr="007F6B4E" w:rsidRDefault="007F6B4E" w:rsidP="007F6B4E">
      <w:pPr>
        <w:spacing w:before="120" w:after="120" w:line="240" w:lineRule="auto"/>
        <w:jc w:val="center"/>
        <w:rPr>
          <w:rFonts w:ascii="Calibri" w:eastAsia="SimSun" w:hAnsi="Calibri"/>
          <w:sz w:val="18"/>
          <w:lang w:eastAsia="en-AU"/>
        </w:rPr>
      </w:pPr>
      <w:proofErr w:type="gramStart"/>
      <w:r w:rsidRPr="007F6B4E">
        <w:rPr>
          <w:rFonts w:ascii="Calibri" w:eastAsia="Calibri" w:hAnsi="Calibri"/>
          <w:b/>
          <w:sz w:val="28"/>
          <w:szCs w:val="36"/>
        </w:rPr>
        <w:t>for</w:t>
      </w:r>
      <w:bookmarkEnd w:id="10"/>
      <w:bookmarkEnd w:id="11"/>
      <w:bookmarkEnd w:id="12"/>
      <w:proofErr w:type="gramEnd"/>
    </w:p>
    <w:p w:rsidR="007F6B4E" w:rsidRPr="007F6B4E" w:rsidRDefault="007F6B4E" w:rsidP="007F6B4E">
      <w:pPr>
        <w:spacing w:before="120" w:after="120" w:line="240" w:lineRule="auto"/>
        <w:jc w:val="center"/>
        <w:rPr>
          <w:rFonts w:ascii="Calibri" w:eastAsia="Calibri" w:hAnsi="Calibri"/>
          <w:b/>
          <w:sz w:val="36"/>
          <w:szCs w:val="36"/>
        </w:rPr>
      </w:pPr>
      <w:r w:rsidRPr="007F6B4E">
        <w:rPr>
          <w:rFonts w:ascii="Calibri" w:eastAsia="Calibri" w:hAnsi="Calibri"/>
          <w:b/>
          <w:sz w:val="36"/>
          <w:szCs w:val="36"/>
        </w:rPr>
        <w:t>Licence Application No. DIR 17</w:t>
      </w:r>
      <w:r w:rsidR="003649C0">
        <w:rPr>
          <w:rFonts w:ascii="Calibri" w:eastAsia="Calibri" w:hAnsi="Calibri"/>
          <w:b/>
          <w:sz w:val="36"/>
          <w:szCs w:val="36"/>
        </w:rPr>
        <w:t>3</w:t>
      </w:r>
    </w:p>
    <w:p w:rsidR="007F6B4E" w:rsidRPr="007F6B4E" w:rsidRDefault="007F6B4E" w:rsidP="007F6B4E">
      <w:pPr>
        <w:keepNext/>
        <w:keepLines/>
        <w:spacing w:before="240" w:after="120" w:line="240" w:lineRule="auto"/>
        <w:rPr>
          <w:rFonts w:ascii="Calibri" w:eastAsia="Times New Roman" w:hAnsi="Calibri"/>
          <w:b/>
          <w:bCs/>
          <w:i/>
          <w:szCs w:val="28"/>
          <w:lang w:eastAsia="en-AU"/>
        </w:rPr>
      </w:pPr>
      <w:bookmarkStart w:id="13" w:name="_Toc427320058"/>
      <w:bookmarkEnd w:id="2"/>
      <w:bookmarkEnd w:id="3"/>
      <w:bookmarkEnd w:id="4"/>
      <w:bookmarkEnd w:id="5"/>
      <w:bookmarkEnd w:id="6"/>
      <w:bookmarkEnd w:id="7"/>
      <w:bookmarkEnd w:id="8"/>
      <w:r w:rsidRPr="007F6B4E">
        <w:rPr>
          <w:rFonts w:ascii="Calibri" w:eastAsia="Times New Roman" w:hAnsi="Calibri"/>
          <w:b/>
          <w:bCs/>
          <w:i/>
          <w:szCs w:val="28"/>
          <w:lang w:eastAsia="en-AU"/>
        </w:rPr>
        <w:t>Decision</w:t>
      </w:r>
    </w:p>
    <w:p w:rsidR="007F6B4E" w:rsidRPr="007F6B4E" w:rsidRDefault="003649C0" w:rsidP="003649C0">
      <w:pPr>
        <w:spacing w:before="120" w:after="120" w:line="240" w:lineRule="auto"/>
        <w:rPr>
          <w:rFonts w:ascii="Calibri" w:eastAsia="Calibri" w:hAnsi="Calibri"/>
          <w:sz w:val="22"/>
          <w:szCs w:val="22"/>
          <w:lang w:eastAsia="en-AU"/>
        </w:rPr>
      </w:pPr>
      <w:r w:rsidRPr="003649C0">
        <w:rPr>
          <w:rFonts w:ascii="Calibri" w:eastAsia="Calibri" w:hAnsi="Calibri"/>
          <w:sz w:val="22"/>
          <w:szCs w:val="22"/>
          <w:lang w:eastAsia="en-AU"/>
        </w:rPr>
        <w:t xml:space="preserve">The Gene Technology Regulator (the Regulator) has decided to issue a licence for this application for the intentional, commercial scale release of herbicide tolerant genetically modified (GM) cotton in Australia. A Risk Assessment and Risk Management Plan (RARMP) for this application was prepared by the Regulator in accordance with the requirements of the </w:t>
      </w:r>
      <w:r w:rsidRPr="00195837">
        <w:rPr>
          <w:rFonts w:ascii="Calibri" w:eastAsia="Calibri" w:hAnsi="Calibri"/>
          <w:i/>
          <w:sz w:val="22"/>
          <w:szCs w:val="22"/>
          <w:lang w:eastAsia="en-AU"/>
        </w:rPr>
        <w:t>Gene Technology Act 2000</w:t>
      </w:r>
      <w:r w:rsidRPr="003649C0">
        <w:rPr>
          <w:rFonts w:ascii="Calibri" w:eastAsia="Calibri" w:hAnsi="Calibri"/>
          <w:sz w:val="22"/>
          <w:szCs w:val="22"/>
          <w:lang w:eastAsia="en-AU"/>
        </w:rPr>
        <w:t xml:space="preserve"> (the Act) and corresponding state and territory legislation, and finalised following consultation with a wide range of experts, agencies and authorities, and the public. The RARMP concludes that this commercial release poses negligible risks to human health and safety and the environment and no specific risk treatment measures are imposed. However, general licence conditions have been imposed to ensure that there is ongoing oversight of the release.</w:t>
      </w:r>
    </w:p>
    <w:p w:rsidR="007F6B4E" w:rsidRPr="007F6B4E" w:rsidRDefault="007F6B4E" w:rsidP="007F6B4E">
      <w:pPr>
        <w:keepNext/>
        <w:keepLines/>
        <w:spacing w:before="240" w:after="120" w:line="240" w:lineRule="auto"/>
        <w:rPr>
          <w:rFonts w:ascii="Calibri" w:eastAsia="Times New Roman" w:hAnsi="Calibri"/>
          <w:b/>
          <w:bCs/>
          <w:i/>
          <w:szCs w:val="28"/>
          <w:lang w:eastAsia="en-AU"/>
        </w:rPr>
      </w:pPr>
      <w:r w:rsidRPr="007F6B4E">
        <w:rPr>
          <w:rFonts w:ascii="Calibri" w:eastAsia="Times New Roman" w:hAnsi="Calibri"/>
          <w:b/>
          <w:bCs/>
          <w:i/>
          <w:szCs w:val="28"/>
          <w:lang w:eastAsia="en-AU"/>
        </w:rPr>
        <w:t>The application</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he application"/>
        <w:tblDescription w:val="This table provides information about the licence application at a glance. The table has seven rows, one each for Application Number, Applicant, Project title, Parent organism, Introduced gene and modified trait, Proposed locations, and Primary Purpose."/>
      </w:tblPr>
      <w:tblGrid>
        <w:gridCol w:w="2291"/>
        <w:gridCol w:w="6883"/>
      </w:tblGrid>
      <w:tr w:rsidR="003649C0" w:rsidRPr="003649C0" w:rsidTr="00881488">
        <w:trPr>
          <w:cantSplit/>
          <w:trHeight w:val="454"/>
        </w:trPr>
        <w:tc>
          <w:tcPr>
            <w:tcW w:w="2376" w:type="dxa"/>
            <w:tcBorders>
              <w:top w:val="single" w:sz="4" w:space="0" w:color="auto"/>
              <w:left w:val="single" w:sz="4" w:space="0" w:color="auto"/>
              <w:bottom w:val="single" w:sz="4" w:space="0" w:color="auto"/>
              <w:right w:val="single" w:sz="4" w:space="0" w:color="auto"/>
            </w:tcBorders>
            <w:hideMark/>
          </w:tcPr>
          <w:p w:rsidR="003649C0" w:rsidRPr="003649C0" w:rsidRDefault="003649C0" w:rsidP="003649C0">
            <w:pPr>
              <w:spacing w:before="120" w:after="120" w:line="240" w:lineRule="auto"/>
              <w:rPr>
                <w:rFonts w:ascii="Calibri" w:eastAsia="Calibri" w:hAnsi="Calibri"/>
                <w:sz w:val="22"/>
                <w:lang w:eastAsia="en-AU"/>
              </w:rPr>
            </w:pPr>
            <w:r w:rsidRPr="003649C0">
              <w:rPr>
                <w:rFonts w:ascii="Calibri" w:eastAsia="Calibri" w:hAnsi="Calibri"/>
                <w:sz w:val="22"/>
                <w:lang w:eastAsia="en-AU"/>
              </w:rPr>
              <w:t>Application number</w:t>
            </w:r>
          </w:p>
        </w:tc>
        <w:tc>
          <w:tcPr>
            <w:tcW w:w="7230" w:type="dxa"/>
            <w:tcBorders>
              <w:top w:val="single" w:sz="4" w:space="0" w:color="auto"/>
              <w:left w:val="single" w:sz="4" w:space="0" w:color="auto"/>
              <w:bottom w:val="single" w:sz="4" w:space="0" w:color="auto"/>
              <w:right w:val="single" w:sz="4" w:space="0" w:color="auto"/>
            </w:tcBorders>
            <w:hideMark/>
          </w:tcPr>
          <w:p w:rsidR="003649C0" w:rsidRPr="003649C0" w:rsidRDefault="003649C0" w:rsidP="003649C0">
            <w:pPr>
              <w:spacing w:before="120" w:after="120" w:line="240" w:lineRule="auto"/>
              <w:rPr>
                <w:rFonts w:ascii="Calibri" w:eastAsia="Calibri" w:hAnsi="Calibri"/>
                <w:sz w:val="22"/>
                <w:lang w:eastAsia="en-AU"/>
              </w:rPr>
            </w:pPr>
            <w:r w:rsidRPr="003649C0">
              <w:rPr>
                <w:rFonts w:ascii="Calibri" w:eastAsia="Calibri" w:hAnsi="Calibri"/>
                <w:sz w:val="22"/>
                <w:lang w:eastAsia="en-AU"/>
              </w:rPr>
              <w:t>DIR 173</w:t>
            </w:r>
          </w:p>
        </w:tc>
      </w:tr>
      <w:tr w:rsidR="003649C0" w:rsidRPr="003649C0" w:rsidTr="00881488">
        <w:trPr>
          <w:cantSplit/>
          <w:trHeight w:val="454"/>
        </w:trPr>
        <w:tc>
          <w:tcPr>
            <w:tcW w:w="2376" w:type="dxa"/>
            <w:tcBorders>
              <w:top w:val="single" w:sz="4" w:space="0" w:color="auto"/>
              <w:left w:val="single" w:sz="4" w:space="0" w:color="auto"/>
              <w:bottom w:val="single" w:sz="4" w:space="0" w:color="auto"/>
              <w:right w:val="single" w:sz="4" w:space="0" w:color="auto"/>
            </w:tcBorders>
            <w:hideMark/>
          </w:tcPr>
          <w:p w:rsidR="003649C0" w:rsidRPr="003649C0" w:rsidRDefault="003649C0" w:rsidP="003649C0">
            <w:pPr>
              <w:spacing w:before="120" w:after="120" w:line="240" w:lineRule="auto"/>
              <w:rPr>
                <w:rFonts w:ascii="Calibri" w:eastAsia="Calibri" w:hAnsi="Calibri"/>
                <w:sz w:val="22"/>
                <w:lang w:eastAsia="en-AU"/>
              </w:rPr>
            </w:pPr>
            <w:r w:rsidRPr="003649C0">
              <w:rPr>
                <w:rFonts w:ascii="Calibri" w:eastAsia="Calibri" w:hAnsi="Calibri"/>
                <w:sz w:val="22"/>
                <w:lang w:eastAsia="en-AU"/>
              </w:rPr>
              <w:t>Applicant</w:t>
            </w:r>
          </w:p>
        </w:tc>
        <w:tc>
          <w:tcPr>
            <w:tcW w:w="7230" w:type="dxa"/>
            <w:tcBorders>
              <w:top w:val="single" w:sz="4" w:space="0" w:color="auto"/>
              <w:left w:val="single" w:sz="4" w:space="0" w:color="auto"/>
              <w:bottom w:val="single" w:sz="4" w:space="0" w:color="auto"/>
              <w:right w:val="single" w:sz="4" w:space="0" w:color="auto"/>
            </w:tcBorders>
            <w:hideMark/>
          </w:tcPr>
          <w:p w:rsidR="003649C0" w:rsidRPr="003649C0" w:rsidRDefault="003649C0" w:rsidP="003649C0">
            <w:pPr>
              <w:spacing w:before="120" w:after="120" w:line="240" w:lineRule="auto"/>
              <w:rPr>
                <w:rFonts w:ascii="Calibri" w:eastAsia="Calibri" w:hAnsi="Calibri"/>
                <w:sz w:val="22"/>
                <w:lang w:eastAsia="en-AU"/>
              </w:rPr>
            </w:pPr>
            <w:r w:rsidRPr="003649C0">
              <w:rPr>
                <w:rFonts w:ascii="Calibri" w:eastAsia="Calibri" w:hAnsi="Calibri"/>
                <w:sz w:val="22"/>
                <w:lang w:eastAsia="en-AU"/>
              </w:rPr>
              <w:t>Monsanto Australia Pty Ltd (Monsanto)</w:t>
            </w:r>
          </w:p>
        </w:tc>
      </w:tr>
      <w:tr w:rsidR="003649C0" w:rsidRPr="003649C0" w:rsidTr="00881488">
        <w:trPr>
          <w:cantSplit/>
          <w:trHeight w:val="454"/>
        </w:trPr>
        <w:tc>
          <w:tcPr>
            <w:tcW w:w="2376" w:type="dxa"/>
            <w:tcBorders>
              <w:top w:val="single" w:sz="4" w:space="0" w:color="auto"/>
              <w:left w:val="single" w:sz="4" w:space="0" w:color="auto"/>
              <w:bottom w:val="single" w:sz="4" w:space="0" w:color="auto"/>
              <w:right w:val="single" w:sz="4" w:space="0" w:color="auto"/>
            </w:tcBorders>
            <w:hideMark/>
          </w:tcPr>
          <w:p w:rsidR="003649C0" w:rsidRPr="003649C0" w:rsidRDefault="003649C0" w:rsidP="003649C0">
            <w:pPr>
              <w:spacing w:before="120" w:after="120" w:line="240" w:lineRule="auto"/>
              <w:rPr>
                <w:rFonts w:ascii="Calibri" w:eastAsia="Calibri" w:hAnsi="Calibri"/>
                <w:sz w:val="22"/>
                <w:lang w:eastAsia="en-AU"/>
              </w:rPr>
            </w:pPr>
            <w:r w:rsidRPr="003649C0">
              <w:rPr>
                <w:rFonts w:ascii="Calibri" w:eastAsia="Calibri" w:hAnsi="Calibri"/>
                <w:sz w:val="22"/>
                <w:lang w:eastAsia="en-AU"/>
              </w:rPr>
              <w:t>Project title</w:t>
            </w:r>
          </w:p>
        </w:tc>
        <w:tc>
          <w:tcPr>
            <w:tcW w:w="7230" w:type="dxa"/>
            <w:tcBorders>
              <w:top w:val="single" w:sz="4" w:space="0" w:color="auto"/>
              <w:left w:val="single" w:sz="4" w:space="0" w:color="auto"/>
              <w:bottom w:val="single" w:sz="4" w:space="0" w:color="auto"/>
              <w:right w:val="single" w:sz="4" w:space="0" w:color="auto"/>
            </w:tcBorders>
            <w:hideMark/>
          </w:tcPr>
          <w:p w:rsidR="003649C0" w:rsidRPr="003649C0" w:rsidRDefault="003649C0" w:rsidP="003649C0">
            <w:pPr>
              <w:spacing w:before="120" w:after="120" w:line="240" w:lineRule="auto"/>
              <w:rPr>
                <w:rFonts w:ascii="Calibri" w:eastAsia="Calibri" w:hAnsi="Calibri"/>
                <w:sz w:val="22"/>
                <w:lang w:eastAsia="en-AU"/>
              </w:rPr>
            </w:pPr>
            <w:r w:rsidRPr="003649C0">
              <w:rPr>
                <w:rFonts w:ascii="Calibri" w:eastAsia="Calibri" w:hAnsi="Calibri"/>
                <w:sz w:val="22"/>
                <w:lang w:eastAsia="en-AU"/>
              </w:rPr>
              <w:t>Commercial release of cotton genetically modified for herbicide tolerance (MON 88701)</w:t>
            </w:r>
            <w:r w:rsidRPr="003649C0">
              <w:rPr>
                <w:rFonts w:ascii="Calibri" w:eastAsia="Calibri" w:hAnsi="Calibri"/>
                <w:sz w:val="22"/>
                <w:vertAlign w:val="superscript"/>
                <w:lang w:eastAsia="en-AU"/>
              </w:rPr>
              <w:footnoteReference w:id="1"/>
            </w:r>
          </w:p>
        </w:tc>
      </w:tr>
      <w:tr w:rsidR="003649C0" w:rsidRPr="003649C0" w:rsidTr="00881488">
        <w:trPr>
          <w:cantSplit/>
          <w:trHeight w:val="454"/>
        </w:trPr>
        <w:tc>
          <w:tcPr>
            <w:tcW w:w="2376" w:type="dxa"/>
            <w:tcBorders>
              <w:top w:val="single" w:sz="4" w:space="0" w:color="auto"/>
              <w:left w:val="single" w:sz="4" w:space="0" w:color="auto"/>
              <w:bottom w:val="single" w:sz="4" w:space="0" w:color="auto"/>
              <w:right w:val="single" w:sz="4" w:space="0" w:color="auto"/>
            </w:tcBorders>
            <w:hideMark/>
          </w:tcPr>
          <w:p w:rsidR="003649C0" w:rsidRPr="003649C0" w:rsidRDefault="003649C0" w:rsidP="003649C0">
            <w:pPr>
              <w:spacing w:before="120" w:after="120" w:line="240" w:lineRule="auto"/>
              <w:rPr>
                <w:rFonts w:ascii="Calibri" w:eastAsia="Calibri" w:hAnsi="Calibri"/>
                <w:sz w:val="22"/>
                <w:lang w:eastAsia="en-AU"/>
              </w:rPr>
            </w:pPr>
            <w:r w:rsidRPr="003649C0">
              <w:rPr>
                <w:rFonts w:ascii="Calibri" w:eastAsia="Calibri" w:hAnsi="Calibri"/>
                <w:sz w:val="22"/>
                <w:lang w:eastAsia="en-AU"/>
              </w:rPr>
              <w:t>Parent organism</w:t>
            </w:r>
          </w:p>
        </w:tc>
        <w:tc>
          <w:tcPr>
            <w:tcW w:w="7230" w:type="dxa"/>
            <w:tcBorders>
              <w:top w:val="single" w:sz="4" w:space="0" w:color="auto"/>
              <w:left w:val="single" w:sz="4" w:space="0" w:color="auto"/>
              <w:bottom w:val="single" w:sz="4" w:space="0" w:color="auto"/>
              <w:right w:val="single" w:sz="4" w:space="0" w:color="auto"/>
            </w:tcBorders>
            <w:hideMark/>
          </w:tcPr>
          <w:p w:rsidR="003649C0" w:rsidRPr="003649C0" w:rsidRDefault="003649C0" w:rsidP="003649C0">
            <w:pPr>
              <w:spacing w:before="120" w:after="120" w:line="240" w:lineRule="auto"/>
              <w:rPr>
                <w:rFonts w:ascii="Calibri" w:eastAsia="Calibri" w:hAnsi="Calibri"/>
                <w:sz w:val="22"/>
                <w:lang w:eastAsia="en-AU"/>
              </w:rPr>
            </w:pPr>
            <w:proofErr w:type="spellStart"/>
            <w:r w:rsidRPr="003649C0">
              <w:rPr>
                <w:rFonts w:ascii="Calibri" w:eastAsia="Calibri" w:hAnsi="Calibri"/>
                <w:i/>
                <w:sz w:val="22"/>
                <w:lang w:eastAsia="en-AU"/>
              </w:rPr>
              <w:t>Gossypium</w:t>
            </w:r>
            <w:proofErr w:type="spellEnd"/>
            <w:r w:rsidRPr="003649C0">
              <w:rPr>
                <w:rFonts w:ascii="Calibri" w:eastAsia="Calibri" w:hAnsi="Calibri"/>
                <w:i/>
                <w:sz w:val="22"/>
                <w:lang w:eastAsia="en-AU"/>
              </w:rPr>
              <w:t xml:space="preserve"> </w:t>
            </w:r>
            <w:proofErr w:type="spellStart"/>
            <w:r w:rsidRPr="003649C0">
              <w:rPr>
                <w:rFonts w:ascii="Calibri" w:eastAsia="Calibri" w:hAnsi="Calibri"/>
                <w:i/>
                <w:sz w:val="22"/>
                <w:lang w:eastAsia="en-AU"/>
              </w:rPr>
              <w:t>hirsutum</w:t>
            </w:r>
            <w:proofErr w:type="spellEnd"/>
            <w:r w:rsidRPr="003649C0">
              <w:rPr>
                <w:rFonts w:ascii="Calibri" w:eastAsia="Calibri" w:hAnsi="Calibri"/>
                <w:sz w:val="22"/>
                <w:lang w:eastAsia="en-AU"/>
              </w:rPr>
              <w:t xml:space="preserve"> L. (cotton)</w:t>
            </w:r>
          </w:p>
        </w:tc>
      </w:tr>
      <w:tr w:rsidR="003649C0" w:rsidRPr="003649C0" w:rsidTr="00881488">
        <w:trPr>
          <w:cantSplit/>
          <w:trHeight w:val="454"/>
        </w:trPr>
        <w:tc>
          <w:tcPr>
            <w:tcW w:w="2376" w:type="dxa"/>
            <w:tcBorders>
              <w:top w:val="single" w:sz="4" w:space="0" w:color="auto"/>
              <w:left w:val="single" w:sz="4" w:space="0" w:color="auto"/>
              <w:bottom w:val="single" w:sz="4" w:space="0" w:color="auto"/>
              <w:right w:val="single" w:sz="4" w:space="0" w:color="auto"/>
            </w:tcBorders>
            <w:hideMark/>
          </w:tcPr>
          <w:p w:rsidR="003649C0" w:rsidRPr="003649C0" w:rsidRDefault="003649C0" w:rsidP="003649C0">
            <w:pPr>
              <w:spacing w:before="120" w:after="120" w:line="240" w:lineRule="auto"/>
              <w:rPr>
                <w:rFonts w:ascii="Calibri" w:eastAsia="Calibri" w:hAnsi="Calibri"/>
                <w:sz w:val="22"/>
                <w:lang w:eastAsia="en-AU"/>
              </w:rPr>
            </w:pPr>
            <w:r w:rsidRPr="003649C0">
              <w:rPr>
                <w:rFonts w:ascii="Calibri" w:eastAsia="Calibri" w:hAnsi="Calibri"/>
                <w:sz w:val="22"/>
                <w:lang w:eastAsia="en-AU"/>
              </w:rPr>
              <w:t>Introduced gene and modified trait</w:t>
            </w:r>
          </w:p>
        </w:tc>
        <w:tc>
          <w:tcPr>
            <w:tcW w:w="7230" w:type="dxa"/>
            <w:tcBorders>
              <w:top w:val="single" w:sz="4" w:space="0" w:color="auto"/>
              <w:left w:val="single" w:sz="4" w:space="0" w:color="auto"/>
              <w:bottom w:val="single" w:sz="4" w:space="0" w:color="auto"/>
              <w:right w:val="single" w:sz="4" w:space="0" w:color="auto"/>
            </w:tcBorders>
            <w:hideMark/>
          </w:tcPr>
          <w:p w:rsidR="003649C0" w:rsidRPr="003649C0" w:rsidRDefault="003649C0" w:rsidP="003649C0">
            <w:pPr>
              <w:numPr>
                <w:ilvl w:val="0"/>
                <w:numId w:val="9"/>
              </w:numPr>
              <w:spacing w:before="120" w:after="120" w:line="240" w:lineRule="auto"/>
              <w:rPr>
                <w:rFonts w:ascii="Calibri" w:eastAsia="Calibri" w:hAnsi="Calibri"/>
                <w:sz w:val="22"/>
                <w:lang w:eastAsia="en-AU"/>
              </w:rPr>
            </w:pPr>
            <w:proofErr w:type="spellStart"/>
            <w:r w:rsidRPr="003649C0">
              <w:rPr>
                <w:rFonts w:ascii="Calibri" w:eastAsia="Calibri" w:hAnsi="Calibri"/>
                <w:i/>
                <w:sz w:val="22"/>
                <w:lang w:eastAsia="en-AU"/>
              </w:rPr>
              <w:t>dmo</w:t>
            </w:r>
            <w:proofErr w:type="spellEnd"/>
            <w:r w:rsidRPr="003649C0">
              <w:rPr>
                <w:rFonts w:ascii="Calibri" w:eastAsia="Calibri" w:hAnsi="Calibri"/>
                <w:sz w:val="22"/>
                <w:lang w:eastAsia="en-AU"/>
              </w:rPr>
              <w:t xml:space="preserve"> gene from</w:t>
            </w:r>
            <w:r w:rsidRPr="003649C0">
              <w:rPr>
                <w:rFonts w:ascii="Calibri" w:eastAsia="Calibri" w:hAnsi="Calibri"/>
                <w:i/>
                <w:sz w:val="22"/>
                <w:lang w:eastAsia="en-AU"/>
              </w:rPr>
              <w:t xml:space="preserve"> </w:t>
            </w:r>
            <w:proofErr w:type="spellStart"/>
            <w:r w:rsidRPr="003649C0">
              <w:rPr>
                <w:rFonts w:ascii="Calibri" w:eastAsia="Calibri" w:hAnsi="Calibri"/>
                <w:i/>
                <w:iCs/>
                <w:sz w:val="22"/>
                <w:lang w:eastAsia="en-AU"/>
              </w:rPr>
              <w:t>Stenotophomonas</w:t>
            </w:r>
            <w:proofErr w:type="spellEnd"/>
            <w:r w:rsidRPr="003649C0">
              <w:rPr>
                <w:rFonts w:ascii="Calibri" w:eastAsia="Calibri" w:hAnsi="Calibri"/>
                <w:i/>
                <w:iCs/>
                <w:sz w:val="22"/>
                <w:lang w:eastAsia="en-AU"/>
              </w:rPr>
              <w:t xml:space="preserve"> </w:t>
            </w:r>
            <w:proofErr w:type="spellStart"/>
            <w:r w:rsidRPr="003649C0">
              <w:rPr>
                <w:rFonts w:ascii="Calibri" w:eastAsia="Calibri" w:hAnsi="Calibri"/>
                <w:i/>
                <w:iCs/>
                <w:sz w:val="22"/>
                <w:lang w:eastAsia="en-AU"/>
              </w:rPr>
              <w:t>maltophilia</w:t>
            </w:r>
            <w:proofErr w:type="spellEnd"/>
            <w:r w:rsidRPr="003649C0">
              <w:rPr>
                <w:rFonts w:ascii="Calibri" w:eastAsia="Calibri" w:hAnsi="Calibri"/>
                <w:iCs/>
                <w:sz w:val="22"/>
                <w:lang w:eastAsia="en-AU"/>
              </w:rPr>
              <w:t xml:space="preserve"> for </w:t>
            </w:r>
            <w:proofErr w:type="spellStart"/>
            <w:r w:rsidRPr="003649C0">
              <w:rPr>
                <w:rFonts w:ascii="Calibri" w:eastAsia="Calibri" w:hAnsi="Calibri"/>
                <w:iCs/>
                <w:sz w:val="22"/>
                <w:lang w:eastAsia="en-AU"/>
              </w:rPr>
              <w:t>dicamba</w:t>
            </w:r>
            <w:proofErr w:type="spellEnd"/>
            <w:r w:rsidRPr="003649C0">
              <w:rPr>
                <w:rFonts w:ascii="Calibri" w:eastAsia="Calibri" w:hAnsi="Calibri"/>
                <w:iCs/>
                <w:sz w:val="22"/>
                <w:lang w:eastAsia="en-AU"/>
              </w:rPr>
              <w:t xml:space="preserve"> tolerance</w:t>
            </w:r>
          </w:p>
          <w:p w:rsidR="003649C0" w:rsidRPr="003649C0" w:rsidRDefault="003649C0" w:rsidP="003649C0">
            <w:pPr>
              <w:numPr>
                <w:ilvl w:val="0"/>
                <w:numId w:val="9"/>
              </w:numPr>
              <w:spacing w:before="120" w:after="120" w:line="240" w:lineRule="auto"/>
              <w:rPr>
                <w:rFonts w:ascii="Calibri" w:eastAsia="Calibri" w:hAnsi="Calibri"/>
                <w:sz w:val="22"/>
                <w:lang w:eastAsia="en-AU"/>
              </w:rPr>
            </w:pPr>
            <w:r w:rsidRPr="003649C0">
              <w:rPr>
                <w:rFonts w:ascii="Calibri" w:eastAsia="Calibri" w:hAnsi="Calibri"/>
                <w:i/>
                <w:iCs/>
                <w:sz w:val="22"/>
                <w:lang w:eastAsia="en-AU"/>
              </w:rPr>
              <w:t>bar</w:t>
            </w:r>
            <w:r w:rsidRPr="003649C0">
              <w:rPr>
                <w:rFonts w:ascii="Calibri" w:eastAsia="Calibri" w:hAnsi="Calibri"/>
                <w:iCs/>
                <w:sz w:val="22"/>
                <w:lang w:eastAsia="en-AU"/>
              </w:rPr>
              <w:t xml:space="preserve"> gene</w:t>
            </w:r>
            <w:r w:rsidRPr="003649C0">
              <w:rPr>
                <w:rFonts w:ascii="Calibri" w:eastAsia="Calibri" w:hAnsi="Calibri"/>
                <w:sz w:val="22"/>
                <w:lang w:eastAsia="en-AU"/>
              </w:rPr>
              <w:t xml:space="preserve"> from </w:t>
            </w:r>
            <w:r w:rsidRPr="003649C0">
              <w:rPr>
                <w:rFonts w:ascii="Calibri" w:eastAsia="Calibri" w:hAnsi="Calibri"/>
                <w:i/>
                <w:iCs/>
                <w:sz w:val="22"/>
                <w:lang w:eastAsia="en-AU"/>
              </w:rPr>
              <w:t xml:space="preserve">Streptomyces </w:t>
            </w:r>
            <w:proofErr w:type="spellStart"/>
            <w:r w:rsidRPr="003649C0">
              <w:rPr>
                <w:rFonts w:ascii="Calibri" w:eastAsia="Calibri" w:hAnsi="Calibri"/>
                <w:i/>
                <w:iCs/>
                <w:sz w:val="22"/>
                <w:lang w:eastAsia="en-AU"/>
              </w:rPr>
              <w:t>hygroscopicus</w:t>
            </w:r>
            <w:proofErr w:type="spellEnd"/>
            <w:r w:rsidRPr="003649C0">
              <w:rPr>
                <w:rFonts w:ascii="Calibri" w:eastAsia="Calibri" w:hAnsi="Calibri"/>
                <w:i/>
                <w:iCs/>
                <w:sz w:val="22"/>
                <w:lang w:eastAsia="en-AU"/>
              </w:rPr>
              <w:t xml:space="preserve"> </w:t>
            </w:r>
            <w:r w:rsidRPr="003649C0">
              <w:rPr>
                <w:rFonts w:ascii="Calibri" w:eastAsia="Calibri" w:hAnsi="Calibri"/>
                <w:iCs/>
                <w:sz w:val="22"/>
                <w:lang w:eastAsia="en-AU"/>
              </w:rPr>
              <w:t>for</w:t>
            </w:r>
            <w:r w:rsidRPr="003649C0">
              <w:rPr>
                <w:rFonts w:ascii="Calibri" w:eastAsia="Calibri" w:hAnsi="Calibri"/>
                <w:i/>
                <w:iCs/>
                <w:sz w:val="22"/>
                <w:lang w:eastAsia="en-AU"/>
              </w:rPr>
              <w:t xml:space="preserve"> </w:t>
            </w:r>
            <w:proofErr w:type="spellStart"/>
            <w:r w:rsidRPr="003649C0">
              <w:rPr>
                <w:rFonts w:ascii="Calibri" w:eastAsia="Calibri" w:hAnsi="Calibri"/>
                <w:iCs/>
                <w:sz w:val="22"/>
                <w:lang w:eastAsia="en-AU"/>
              </w:rPr>
              <w:t>glufosinate</w:t>
            </w:r>
            <w:proofErr w:type="spellEnd"/>
            <w:r w:rsidRPr="003649C0">
              <w:rPr>
                <w:rFonts w:ascii="Calibri" w:eastAsia="Calibri" w:hAnsi="Calibri"/>
                <w:iCs/>
                <w:sz w:val="22"/>
                <w:lang w:eastAsia="en-AU"/>
              </w:rPr>
              <w:t xml:space="preserve"> tolerance</w:t>
            </w:r>
          </w:p>
        </w:tc>
      </w:tr>
      <w:tr w:rsidR="003649C0" w:rsidRPr="003649C0" w:rsidTr="00881488">
        <w:trPr>
          <w:cantSplit/>
          <w:trHeight w:val="454"/>
        </w:trPr>
        <w:tc>
          <w:tcPr>
            <w:tcW w:w="2376" w:type="dxa"/>
            <w:tcBorders>
              <w:top w:val="single" w:sz="4" w:space="0" w:color="auto"/>
              <w:left w:val="single" w:sz="4" w:space="0" w:color="auto"/>
              <w:bottom w:val="single" w:sz="4" w:space="0" w:color="auto"/>
              <w:right w:val="single" w:sz="4" w:space="0" w:color="auto"/>
            </w:tcBorders>
            <w:hideMark/>
          </w:tcPr>
          <w:p w:rsidR="003649C0" w:rsidRPr="003649C0" w:rsidRDefault="003649C0" w:rsidP="003649C0">
            <w:pPr>
              <w:spacing w:before="120" w:after="120" w:line="240" w:lineRule="auto"/>
              <w:rPr>
                <w:rFonts w:ascii="Calibri" w:eastAsia="Calibri" w:hAnsi="Calibri"/>
                <w:sz w:val="22"/>
                <w:lang w:eastAsia="en-AU"/>
              </w:rPr>
            </w:pPr>
            <w:r w:rsidRPr="003649C0">
              <w:rPr>
                <w:rFonts w:ascii="Calibri" w:eastAsia="Calibri" w:hAnsi="Calibri"/>
                <w:sz w:val="22"/>
                <w:lang w:eastAsia="en-AU"/>
              </w:rPr>
              <w:t>Proposed locations</w:t>
            </w:r>
          </w:p>
        </w:tc>
        <w:tc>
          <w:tcPr>
            <w:tcW w:w="7230" w:type="dxa"/>
            <w:tcBorders>
              <w:top w:val="single" w:sz="4" w:space="0" w:color="auto"/>
              <w:left w:val="single" w:sz="4" w:space="0" w:color="auto"/>
              <w:bottom w:val="single" w:sz="4" w:space="0" w:color="auto"/>
              <w:right w:val="single" w:sz="4" w:space="0" w:color="auto"/>
            </w:tcBorders>
            <w:hideMark/>
          </w:tcPr>
          <w:p w:rsidR="003649C0" w:rsidRPr="003649C0" w:rsidRDefault="003649C0" w:rsidP="003649C0">
            <w:pPr>
              <w:spacing w:before="120" w:after="120" w:line="240" w:lineRule="auto"/>
              <w:rPr>
                <w:rFonts w:ascii="Calibri" w:eastAsia="Calibri" w:hAnsi="Calibri"/>
                <w:sz w:val="22"/>
                <w:lang w:eastAsia="en-AU"/>
              </w:rPr>
            </w:pPr>
            <w:r w:rsidRPr="003649C0">
              <w:rPr>
                <w:rFonts w:ascii="Calibri" w:eastAsia="Calibri" w:hAnsi="Calibri"/>
                <w:sz w:val="22"/>
                <w:lang w:eastAsia="en-AU"/>
              </w:rPr>
              <w:t>Australia-wide</w:t>
            </w:r>
          </w:p>
        </w:tc>
      </w:tr>
      <w:tr w:rsidR="003649C0" w:rsidRPr="003649C0" w:rsidTr="00881488">
        <w:trPr>
          <w:cantSplit/>
          <w:trHeight w:val="454"/>
        </w:trPr>
        <w:tc>
          <w:tcPr>
            <w:tcW w:w="2376" w:type="dxa"/>
            <w:tcBorders>
              <w:top w:val="single" w:sz="4" w:space="0" w:color="auto"/>
              <w:left w:val="single" w:sz="4" w:space="0" w:color="auto"/>
              <w:bottom w:val="single" w:sz="4" w:space="0" w:color="auto"/>
              <w:right w:val="single" w:sz="4" w:space="0" w:color="auto"/>
            </w:tcBorders>
            <w:hideMark/>
          </w:tcPr>
          <w:p w:rsidR="003649C0" w:rsidRPr="003649C0" w:rsidRDefault="003649C0" w:rsidP="003649C0">
            <w:pPr>
              <w:spacing w:before="120" w:after="120" w:line="240" w:lineRule="auto"/>
              <w:rPr>
                <w:rFonts w:ascii="Calibri" w:eastAsia="Calibri" w:hAnsi="Calibri"/>
                <w:sz w:val="22"/>
                <w:lang w:eastAsia="en-AU"/>
              </w:rPr>
            </w:pPr>
            <w:r w:rsidRPr="003649C0">
              <w:rPr>
                <w:rFonts w:ascii="Calibri" w:eastAsia="Calibri" w:hAnsi="Calibri"/>
                <w:sz w:val="22"/>
                <w:lang w:eastAsia="en-AU"/>
              </w:rPr>
              <w:t xml:space="preserve">Primary purpose </w:t>
            </w:r>
          </w:p>
        </w:tc>
        <w:tc>
          <w:tcPr>
            <w:tcW w:w="7230" w:type="dxa"/>
            <w:tcBorders>
              <w:top w:val="single" w:sz="4" w:space="0" w:color="auto"/>
              <w:left w:val="single" w:sz="4" w:space="0" w:color="auto"/>
              <w:bottom w:val="single" w:sz="4" w:space="0" w:color="auto"/>
              <w:right w:val="single" w:sz="4" w:space="0" w:color="auto"/>
            </w:tcBorders>
            <w:hideMark/>
          </w:tcPr>
          <w:p w:rsidR="003649C0" w:rsidRPr="003649C0" w:rsidRDefault="003649C0" w:rsidP="003649C0">
            <w:pPr>
              <w:spacing w:before="120" w:after="120" w:line="240" w:lineRule="auto"/>
              <w:rPr>
                <w:rFonts w:ascii="Calibri" w:eastAsia="Calibri" w:hAnsi="Calibri"/>
                <w:sz w:val="22"/>
                <w:lang w:eastAsia="en-AU"/>
              </w:rPr>
            </w:pPr>
            <w:r w:rsidRPr="003649C0">
              <w:rPr>
                <w:rFonts w:ascii="Calibri" w:eastAsia="Calibri" w:hAnsi="Calibri"/>
                <w:sz w:val="22"/>
                <w:lang w:eastAsia="en-AU"/>
              </w:rPr>
              <w:t>Commercial release of the GM cotton</w:t>
            </w:r>
          </w:p>
        </w:tc>
      </w:tr>
    </w:tbl>
    <w:p w:rsidR="007F6B4E" w:rsidRPr="007F6B4E" w:rsidRDefault="007F6B4E" w:rsidP="007F6B4E">
      <w:pPr>
        <w:keepNext/>
        <w:keepLines/>
        <w:spacing w:before="240" w:after="120" w:line="240" w:lineRule="auto"/>
        <w:rPr>
          <w:rFonts w:ascii="Calibri" w:eastAsia="SimSun" w:hAnsi="Calibri"/>
          <w:b/>
          <w:bCs/>
          <w:i/>
          <w:szCs w:val="28"/>
          <w:lang w:eastAsia="en-AU"/>
        </w:rPr>
      </w:pPr>
      <w:bookmarkStart w:id="14" w:name="_Toc209859549"/>
      <w:bookmarkStart w:id="15" w:name="_Toc274904728"/>
      <w:bookmarkStart w:id="16" w:name="_Toc291151778"/>
      <w:bookmarkStart w:id="17" w:name="_Toc355007997"/>
      <w:bookmarkStart w:id="18" w:name="_Toc465862036"/>
      <w:bookmarkStart w:id="19" w:name="_Toc466627806"/>
      <w:r w:rsidRPr="007F6B4E">
        <w:rPr>
          <w:rFonts w:ascii="Calibri" w:eastAsia="SimSun" w:hAnsi="Calibri"/>
          <w:b/>
          <w:bCs/>
          <w:i/>
          <w:szCs w:val="28"/>
          <w:lang w:eastAsia="en-AU"/>
        </w:rPr>
        <w:lastRenderedPageBreak/>
        <w:t>Risk assessment</w:t>
      </w:r>
    </w:p>
    <w:p w:rsidR="003649C0" w:rsidRPr="003649C0" w:rsidRDefault="003649C0" w:rsidP="003649C0">
      <w:pPr>
        <w:spacing w:before="120" w:after="120" w:line="240" w:lineRule="auto"/>
        <w:rPr>
          <w:rFonts w:ascii="Calibri" w:eastAsia="Calibri" w:hAnsi="Calibri"/>
          <w:sz w:val="22"/>
          <w:lang w:eastAsia="en-AU"/>
        </w:rPr>
      </w:pPr>
      <w:r w:rsidRPr="003649C0">
        <w:rPr>
          <w:rFonts w:ascii="Calibri" w:eastAsia="Calibri" w:hAnsi="Calibri"/>
          <w:sz w:val="22"/>
          <w:lang w:eastAsia="en-AU"/>
        </w:rPr>
        <w:t xml:space="preserve">The risk assessment concludes that risks to the health and safety of people or the environment from the proposed dealings, either in the short or long term, are negligible. </w:t>
      </w:r>
    </w:p>
    <w:p w:rsidR="003649C0" w:rsidRPr="003649C0" w:rsidRDefault="003649C0" w:rsidP="003649C0">
      <w:pPr>
        <w:spacing w:before="120" w:after="120" w:line="240" w:lineRule="auto"/>
        <w:rPr>
          <w:rFonts w:ascii="Calibri" w:eastAsia="Calibri" w:hAnsi="Calibri"/>
          <w:sz w:val="22"/>
          <w:lang w:eastAsia="en-AU"/>
        </w:rPr>
      </w:pPr>
      <w:r w:rsidRPr="003649C0">
        <w:rPr>
          <w:rFonts w:ascii="Calibri" w:eastAsia="Calibri" w:hAnsi="Calibri"/>
          <w:sz w:val="22"/>
          <w:lang w:eastAsia="en-AU"/>
        </w:rPr>
        <w:t>The risk assessment process considers how the genetic modification and activities conducted with the GMO might lead to harm to people or the environment. Risks are characterised in relation to both the seriousness and likelihood of harm, taking into account information in the application, relevant previous approvals, current scientific knowledge and advice received from a wide range of experts, agencies and authorities consulted on the preparation of the RARMP. Both the short and long term risks are considered.</w:t>
      </w:r>
    </w:p>
    <w:p w:rsidR="003649C0" w:rsidRPr="003649C0" w:rsidRDefault="003649C0" w:rsidP="003649C0">
      <w:pPr>
        <w:spacing w:before="120" w:after="120" w:line="240" w:lineRule="auto"/>
        <w:rPr>
          <w:rFonts w:ascii="Calibri" w:eastAsia="Calibri" w:hAnsi="Calibri"/>
          <w:sz w:val="22"/>
          <w:lang w:eastAsia="en-AU"/>
        </w:rPr>
      </w:pPr>
      <w:r w:rsidRPr="003649C0">
        <w:rPr>
          <w:rFonts w:ascii="Calibri" w:eastAsia="Calibri" w:hAnsi="Calibri"/>
          <w:sz w:val="22"/>
          <w:lang w:eastAsia="en-AU"/>
        </w:rPr>
        <w:t>Credible pathways to potential harm that were considered included: toxic and allergenic properties of the GM cotton; potential for increased weediness of the GM cotton relative to unmodified plants; and vertical transfer of the introduced genetic material to other sexually compatible plants.</w:t>
      </w:r>
    </w:p>
    <w:p w:rsidR="007F6B4E" w:rsidRPr="007F6B4E" w:rsidRDefault="003649C0" w:rsidP="003649C0">
      <w:pPr>
        <w:spacing w:before="120" w:after="120" w:line="240" w:lineRule="auto"/>
        <w:rPr>
          <w:rFonts w:ascii="Calibri" w:eastAsia="MS Mincho" w:hAnsi="Calibri" w:cs="Calibri"/>
          <w:sz w:val="22"/>
          <w:szCs w:val="22"/>
          <w:lang w:eastAsia="en-AU"/>
        </w:rPr>
      </w:pPr>
      <w:r w:rsidRPr="003649C0">
        <w:rPr>
          <w:rFonts w:ascii="Calibri" w:eastAsia="Calibri" w:hAnsi="Calibri"/>
          <w:sz w:val="22"/>
          <w:lang w:eastAsia="en-AU"/>
        </w:rPr>
        <w:t>The principal reasons for the conclusion of negligible risks are: the introduced proteins are not considered toxic or allergenic to people or toxic to other desirable organisms; proteins similar to the introduced proteins are widespread in the environment; the GM event has been licensed for field trials in Australia between 2013 and 2019, and for commercial release when combined with other insect resistance and/or herbicide tolerance traits since 2016 with no reported adverse or unexpected effects; and the GM cotton has limited capacity to survive in natural habitats. In addition, food made from the GM cotton has been assessed and approved by Food Standards Australia New Zealand as safe for human consumption.</w:t>
      </w:r>
    </w:p>
    <w:p w:rsidR="007F6B4E" w:rsidRPr="007F6B4E" w:rsidRDefault="007F6B4E" w:rsidP="007F6B4E">
      <w:pPr>
        <w:keepNext/>
        <w:keepLines/>
        <w:spacing w:before="240" w:after="120" w:line="240" w:lineRule="auto"/>
        <w:rPr>
          <w:rFonts w:ascii="Calibri" w:eastAsia="SimSun" w:hAnsi="Calibri"/>
          <w:b/>
          <w:bCs/>
          <w:i/>
          <w:szCs w:val="28"/>
        </w:rPr>
      </w:pPr>
      <w:r w:rsidRPr="007F6B4E">
        <w:rPr>
          <w:rFonts w:ascii="Calibri" w:eastAsia="SimSun" w:hAnsi="Calibri"/>
          <w:b/>
          <w:bCs/>
          <w:i/>
          <w:szCs w:val="28"/>
        </w:rPr>
        <w:t>Risk management</w:t>
      </w:r>
      <w:bookmarkEnd w:id="14"/>
      <w:r w:rsidRPr="007F6B4E">
        <w:rPr>
          <w:rFonts w:ascii="Calibri" w:eastAsia="SimSun" w:hAnsi="Calibri"/>
          <w:b/>
          <w:bCs/>
          <w:i/>
          <w:szCs w:val="28"/>
        </w:rPr>
        <w:t xml:space="preserve"> plan</w:t>
      </w:r>
      <w:bookmarkEnd w:id="15"/>
      <w:bookmarkEnd w:id="16"/>
      <w:bookmarkEnd w:id="17"/>
      <w:bookmarkEnd w:id="18"/>
      <w:bookmarkEnd w:id="19"/>
    </w:p>
    <w:p w:rsidR="00881488" w:rsidRPr="00881488" w:rsidRDefault="00881488" w:rsidP="00881488">
      <w:pPr>
        <w:spacing w:before="120" w:after="120" w:line="240" w:lineRule="auto"/>
        <w:rPr>
          <w:rFonts w:ascii="Calibri" w:eastAsia="SimSun" w:hAnsi="Calibri"/>
          <w:sz w:val="22"/>
          <w:szCs w:val="22"/>
          <w:lang w:eastAsia="en-AU"/>
        </w:rPr>
      </w:pPr>
      <w:r w:rsidRPr="00881488">
        <w:rPr>
          <w:rFonts w:ascii="Calibri" w:eastAsia="SimSun" w:hAnsi="Calibri"/>
          <w:sz w:val="22"/>
          <w:szCs w:val="22"/>
          <w:lang w:eastAsia="en-AU"/>
        </w:rPr>
        <w:t>The risk management plan concludes that risks from the proposed dealings can be managed so as to protect people and the environment by imposing general conditions to ensure that there is ongoing oversight of the release.</w:t>
      </w:r>
    </w:p>
    <w:p w:rsidR="00881488" w:rsidRPr="00881488" w:rsidRDefault="00881488" w:rsidP="00881488">
      <w:pPr>
        <w:spacing w:before="120" w:after="120" w:line="240" w:lineRule="auto"/>
        <w:rPr>
          <w:rFonts w:ascii="Calibri" w:eastAsia="SimSun" w:hAnsi="Calibri"/>
          <w:sz w:val="22"/>
          <w:szCs w:val="22"/>
          <w:lang w:eastAsia="en-AU"/>
        </w:rPr>
      </w:pPr>
      <w:r w:rsidRPr="00881488">
        <w:rPr>
          <w:rFonts w:ascii="Calibri" w:eastAsia="SimSun" w:hAnsi="Calibri"/>
          <w:sz w:val="22"/>
          <w:szCs w:val="22"/>
          <w:lang w:eastAsia="en-AU"/>
        </w:rPr>
        <w:t>Risk management is used to protect the health and safety of people and to protect the environment by controlling or mitigating risk. The risk management plan evaluates and treats identified risks and considers general risk management measures. The risk management plan is given effect through licence conditions.</w:t>
      </w:r>
    </w:p>
    <w:p w:rsidR="005F6834" w:rsidRPr="007F6B4E" w:rsidRDefault="00881488" w:rsidP="00881488">
      <w:pPr>
        <w:spacing w:before="120" w:after="120" w:line="240" w:lineRule="auto"/>
        <w:rPr>
          <w:rFonts w:ascii="Calibri" w:eastAsia="SimSun" w:hAnsi="Calibri"/>
          <w:sz w:val="22"/>
          <w:szCs w:val="22"/>
          <w:lang w:eastAsia="en-AU"/>
        </w:rPr>
      </w:pPr>
      <w:r w:rsidRPr="00881488">
        <w:rPr>
          <w:rFonts w:ascii="Calibri" w:eastAsia="SimSun" w:hAnsi="Calibri"/>
          <w:sz w:val="22"/>
          <w:szCs w:val="22"/>
          <w:lang w:eastAsia="en-AU"/>
        </w:rPr>
        <w:t>As the level of risk is assessed as negligible, specific risk treatment is not required. However, the Regulator has imposed licence conditions regarding post-release review (PRR) to ensure that there is ongoing oversight of the release and to allow the collection of information to verify the findings of the RARMP. The licence also contains a number of general conditions relating to ongoing licence holder suitability, auditing and monitoring, and reporting requirements, which include an obligation to report any unintended effects.</w:t>
      </w:r>
    </w:p>
    <w:p w:rsidR="00280050" w:rsidRPr="005F6834" w:rsidRDefault="00280050" w:rsidP="005F6834">
      <w:pPr>
        <w:jc w:val="center"/>
        <w:rPr>
          <w:rFonts w:asciiTheme="minorHAnsi" w:hAnsiTheme="minorHAnsi" w:cstheme="minorHAnsi"/>
        </w:rPr>
      </w:pPr>
    </w:p>
    <w:sectPr w:rsidR="00280050" w:rsidRPr="005F6834" w:rsidSect="00195837">
      <w:footerReference w:type="default" r:id="rId9"/>
      <w:type w:val="continuous"/>
      <w:pgSz w:w="11906" w:h="16838"/>
      <w:pgMar w:top="1418" w:right="1361" w:bottom="1418"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B4E" w:rsidRDefault="007F6B4E" w:rsidP="007F6B4E">
      <w:pPr>
        <w:spacing w:after="0" w:line="240" w:lineRule="auto"/>
      </w:pPr>
      <w:r>
        <w:separator/>
      </w:r>
    </w:p>
  </w:endnote>
  <w:endnote w:type="continuationSeparator" w:id="0">
    <w:p w:rsidR="007F6B4E" w:rsidRDefault="007F6B4E" w:rsidP="007F6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aavi">
    <w:panose1 w:val="02000500000000000000"/>
    <w:charset w:val="01"/>
    <w:family w:val="roman"/>
    <w:notTrueType/>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488" w:rsidRPr="005F6834" w:rsidRDefault="00881488" w:rsidP="00881488">
    <w:pPr>
      <w:pBdr>
        <w:top w:val="single" w:sz="4" w:space="1" w:color="auto"/>
      </w:pBdr>
      <w:jc w:val="center"/>
      <w:rPr>
        <w:rFonts w:asciiTheme="minorHAnsi" w:hAnsiTheme="minorHAnsi" w:cstheme="minorHAnsi"/>
        <w:sz w:val="20"/>
        <w:szCs w:val="22"/>
      </w:rPr>
    </w:pPr>
    <w:r w:rsidRPr="005F6834">
      <w:rPr>
        <w:rFonts w:asciiTheme="minorHAnsi" w:hAnsiTheme="minorHAnsi" w:cstheme="minorHAnsi"/>
        <w:sz w:val="20"/>
        <w:szCs w:val="22"/>
      </w:rPr>
      <w:t>Address: MDP 54 – GPO Box 9848, Canberra ACT 2601</w:t>
    </w:r>
    <w:r w:rsidRPr="005F6834">
      <w:rPr>
        <w:rFonts w:asciiTheme="minorHAnsi" w:hAnsiTheme="minorHAnsi" w:cstheme="minorHAnsi"/>
        <w:sz w:val="20"/>
        <w:szCs w:val="22"/>
      </w:rPr>
      <w:tab/>
      <w:t>Website: www.ogtr.gov.au</w:t>
    </w:r>
  </w:p>
  <w:p w:rsidR="00881488" w:rsidRPr="005F6834" w:rsidRDefault="00881488" w:rsidP="00881488">
    <w:pPr>
      <w:jc w:val="center"/>
      <w:rPr>
        <w:rFonts w:asciiTheme="minorHAnsi" w:hAnsiTheme="minorHAnsi" w:cstheme="minorHAnsi"/>
      </w:rPr>
    </w:pPr>
    <w:r w:rsidRPr="005F6834">
      <w:rPr>
        <w:rFonts w:asciiTheme="minorHAnsi" w:hAnsiTheme="minorHAnsi" w:cstheme="minorHAnsi"/>
        <w:sz w:val="20"/>
        <w:szCs w:val="22"/>
      </w:rPr>
      <w:t>Telephone: 1800 181 030</w:t>
    </w:r>
    <w:r w:rsidRPr="005F6834">
      <w:rPr>
        <w:rFonts w:asciiTheme="minorHAnsi" w:hAnsiTheme="minorHAnsi" w:cstheme="minorHAnsi"/>
        <w:sz w:val="20"/>
        <w:szCs w:val="22"/>
      </w:rPr>
      <w:tab/>
      <w:t>Email: ogtr@health.gov.au</w:t>
    </w:r>
  </w:p>
  <w:p w:rsidR="00881488" w:rsidRDefault="00881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B4E" w:rsidRDefault="007F6B4E" w:rsidP="007F6B4E">
      <w:pPr>
        <w:spacing w:after="0" w:line="240" w:lineRule="auto"/>
      </w:pPr>
      <w:r>
        <w:separator/>
      </w:r>
    </w:p>
  </w:footnote>
  <w:footnote w:type="continuationSeparator" w:id="0">
    <w:p w:rsidR="007F6B4E" w:rsidRDefault="007F6B4E" w:rsidP="007F6B4E">
      <w:pPr>
        <w:spacing w:after="0" w:line="240" w:lineRule="auto"/>
      </w:pPr>
      <w:r>
        <w:continuationSeparator/>
      </w:r>
    </w:p>
  </w:footnote>
  <w:footnote w:id="1">
    <w:p w:rsidR="003649C0" w:rsidRPr="003649C0" w:rsidRDefault="003649C0" w:rsidP="003649C0">
      <w:pPr>
        <w:rPr>
          <w:rFonts w:ascii="Calibri" w:hAnsi="Calibri" w:cs="Calibri"/>
          <w:sz w:val="20"/>
          <w:szCs w:val="20"/>
        </w:rPr>
      </w:pPr>
      <w:r w:rsidRPr="003649C0">
        <w:rPr>
          <w:rStyle w:val="FootnoteReference"/>
          <w:rFonts w:ascii="Calibri" w:hAnsi="Calibri" w:cs="Calibri"/>
          <w:sz w:val="20"/>
          <w:szCs w:val="20"/>
        </w:rPr>
        <w:footnoteRef/>
      </w:r>
      <w:r w:rsidRPr="003649C0">
        <w:rPr>
          <w:rFonts w:ascii="Calibri" w:hAnsi="Calibri" w:cs="Calibri"/>
          <w:sz w:val="20"/>
          <w:szCs w:val="20"/>
        </w:rPr>
        <w:t xml:space="preserve"> The title of the application submitted by Monsanto is “Commercial release of </w:t>
      </w:r>
      <w:proofErr w:type="spellStart"/>
      <w:r w:rsidRPr="003649C0">
        <w:rPr>
          <w:rFonts w:ascii="Calibri" w:hAnsi="Calibri" w:cs="Calibri"/>
          <w:i/>
          <w:sz w:val="20"/>
          <w:szCs w:val="20"/>
        </w:rPr>
        <w:t>Gossypium</w:t>
      </w:r>
      <w:proofErr w:type="spellEnd"/>
      <w:r w:rsidRPr="003649C0">
        <w:rPr>
          <w:rFonts w:ascii="Calibri" w:hAnsi="Calibri" w:cs="Calibri"/>
          <w:i/>
          <w:sz w:val="20"/>
          <w:szCs w:val="20"/>
        </w:rPr>
        <w:t xml:space="preserve"> </w:t>
      </w:r>
      <w:proofErr w:type="spellStart"/>
      <w:r w:rsidRPr="003649C0">
        <w:rPr>
          <w:rFonts w:ascii="Calibri" w:hAnsi="Calibri" w:cs="Calibri"/>
          <w:i/>
          <w:sz w:val="20"/>
          <w:szCs w:val="20"/>
        </w:rPr>
        <w:t>hirsutum</w:t>
      </w:r>
      <w:proofErr w:type="spellEnd"/>
      <w:r w:rsidRPr="003649C0">
        <w:rPr>
          <w:rFonts w:ascii="Calibri" w:hAnsi="Calibri" w:cs="Calibri"/>
          <w:i/>
          <w:iCs/>
          <w:sz w:val="20"/>
          <w:szCs w:val="20"/>
        </w:rPr>
        <w:t xml:space="preserve"> </w:t>
      </w:r>
      <w:r w:rsidRPr="003649C0">
        <w:rPr>
          <w:rFonts w:ascii="Calibri" w:hAnsi="Calibri" w:cs="Calibri"/>
          <w:sz w:val="20"/>
          <w:szCs w:val="20"/>
        </w:rPr>
        <w:t>genetically modified for herbicide tolerance in Australia”.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 w15:restartNumberingAfterBreak="0">
    <w:nsid w:val="36AE6ABF"/>
    <w:multiLevelType w:val="multilevel"/>
    <w:tmpl w:val="107EF544"/>
    <w:lvl w:ilvl="0">
      <w:start w:val="1"/>
      <w:numFmt w:val="decimal"/>
      <w:pStyle w:val="1RARMP"/>
      <w:lvlText w:val="Chapter %1"/>
      <w:lvlJc w:val="left"/>
      <w:pPr>
        <w:tabs>
          <w:tab w:val="num" w:pos="3545"/>
        </w:tabs>
        <w:ind w:left="3261"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RARMP"/>
      <w:lvlText w:val="Section %2"/>
      <w:lvlJc w:val="left"/>
      <w:pPr>
        <w:tabs>
          <w:tab w:val="num" w:pos="1531"/>
        </w:tabs>
        <w:ind w:left="1531" w:hanging="153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RARMP"/>
      <w:lvlText w:val="%2.%3"/>
      <w:lvlJc w:val="left"/>
      <w:pPr>
        <w:tabs>
          <w:tab w:val="num" w:pos="284"/>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RARMP"/>
      <w:lvlText w:val="%2.%3.%4"/>
      <w:lvlJc w:val="left"/>
      <w:pPr>
        <w:tabs>
          <w:tab w:val="num" w:pos="993"/>
        </w:tabs>
        <w:ind w:left="709"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14A6F0C"/>
    <w:multiLevelType w:val="hybridMultilevel"/>
    <w:tmpl w:val="9A786DE0"/>
    <w:lvl w:ilvl="0" w:tplc="837CCB9C">
      <w:start w:val="1"/>
      <w:numFmt w:val="bullet"/>
      <w:pStyle w:val="BulletedRARMP"/>
      <w:lvlText w:val=""/>
      <w:lvlJc w:val="left"/>
      <w:pPr>
        <w:tabs>
          <w:tab w:val="num" w:pos="567"/>
        </w:tabs>
        <w:ind w:left="567" w:hanging="283"/>
      </w:pPr>
      <w:rPr>
        <w:rFonts w:ascii="Symbol" w:hAnsi="Symbol" w:cs="Symbol" w:hint="default"/>
        <w:sz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4D9879E9"/>
    <w:multiLevelType w:val="hybridMultilevel"/>
    <w:tmpl w:val="CC243F18"/>
    <w:lvl w:ilvl="0" w:tplc="38A46FD6">
      <w:start w:val="1"/>
      <w:numFmt w:val="decimal"/>
      <w:pStyle w:val="Licencecondition"/>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0607CB7"/>
    <w:multiLevelType w:val="hybridMultilevel"/>
    <w:tmpl w:val="9A961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3F1427F"/>
    <w:multiLevelType w:val="hybridMultilevel"/>
    <w:tmpl w:val="9A788FA0"/>
    <w:lvl w:ilvl="0" w:tplc="53184546">
      <w:start w:val="1"/>
      <w:numFmt w:val="decimal"/>
      <w:pStyle w:val="RARMPPara"/>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2"/>
  </w:num>
  <w:num w:numId="6">
    <w:abstractNumId w:val="0"/>
  </w:num>
  <w:num w:numId="7">
    <w:abstractNumId w:val="3"/>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4E"/>
    <w:rsid w:val="00195837"/>
    <w:rsid w:val="00205F4D"/>
    <w:rsid w:val="002542B8"/>
    <w:rsid w:val="00280050"/>
    <w:rsid w:val="002A271E"/>
    <w:rsid w:val="00300B79"/>
    <w:rsid w:val="003649C0"/>
    <w:rsid w:val="00404F0D"/>
    <w:rsid w:val="00527DBC"/>
    <w:rsid w:val="00533575"/>
    <w:rsid w:val="00586487"/>
    <w:rsid w:val="005F6834"/>
    <w:rsid w:val="00612F50"/>
    <w:rsid w:val="006C6054"/>
    <w:rsid w:val="007F6B4E"/>
    <w:rsid w:val="00881488"/>
    <w:rsid w:val="00952076"/>
    <w:rsid w:val="00CC276E"/>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F8E21D7-80EF-4AEF-A379-7336AEBB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ARMP">
    <w:name w:val="1 RARMP"/>
    <w:basedOn w:val="Normal"/>
    <w:qFormat/>
    <w:rsid w:val="00404F0D"/>
    <w:pPr>
      <w:numPr>
        <w:numId w:val="4"/>
      </w:numPr>
      <w:tabs>
        <w:tab w:val="left" w:pos="1843"/>
      </w:tabs>
      <w:spacing w:before="120" w:after="120" w:line="240" w:lineRule="auto"/>
      <w:outlineLvl w:val="0"/>
    </w:pPr>
    <w:rPr>
      <w:rFonts w:asciiTheme="minorHAnsi" w:eastAsiaTheme="minorEastAsia" w:hAnsiTheme="minorHAnsi" w:cs="Arial"/>
      <w:b/>
      <w:bCs/>
      <w:color w:val="000000"/>
      <w:sz w:val="36"/>
      <w:szCs w:val="36"/>
      <w:lang w:eastAsia="en-AU"/>
    </w:rPr>
  </w:style>
  <w:style w:type="paragraph" w:customStyle="1" w:styleId="2RARMP">
    <w:name w:val="2 RARMP"/>
    <w:basedOn w:val="Normal"/>
    <w:link w:val="2RARMPChar"/>
    <w:qFormat/>
    <w:rsid w:val="00404F0D"/>
    <w:pPr>
      <w:keepNext/>
      <w:numPr>
        <w:ilvl w:val="1"/>
        <w:numId w:val="4"/>
      </w:numPr>
      <w:tabs>
        <w:tab w:val="left" w:pos="1559"/>
      </w:tabs>
      <w:spacing w:before="240" w:after="120" w:line="240" w:lineRule="auto"/>
      <w:outlineLvl w:val="1"/>
    </w:pPr>
    <w:rPr>
      <w:rFonts w:asciiTheme="minorHAnsi" w:eastAsiaTheme="minorEastAsia" w:hAnsiTheme="minorHAnsi" w:cs="Arial"/>
      <w:b/>
      <w:bCs/>
      <w:iCs/>
      <w:sz w:val="28"/>
      <w:szCs w:val="28"/>
      <w:lang w:eastAsia="en-AU"/>
    </w:rPr>
  </w:style>
  <w:style w:type="character" w:customStyle="1" w:styleId="2RARMPChar">
    <w:name w:val="2 RARMP Char"/>
    <w:basedOn w:val="DefaultParagraphFont"/>
    <w:link w:val="2RARMP"/>
    <w:rsid w:val="00404F0D"/>
    <w:rPr>
      <w:rFonts w:asciiTheme="minorHAnsi" w:eastAsiaTheme="minorEastAsia" w:hAnsiTheme="minorHAnsi" w:cs="Arial"/>
      <w:b/>
      <w:bCs/>
      <w:iCs/>
      <w:sz w:val="28"/>
      <w:szCs w:val="28"/>
      <w:lang w:eastAsia="en-AU"/>
    </w:rPr>
  </w:style>
  <w:style w:type="paragraph" w:customStyle="1" w:styleId="3RARMP">
    <w:name w:val="3 RARMP"/>
    <w:basedOn w:val="Normal"/>
    <w:uiPriority w:val="1"/>
    <w:qFormat/>
    <w:rsid w:val="00404F0D"/>
    <w:pPr>
      <w:keepNext/>
      <w:numPr>
        <w:ilvl w:val="2"/>
        <w:numId w:val="4"/>
      </w:numPr>
      <w:spacing w:before="240" w:after="120" w:line="240" w:lineRule="auto"/>
      <w:outlineLvl w:val="2"/>
    </w:pPr>
    <w:rPr>
      <w:rFonts w:asciiTheme="minorHAnsi" w:eastAsiaTheme="minorEastAsia" w:hAnsiTheme="minorHAnsi" w:cs="Arial"/>
      <w:b/>
      <w:bCs/>
      <w:lang w:eastAsia="en-AU"/>
    </w:rPr>
  </w:style>
  <w:style w:type="paragraph" w:customStyle="1" w:styleId="4RARMP">
    <w:name w:val="4 RARMP"/>
    <w:basedOn w:val="Normal"/>
    <w:uiPriority w:val="1"/>
    <w:qFormat/>
    <w:rsid w:val="00404F0D"/>
    <w:pPr>
      <w:keepNext/>
      <w:keepLines/>
      <w:numPr>
        <w:ilvl w:val="3"/>
        <w:numId w:val="4"/>
      </w:numPr>
      <w:tabs>
        <w:tab w:val="clear" w:pos="993"/>
        <w:tab w:val="num" w:pos="567"/>
        <w:tab w:val="left" w:pos="851"/>
      </w:tabs>
      <w:spacing w:before="120" w:after="120" w:line="240" w:lineRule="auto"/>
      <w:outlineLvl w:val="3"/>
    </w:pPr>
    <w:rPr>
      <w:rFonts w:asciiTheme="minorHAnsi" w:eastAsiaTheme="minorEastAsia" w:hAnsiTheme="minorHAnsi" w:cs="Arial"/>
      <w:b/>
      <w:bCs/>
      <w:i/>
      <w:iCs/>
      <w:sz w:val="22"/>
      <w:lang w:eastAsia="en-AU"/>
    </w:rPr>
  </w:style>
  <w:style w:type="paragraph" w:customStyle="1" w:styleId="5RARMP">
    <w:name w:val="5 RARMP"/>
    <w:basedOn w:val="Normal"/>
    <w:link w:val="5RARMPChar"/>
    <w:uiPriority w:val="1"/>
    <w:rsid w:val="00404F0D"/>
    <w:pPr>
      <w:tabs>
        <w:tab w:val="left" w:pos="567"/>
      </w:tabs>
      <w:spacing w:before="120" w:after="120" w:line="240" w:lineRule="auto"/>
      <w:outlineLvl w:val="4"/>
    </w:pPr>
    <w:rPr>
      <w:rFonts w:ascii="Calibri" w:eastAsia="Times New Roman" w:hAnsi="Calibri"/>
      <w:i/>
      <w:sz w:val="22"/>
      <w:u w:val="single"/>
      <w:lang w:eastAsia="en-AU"/>
    </w:rPr>
  </w:style>
  <w:style w:type="character" w:customStyle="1" w:styleId="5RARMPChar">
    <w:name w:val="5 RARMP Char"/>
    <w:basedOn w:val="DefaultParagraphFont"/>
    <w:link w:val="5RARMP"/>
    <w:uiPriority w:val="1"/>
    <w:rsid w:val="00404F0D"/>
    <w:rPr>
      <w:rFonts w:ascii="Calibri" w:eastAsia="Times New Roman" w:hAnsi="Calibri"/>
      <w:i/>
      <w:sz w:val="22"/>
      <w:u w:val="single"/>
      <w:lang w:eastAsia="en-AU"/>
    </w:rPr>
  </w:style>
  <w:style w:type="paragraph" w:customStyle="1" w:styleId="bulletedRARMP0">
    <w:name w:val="bulleted RARMP"/>
    <w:basedOn w:val="Normal"/>
    <w:qFormat/>
    <w:rsid w:val="00404F0D"/>
    <w:pPr>
      <w:tabs>
        <w:tab w:val="num" w:pos="720"/>
      </w:tabs>
      <w:spacing w:before="120" w:after="120" w:line="240" w:lineRule="auto"/>
      <w:ind w:left="720" w:hanging="360"/>
    </w:pPr>
    <w:rPr>
      <w:rFonts w:ascii="Calibri" w:eastAsiaTheme="minorEastAsia" w:hAnsi="Calibri"/>
      <w:sz w:val="22"/>
      <w:lang w:val="en" w:eastAsia="en-AU"/>
    </w:rPr>
  </w:style>
  <w:style w:type="paragraph" w:customStyle="1" w:styleId="BulletedRARMP">
    <w:name w:val="Bulleted RARMP"/>
    <w:basedOn w:val="Normal"/>
    <w:link w:val="BulletedRARMPChar"/>
    <w:rsid w:val="00404F0D"/>
    <w:pPr>
      <w:numPr>
        <w:numId w:val="5"/>
      </w:numPr>
      <w:spacing w:before="120" w:after="60" w:line="240" w:lineRule="auto"/>
    </w:pPr>
    <w:rPr>
      <w:rFonts w:eastAsiaTheme="minorEastAsia"/>
      <w:lang w:eastAsia="en-AU"/>
    </w:rPr>
  </w:style>
  <w:style w:type="character" w:customStyle="1" w:styleId="BulletedRARMPChar">
    <w:name w:val="Bulleted RARMP Char"/>
    <w:basedOn w:val="DefaultParagraphFont"/>
    <w:link w:val="BulletedRARMP"/>
    <w:rsid w:val="00404F0D"/>
    <w:rPr>
      <w:rFonts w:eastAsiaTheme="minorEastAsia"/>
      <w:lang w:eastAsia="en-AU"/>
    </w:rPr>
  </w:style>
  <w:style w:type="character" w:customStyle="1" w:styleId="BulletedRARMPCharChar">
    <w:name w:val="Bulleted RARMP Char Char"/>
    <w:rsid w:val="00404F0D"/>
    <w:rPr>
      <w:rFonts w:ascii="Calibri" w:eastAsiaTheme="minorEastAsia" w:hAnsi="Calibri"/>
      <w:sz w:val="22"/>
      <w:lang w:eastAsia="en-AU"/>
    </w:rPr>
  </w:style>
  <w:style w:type="paragraph" w:customStyle="1" w:styleId="bulletedRARMP2">
    <w:name w:val="bulleted RARMP2"/>
    <w:basedOn w:val="Normal"/>
    <w:uiPriority w:val="19"/>
    <w:rsid w:val="00404F0D"/>
    <w:pPr>
      <w:tabs>
        <w:tab w:val="num" w:pos="720"/>
      </w:tabs>
      <w:spacing w:before="60" w:after="60" w:line="240" w:lineRule="auto"/>
      <w:ind w:left="720" w:hanging="360"/>
    </w:pPr>
    <w:rPr>
      <w:rFonts w:ascii="Calibri" w:eastAsia="Times New Roman" w:hAnsi="Calibri"/>
      <w:sz w:val="22"/>
      <w:lang w:eastAsia="en-AU"/>
    </w:rPr>
  </w:style>
  <w:style w:type="paragraph" w:customStyle="1" w:styleId="chapter">
    <w:name w:val="chapter"/>
    <w:basedOn w:val="Normal"/>
    <w:next w:val="Normal"/>
    <w:rsid w:val="00404F0D"/>
    <w:pPr>
      <w:keepNext/>
      <w:tabs>
        <w:tab w:val="num" w:pos="397"/>
      </w:tabs>
      <w:spacing w:before="240" w:after="120" w:line="240" w:lineRule="auto"/>
      <w:ind w:left="397" w:hanging="397"/>
      <w:outlineLvl w:val="0"/>
    </w:pPr>
    <w:rPr>
      <w:rFonts w:ascii="Arial" w:eastAsia="Times New Roman" w:hAnsi="Arial"/>
      <w:b/>
      <w:sz w:val="36"/>
      <w:lang w:eastAsia="en-AU"/>
    </w:rPr>
  </w:style>
  <w:style w:type="paragraph" w:customStyle="1" w:styleId="Licencebullets">
    <w:name w:val="Licence bullets"/>
    <w:basedOn w:val="Normal"/>
    <w:rsid w:val="00404F0D"/>
    <w:pPr>
      <w:numPr>
        <w:numId w:val="6"/>
      </w:numPr>
      <w:tabs>
        <w:tab w:val="clear" w:pos="737"/>
        <w:tab w:val="num" w:pos="360"/>
      </w:tabs>
      <w:spacing w:before="120" w:after="120" w:line="240" w:lineRule="auto"/>
    </w:pPr>
    <w:rPr>
      <w:rFonts w:eastAsiaTheme="minorEastAsia"/>
      <w:lang w:eastAsia="en-AU"/>
    </w:rPr>
  </w:style>
  <w:style w:type="paragraph" w:customStyle="1" w:styleId="Licencecondition">
    <w:name w:val="Licence condition"/>
    <w:basedOn w:val="Normal"/>
    <w:uiPriority w:val="7"/>
    <w:qFormat/>
    <w:rsid w:val="00404F0D"/>
    <w:pPr>
      <w:numPr>
        <w:numId w:val="7"/>
      </w:numPr>
      <w:tabs>
        <w:tab w:val="left" w:pos="567"/>
      </w:tabs>
      <w:spacing w:before="120" w:after="120" w:line="240" w:lineRule="auto"/>
    </w:pPr>
    <w:rPr>
      <w:rFonts w:ascii="Calibri" w:eastAsia="Times New Roman" w:hAnsi="Calibri"/>
      <w:sz w:val="22"/>
      <w:lang w:eastAsia="en-AU"/>
    </w:rPr>
  </w:style>
  <w:style w:type="paragraph" w:customStyle="1" w:styleId="RARMPPara">
    <w:name w:val="RARMP Para"/>
    <w:basedOn w:val="Normal"/>
    <w:link w:val="RARMPParaChar"/>
    <w:autoRedefine/>
    <w:qFormat/>
    <w:rsid w:val="00404F0D"/>
    <w:pPr>
      <w:numPr>
        <w:numId w:val="8"/>
      </w:numPr>
      <w:tabs>
        <w:tab w:val="left" w:pos="567"/>
      </w:tabs>
      <w:spacing w:before="240" w:after="240" w:line="240" w:lineRule="auto"/>
    </w:pPr>
    <w:rPr>
      <w:rFonts w:asciiTheme="minorHAnsi" w:eastAsia="Times New Roman" w:hAnsiTheme="minorHAnsi" w:cstheme="minorHAnsi"/>
      <w:sz w:val="22"/>
      <w:szCs w:val="22"/>
      <w:u w:color="000000"/>
      <w:shd w:val="clear" w:color="auto" w:fill="FEFEFE"/>
      <w:lang w:val="en"/>
    </w:rPr>
  </w:style>
  <w:style w:type="character" w:customStyle="1" w:styleId="RARMPParaChar">
    <w:name w:val="RARMP Para Char"/>
    <w:basedOn w:val="DefaultParagraphFont"/>
    <w:link w:val="RARMPPara"/>
    <w:rsid w:val="00404F0D"/>
    <w:rPr>
      <w:rFonts w:asciiTheme="minorHAnsi" w:eastAsia="Times New Roman" w:hAnsiTheme="minorHAnsi" w:cstheme="minorHAnsi"/>
      <w:sz w:val="22"/>
      <w:szCs w:val="22"/>
      <w:u w:color="000000"/>
      <w:lang w:val="en"/>
    </w:rPr>
  </w:style>
  <w:style w:type="paragraph" w:customStyle="1" w:styleId="RARMPParagraph">
    <w:name w:val="RARMP Paragraph"/>
    <w:basedOn w:val="Normal"/>
    <w:link w:val="RARMPParagraphChar"/>
    <w:uiPriority w:val="7"/>
    <w:qFormat/>
    <w:rsid w:val="00404F0D"/>
    <w:pPr>
      <w:tabs>
        <w:tab w:val="num" w:pos="360"/>
        <w:tab w:val="left" w:pos="567"/>
      </w:tabs>
      <w:spacing w:before="120" w:after="120" w:line="240" w:lineRule="auto"/>
    </w:pPr>
    <w:rPr>
      <w:rFonts w:ascii="Calibri" w:eastAsia="Calibri" w:hAnsi="Calibri"/>
      <w:sz w:val="22"/>
      <w:lang w:eastAsia="en-AU"/>
    </w:rPr>
  </w:style>
  <w:style w:type="character" w:customStyle="1" w:styleId="RARMPParagraphChar">
    <w:name w:val="RARMP Paragraph Char"/>
    <w:basedOn w:val="DefaultParagraphFont"/>
    <w:link w:val="RARMPParagraph"/>
    <w:uiPriority w:val="7"/>
    <w:rsid w:val="00404F0D"/>
    <w:rPr>
      <w:rFonts w:ascii="Calibri" w:eastAsia="Calibri" w:hAnsi="Calibri"/>
      <w:sz w:val="22"/>
      <w:lang w:eastAsia="en-AU"/>
    </w:rPr>
  </w:style>
  <w:style w:type="paragraph" w:styleId="FootnoteText">
    <w:name w:val="footnote text"/>
    <w:basedOn w:val="Normal"/>
    <w:link w:val="FootnoteTextChar"/>
    <w:uiPriority w:val="99"/>
    <w:semiHidden/>
    <w:unhideWhenUsed/>
    <w:rsid w:val="007F6B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6B4E"/>
    <w:rPr>
      <w:sz w:val="20"/>
      <w:szCs w:val="20"/>
    </w:rPr>
  </w:style>
  <w:style w:type="character" w:styleId="FootnoteReference">
    <w:name w:val="footnote reference"/>
    <w:rsid w:val="007F6B4E"/>
    <w:rPr>
      <w:vertAlign w:val="superscript"/>
    </w:rPr>
  </w:style>
  <w:style w:type="paragraph" w:styleId="Header">
    <w:name w:val="header"/>
    <w:basedOn w:val="Normal"/>
    <w:link w:val="HeaderChar"/>
    <w:uiPriority w:val="99"/>
    <w:unhideWhenUsed/>
    <w:rsid w:val="007F6B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4E"/>
  </w:style>
  <w:style w:type="paragraph" w:styleId="Footer">
    <w:name w:val="footer"/>
    <w:basedOn w:val="Normal"/>
    <w:link w:val="FooterChar"/>
    <w:uiPriority w:val="99"/>
    <w:unhideWhenUsed/>
    <w:rsid w:val="007F6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4E"/>
  </w:style>
  <w:style w:type="paragraph" w:styleId="EndnoteText">
    <w:name w:val="endnote text"/>
    <w:basedOn w:val="Normal"/>
    <w:link w:val="EndnoteTextChar"/>
    <w:uiPriority w:val="99"/>
    <w:semiHidden/>
    <w:unhideWhenUsed/>
    <w:rsid w:val="002A27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A271E"/>
    <w:rPr>
      <w:sz w:val="20"/>
      <w:szCs w:val="20"/>
    </w:rPr>
  </w:style>
  <w:style w:type="character" w:styleId="EndnoteReference">
    <w:name w:val="endnote reference"/>
    <w:basedOn w:val="DefaultParagraphFont"/>
    <w:uiPriority w:val="99"/>
    <w:semiHidden/>
    <w:unhideWhenUsed/>
    <w:rsid w:val="002A271E"/>
    <w:rPr>
      <w:vertAlign w:val="superscript"/>
    </w:rPr>
  </w:style>
  <w:style w:type="character" w:styleId="Hyperlink">
    <w:name w:val="Hyperlink"/>
    <w:basedOn w:val="DefaultParagraphFont"/>
    <w:uiPriority w:val="99"/>
    <w:unhideWhenUsed/>
    <w:rsid w:val="002A271E"/>
    <w:rPr>
      <w:color w:val="0563C1" w:themeColor="hyperlink"/>
      <w:u w:val="single"/>
    </w:rPr>
  </w:style>
  <w:style w:type="numbering" w:customStyle="1" w:styleId="tablebulletsRARMP">
    <w:name w:val="table bullets RARMP"/>
    <w:basedOn w:val="NoList"/>
    <w:rsid w:val="003649C0"/>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B745E-E9AA-4586-A1B2-6778993B2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672</Words>
  <Characters>3592</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173 - Summary of Risk Assessment and Risk Management Plan</dc:title>
  <dc:subject/>
  <dc:creator>OGTR.Voicemail@health.gov.au</dc:creator>
  <cp:keywords/>
  <dc:description/>
  <cp:lastModifiedBy>SMITH, Justine</cp:lastModifiedBy>
  <cp:revision>2</cp:revision>
  <dcterms:created xsi:type="dcterms:W3CDTF">2020-10-14T20:56:00Z</dcterms:created>
  <dcterms:modified xsi:type="dcterms:W3CDTF">2020-10-14T20:56:00Z</dcterms:modified>
</cp:coreProperties>
</file>