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16" w:rsidRPr="00534C16" w:rsidRDefault="00534C16" w:rsidP="00534C16">
      <w:pPr>
        <w:pStyle w:val="1RARMP"/>
        <w:jc w:val="left"/>
        <w:rPr>
          <w:b w:val="0"/>
          <w:sz w:val="22"/>
          <w:szCs w:val="24"/>
        </w:rPr>
      </w:pPr>
      <w:bookmarkStart w:id="0" w:name="_Toc27393074"/>
      <w:r w:rsidRPr="00534C16">
        <w:rPr>
          <w:b w:val="0"/>
          <w:noProof/>
          <w:sz w:val="24"/>
          <w:szCs w:val="24"/>
          <w:lang w:eastAsia="en-AU"/>
        </w:rPr>
        <w:drawing>
          <wp:inline distT="0" distB="0" distL="0" distR="0">
            <wp:extent cx="3337200" cy="966216"/>
            <wp:effectExtent l="0" t="0" r="0" b="5715"/>
            <wp:docPr id="1" name="Picture 1" title="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1\SCHNKA\Desktop\ogt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7200" cy="966216"/>
                    </a:xfrm>
                    <a:prstGeom prst="rect">
                      <a:avLst/>
                    </a:prstGeom>
                    <a:noFill/>
                    <a:ln>
                      <a:noFill/>
                    </a:ln>
                  </pic:spPr>
                </pic:pic>
              </a:graphicData>
            </a:graphic>
          </wp:inline>
        </w:drawing>
      </w:r>
      <w:r w:rsidRPr="00534C16">
        <w:rPr>
          <w:b w:val="0"/>
          <w:sz w:val="24"/>
          <w:szCs w:val="24"/>
        </w:rPr>
        <w:tab/>
      </w:r>
      <w:r w:rsidRPr="00534C16">
        <w:rPr>
          <w:b w:val="0"/>
          <w:sz w:val="24"/>
          <w:szCs w:val="24"/>
        </w:rPr>
        <w:tab/>
      </w:r>
      <w:bookmarkStart w:id="1" w:name="_GoBack"/>
      <w:bookmarkEnd w:id="1"/>
      <w:r w:rsidR="00C2435D">
        <w:rPr>
          <w:b w:val="0"/>
          <w:sz w:val="24"/>
          <w:szCs w:val="24"/>
        </w:rPr>
        <w:tab/>
      </w:r>
      <w:r w:rsidRPr="00534C16">
        <w:rPr>
          <w:b w:val="0"/>
          <w:sz w:val="24"/>
          <w:szCs w:val="24"/>
        </w:rPr>
        <w:tab/>
      </w:r>
      <w:r w:rsidRPr="00534C16">
        <w:rPr>
          <w:b w:val="0"/>
          <w:sz w:val="22"/>
          <w:szCs w:val="24"/>
        </w:rPr>
        <w:t>January 2020</w:t>
      </w:r>
    </w:p>
    <w:p w:rsidR="00534C16" w:rsidRPr="009354F6" w:rsidRDefault="00534C16" w:rsidP="00534C16">
      <w:pPr>
        <w:pStyle w:val="1RARMP"/>
      </w:pPr>
      <w:r w:rsidRPr="009354F6">
        <w:t>Summary of the Risk Assessment and Risk Management Plan</w:t>
      </w:r>
      <w:bookmarkEnd w:id="0"/>
    </w:p>
    <w:p w:rsidR="00534C16" w:rsidRPr="009354F6" w:rsidRDefault="00534C16" w:rsidP="00534C16">
      <w:pPr>
        <w:jc w:val="center"/>
        <w:rPr>
          <w:b/>
          <w:sz w:val="28"/>
        </w:rPr>
      </w:pPr>
      <w:bookmarkStart w:id="2" w:name="_Toc471455196"/>
      <w:bookmarkStart w:id="3" w:name="_Toc474907672"/>
      <w:bookmarkStart w:id="4" w:name="_Toc477513526"/>
      <w:bookmarkStart w:id="5" w:name="_Toc479754179"/>
      <w:bookmarkStart w:id="6" w:name="_Toc509210979"/>
      <w:bookmarkStart w:id="7" w:name="_Toc509326064"/>
      <w:bookmarkStart w:id="8" w:name="_Toc509567571"/>
      <w:bookmarkStart w:id="9" w:name="_Toc512847175"/>
      <w:bookmarkStart w:id="10" w:name="_Toc512847226"/>
      <w:bookmarkStart w:id="11" w:name="_Toc331905"/>
      <w:bookmarkStart w:id="12" w:name="_Toc520808"/>
      <w:bookmarkStart w:id="13" w:name="_Toc778014"/>
      <w:r w:rsidRPr="009354F6">
        <w:rPr>
          <w:b/>
          <w:sz w:val="28"/>
        </w:rPr>
        <w:t>for</w:t>
      </w:r>
      <w:bookmarkEnd w:id="2"/>
      <w:bookmarkEnd w:id="3"/>
      <w:bookmarkEnd w:id="4"/>
      <w:bookmarkEnd w:id="5"/>
      <w:bookmarkEnd w:id="6"/>
      <w:bookmarkEnd w:id="7"/>
      <w:bookmarkEnd w:id="8"/>
      <w:bookmarkEnd w:id="9"/>
      <w:bookmarkEnd w:id="10"/>
      <w:bookmarkEnd w:id="11"/>
      <w:bookmarkEnd w:id="12"/>
      <w:bookmarkEnd w:id="13"/>
    </w:p>
    <w:p w:rsidR="00534C16" w:rsidRPr="009354F6" w:rsidRDefault="00534C16" w:rsidP="00534C16">
      <w:pPr>
        <w:pStyle w:val="3RARMP"/>
      </w:pPr>
      <w:r w:rsidRPr="009354F6">
        <w:t xml:space="preserve">Licence Application No. DIR 169 </w:t>
      </w:r>
    </w:p>
    <w:p w:rsidR="00534C16" w:rsidRPr="009354F6" w:rsidRDefault="00534C16" w:rsidP="00534C16">
      <w:pPr>
        <w:pStyle w:val="4RARMP"/>
      </w:pPr>
      <w:r w:rsidRPr="009354F6">
        <w:t>Decision</w:t>
      </w:r>
    </w:p>
    <w:p w:rsidR="00534C16" w:rsidRPr="009354F6" w:rsidRDefault="00534C16" w:rsidP="00534C16">
      <w:pPr>
        <w:pStyle w:val="4RARMP"/>
        <w:rPr>
          <w:b w:val="0"/>
          <w:bCs w:val="0"/>
          <w:i w:val="0"/>
          <w:sz w:val="22"/>
          <w:szCs w:val="24"/>
        </w:rPr>
      </w:pPr>
      <w:r w:rsidRPr="009354F6">
        <w:rPr>
          <w:b w:val="0"/>
          <w:bCs w:val="0"/>
          <w:i w:val="0"/>
          <w:sz w:val="22"/>
          <w:szCs w:val="24"/>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9354F6">
        <w:rPr>
          <w:b w:val="0"/>
          <w:bCs w:val="0"/>
          <w:sz w:val="22"/>
          <w:szCs w:val="24"/>
        </w:rPr>
        <w:t>Gene Technology Act 2000</w:t>
      </w:r>
      <w:r w:rsidRPr="009354F6">
        <w:rPr>
          <w:b w:val="0"/>
          <w:bCs w:val="0"/>
          <w:i w:val="0"/>
          <w:sz w:val="22"/>
          <w:szCs w:val="24"/>
        </w:rPr>
        <w:t xml:space="preserve"> (the Act). The Regulator has prepared a Risk Assessment and Risk Management Plan (RARMP) for this application, which concludes that the proposed trial poses negligible risks to human health and safety and the environment, </w:t>
      </w:r>
      <w:r w:rsidRPr="009354F6">
        <w:rPr>
          <w:b w:val="0"/>
          <w:bCs w:val="0"/>
          <w:i w:val="0"/>
          <w:sz w:val="22"/>
          <w:szCs w:val="24"/>
        </w:rPr>
        <w:lastRenderedPageBreak/>
        <w:t xml:space="preserve">and that any risks posed by the dealings can be managed by imposing conditions on the release. </w:t>
      </w:r>
    </w:p>
    <w:p w:rsidR="00534C16" w:rsidRPr="009354F6" w:rsidRDefault="00534C16" w:rsidP="00534C16">
      <w:pPr>
        <w:pStyle w:val="4RARMP"/>
      </w:pPr>
      <w:r w:rsidRPr="009354F6">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689"/>
        <w:gridCol w:w="6760"/>
      </w:tblGrid>
      <w:tr w:rsidR="00534C16" w:rsidRPr="009354F6" w:rsidTr="00534C16">
        <w:trPr>
          <w:tblHeader/>
        </w:trPr>
        <w:tc>
          <w:tcPr>
            <w:tcW w:w="2689" w:type="dxa"/>
            <w:shd w:val="clear" w:color="auto" w:fill="F2F2F2" w:themeFill="background1" w:themeFillShade="F2"/>
          </w:tcPr>
          <w:p w:rsidR="00534C16" w:rsidRPr="009354F6" w:rsidRDefault="00534C16" w:rsidP="00534C16">
            <w:pPr>
              <w:pStyle w:val="LEFTLIST"/>
              <w:keepNext w:val="0"/>
            </w:pPr>
            <w:r w:rsidRPr="009354F6">
              <w:t>Application Number</w:t>
            </w:r>
          </w:p>
        </w:tc>
        <w:tc>
          <w:tcPr>
            <w:tcW w:w="6760" w:type="dxa"/>
            <w:shd w:val="clear" w:color="auto" w:fill="F2F2F2" w:themeFill="background1" w:themeFillShade="F2"/>
            <w:vAlign w:val="center"/>
          </w:tcPr>
          <w:p w:rsidR="00534C16" w:rsidRPr="009354F6" w:rsidRDefault="00534C16" w:rsidP="00534C16">
            <w:pPr>
              <w:pStyle w:val="LEFTLIST"/>
              <w:keepNext w:val="0"/>
              <w:rPr>
                <w:b w:val="0"/>
              </w:rPr>
            </w:pPr>
            <w:r w:rsidRPr="009354F6">
              <w:rPr>
                <w:b w:val="0"/>
              </w:rPr>
              <w:t>DIR 169</w:t>
            </w:r>
          </w:p>
        </w:tc>
      </w:tr>
      <w:tr w:rsidR="00534C16" w:rsidRPr="009354F6" w:rsidTr="00F66B23">
        <w:tc>
          <w:tcPr>
            <w:tcW w:w="2689" w:type="dxa"/>
          </w:tcPr>
          <w:p w:rsidR="00534C16" w:rsidRPr="009354F6" w:rsidRDefault="00534C16" w:rsidP="00534C16">
            <w:pPr>
              <w:pStyle w:val="LEFTLIST"/>
              <w:keepNext w:val="0"/>
            </w:pPr>
            <w:r w:rsidRPr="009354F6">
              <w:t>Project Title</w:t>
            </w:r>
          </w:p>
        </w:tc>
        <w:tc>
          <w:tcPr>
            <w:tcW w:w="6760" w:type="dxa"/>
          </w:tcPr>
          <w:p w:rsidR="00534C16" w:rsidRPr="009354F6" w:rsidRDefault="00534C16" w:rsidP="00534C16">
            <w:pPr>
              <w:pStyle w:val="RIGHTLIST"/>
              <w:keepNext w:val="0"/>
            </w:pPr>
            <w:r w:rsidRPr="009354F6">
              <w:t>Limited and controlled release of microalgae genetically modified for increased production of fatty acids</w:t>
            </w:r>
            <w:r w:rsidRPr="009354F6">
              <w:rPr>
                <w:rStyle w:val="FootnoteReference"/>
              </w:rPr>
              <w:footnoteReference w:id="1"/>
            </w:r>
          </w:p>
        </w:tc>
      </w:tr>
      <w:tr w:rsidR="00534C16" w:rsidRPr="009354F6" w:rsidTr="00F66B23">
        <w:trPr>
          <w:trHeight w:val="346"/>
        </w:trPr>
        <w:tc>
          <w:tcPr>
            <w:tcW w:w="2689" w:type="dxa"/>
          </w:tcPr>
          <w:p w:rsidR="00534C16" w:rsidRPr="009354F6" w:rsidRDefault="00534C16" w:rsidP="00534C16">
            <w:pPr>
              <w:pStyle w:val="LEFTLIST"/>
              <w:keepNext w:val="0"/>
            </w:pPr>
            <w:r w:rsidRPr="009354F6">
              <w:t>Parent organism</w:t>
            </w:r>
          </w:p>
        </w:tc>
        <w:tc>
          <w:tcPr>
            <w:tcW w:w="6760" w:type="dxa"/>
          </w:tcPr>
          <w:p w:rsidR="00534C16" w:rsidRPr="009354F6" w:rsidRDefault="00534C16" w:rsidP="00534C16">
            <w:pPr>
              <w:pStyle w:val="RIGHTLIST"/>
              <w:keepNext w:val="0"/>
              <w:rPr>
                <w:i/>
              </w:rPr>
            </w:pPr>
            <w:proofErr w:type="spellStart"/>
            <w:r w:rsidRPr="009354F6">
              <w:rPr>
                <w:i/>
              </w:rPr>
              <w:t>Nannochloropsis</w:t>
            </w:r>
            <w:proofErr w:type="spellEnd"/>
            <w:r w:rsidRPr="009354F6">
              <w:rPr>
                <w:i/>
              </w:rPr>
              <w:t xml:space="preserve"> </w:t>
            </w:r>
            <w:proofErr w:type="spellStart"/>
            <w:r w:rsidRPr="009354F6">
              <w:rPr>
                <w:i/>
              </w:rPr>
              <w:t>oceanica</w:t>
            </w:r>
            <w:proofErr w:type="spellEnd"/>
          </w:p>
        </w:tc>
      </w:tr>
      <w:tr w:rsidR="00534C16" w:rsidRPr="009354F6" w:rsidTr="00F66B23">
        <w:trPr>
          <w:trHeight w:val="708"/>
        </w:trPr>
        <w:tc>
          <w:tcPr>
            <w:tcW w:w="2689" w:type="dxa"/>
          </w:tcPr>
          <w:p w:rsidR="00534C16" w:rsidRPr="009354F6" w:rsidRDefault="00534C16" w:rsidP="00534C16">
            <w:pPr>
              <w:pStyle w:val="LEFTLIST"/>
              <w:keepNext w:val="0"/>
            </w:pPr>
            <w:r w:rsidRPr="009354F6">
              <w:t>Genes responsible for the modified traits</w:t>
            </w:r>
          </w:p>
        </w:tc>
        <w:tc>
          <w:tcPr>
            <w:tcW w:w="6760" w:type="dxa"/>
          </w:tcPr>
          <w:p w:rsidR="00534C16" w:rsidRPr="009354F6" w:rsidRDefault="00534C16" w:rsidP="00534C16">
            <w:pPr>
              <w:pStyle w:val="RIGHTLIST"/>
              <w:keepNext w:val="0"/>
              <w:rPr>
                <w:b/>
              </w:rPr>
            </w:pPr>
            <w:r w:rsidRPr="009354F6">
              <w:rPr>
                <w:b/>
              </w:rPr>
              <w:t>Introduced gene conferring increased production of fatty acids</w:t>
            </w:r>
          </w:p>
          <w:p w:rsidR="00534C16" w:rsidRPr="009354F6" w:rsidRDefault="00534C16" w:rsidP="00534C16">
            <w:pPr>
              <w:pStyle w:val="RIGHTLIST"/>
              <w:keepNext w:val="0"/>
            </w:pPr>
            <w:r w:rsidRPr="009354F6">
              <w:t xml:space="preserve">NTE – </w:t>
            </w:r>
            <w:proofErr w:type="spellStart"/>
            <w:r w:rsidRPr="009354F6">
              <w:t>thioesterase</w:t>
            </w:r>
            <w:proofErr w:type="spellEnd"/>
            <w:r w:rsidRPr="009354F6">
              <w:t xml:space="preserve"> gene from </w:t>
            </w:r>
            <w:proofErr w:type="spellStart"/>
            <w:r w:rsidRPr="009354F6">
              <w:rPr>
                <w:i/>
              </w:rPr>
              <w:t>Nannochloropsis</w:t>
            </w:r>
            <w:proofErr w:type="spellEnd"/>
            <w:r w:rsidRPr="009354F6">
              <w:rPr>
                <w:i/>
              </w:rPr>
              <w:t xml:space="preserve"> </w:t>
            </w:r>
            <w:proofErr w:type="spellStart"/>
            <w:r w:rsidRPr="009354F6">
              <w:rPr>
                <w:i/>
              </w:rPr>
              <w:t>oceanica</w:t>
            </w:r>
            <w:proofErr w:type="spellEnd"/>
          </w:p>
          <w:p w:rsidR="00534C16" w:rsidRPr="009354F6" w:rsidRDefault="00534C16" w:rsidP="00534C16">
            <w:pPr>
              <w:pStyle w:val="RIGHTLIST"/>
              <w:keepNext w:val="0"/>
            </w:pPr>
            <w:r>
              <w:rPr>
                <w:b/>
              </w:rPr>
              <w:t>Partial deletion of genes</w:t>
            </w:r>
            <w:r w:rsidRPr="009354F6">
              <w:rPr>
                <w:b/>
              </w:rPr>
              <w:t xml:space="preserve"> conferring inability to use nitrate as a nitrogen source</w:t>
            </w:r>
          </w:p>
          <w:p w:rsidR="00534C16" w:rsidRPr="009354F6" w:rsidRDefault="00534C16" w:rsidP="00534C16">
            <w:pPr>
              <w:pStyle w:val="RIGHTLIST"/>
              <w:keepNext w:val="0"/>
            </w:pPr>
            <w:r w:rsidRPr="009354F6">
              <w:t>NRT – nitrate transporter gene</w:t>
            </w:r>
          </w:p>
          <w:p w:rsidR="00534C16" w:rsidRPr="009354F6" w:rsidRDefault="00534C16" w:rsidP="00534C16">
            <w:pPr>
              <w:pStyle w:val="RIGHTLIST"/>
              <w:keepNext w:val="0"/>
              <w:rPr>
                <w:rFonts w:cstheme="minorHAnsi"/>
              </w:rPr>
            </w:pPr>
            <w:r w:rsidRPr="009354F6">
              <w:t>NR – nitrate reductase gene</w:t>
            </w:r>
          </w:p>
        </w:tc>
      </w:tr>
      <w:tr w:rsidR="00534C16" w:rsidRPr="009354F6" w:rsidTr="00F66B23">
        <w:tc>
          <w:tcPr>
            <w:tcW w:w="2689" w:type="dxa"/>
          </w:tcPr>
          <w:p w:rsidR="00534C16" w:rsidRPr="009354F6" w:rsidRDefault="00534C16" w:rsidP="00534C16">
            <w:pPr>
              <w:pStyle w:val="LEFTLIST"/>
              <w:keepNext w:val="0"/>
            </w:pPr>
            <w:r w:rsidRPr="009354F6">
              <w:t>Genetic modification method</w:t>
            </w:r>
          </w:p>
        </w:tc>
        <w:tc>
          <w:tcPr>
            <w:tcW w:w="6760" w:type="dxa"/>
          </w:tcPr>
          <w:p w:rsidR="00534C16" w:rsidRPr="009354F6" w:rsidRDefault="00534C16" w:rsidP="00534C16">
            <w:pPr>
              <w:pStyle w:val="RIGHTLIST"/>
              <w:keepNext w:val="0"/>
            </w:pPr>
            <w:r w:rsidRPr="009354F6">
              <w:t>Electroporation</w:t>
            </w:r>
          </w:p>
        </w:tc>
      </w:tr>
      <w:tr w:rsidR="00534C16" w:rsidRPr="009354F6" w:rsidTr="00F66B23">
        <w:tc>
          <w:tcPr>
            <w:tcW w:w="2689" w:type="dxa"/>
          </w:tcPr>
          <w:p w:rsidR="00534C16" w:rsidRPr="009354F6" w:rsidRDefault="00534C16" w:rsidP="00534C16">
            <w:pPr>
              <w:pStyle w:val="LEFTLIST"/>
              <w:keepNext w:val="0"/>
            </w:pPr>
            <w:r w:rsidRPr="009354F6">
              <w:t>Number of lines</w:t>
            </w:r>
          </w:p>
        </w:tc>
        <w:tc>
          <w:tcPr>
            <w:tcW w:w="6760" w:type="dxa"/>
          </w:tcPr>
          <w:p w:rsidR="00534C16" w:rsidRPr="009354F6" w:rsidRDefault="00534C16" w:rsidP="00534C16">
            <w:pPr>
              <w:pStyle w:val="RIGHTLIST"/>
              <w:keepNext w:val="0"/>
            </w:pPr>
            <w:r w:rsidRPr="009354F6">
              <w:t xml:space="preserve">Up to five GM lines </w:t>
            </w:r>
          </w:p>
        </w:tc>
      </w:tr>
      <w:tr w:rsidR="00534C16" w:rsidRPr="009354F6" w:rsidTr="00F66B23">
        <w:tc>
          <w:tcPr>
            <w:tcW w:w="2689" w:type="dxa"/>
          </w:tcPr>
          <w:p w:rsidR="00534C16" w:rsidRPr="009354F6" w:rsidRDefault="00534C16" w:rsidP="00534C16">
            <w:pPr>
              <w:pStyle w:val="LEFTLIST"/>
              <w:keepNext w:val="0"/>
            </w:pPr>
            <w:r w:rsidRPr="009354F6">
              <w:t>Proposed location</w:t>
            </w:r>
          </w:p>
        </w:tc>
        <w:tc>
          <w:tcPr>
            <w:tcW w:w="6760" w:type="dxa"/>
          </w:tcPr>
          <w:p w:rsidR="00534C16" w:rsidRPr="009354F6" w:rsidRDefault="00534C16" w:rsidP="00534C16">
            <w:pPr>
              <w:pStyle w:val="RIGHTLIST"/>
              <w:keepNext w:val="0"/>
            </w:pPr>
            <w:r w:rsidRPr="009354F6">
              <w:rPr>
                <w:rFonts w:cs="Calibri"/>
              </w:rPr>
              <w:t>The University of Queensland’s Pinjarra Hills campus (Centre for Solar Biotechnology pilot plant), Brisbane City, Queensland</w:t>
            </w:r>
          </w:p>
        </w:tc>
      </w:tr>
      <w:tr w:rsidR="00534C16" w:rsidRPr="009354F6" w:rsidTr="00F66B23">
        <w:tc>
          <w:tcPr>
            <w:tcW w:w="2689" w:type="dxa"/>
          </w:tcPr>
          <w:p w:rsidR="00534C16" w:rsidRPr="009354F6" w:rsidRDefault="00534C16" w:rsidP="00534C16">
            <w:pPr>
              <w:pStyle w:val="LEFTLIST"/>
              <w:keepNext w:val="0"/>
            </w:pPr>
            <w:r w:rsidRPr="009354F6">
              <w:t>Proposed release size</w:t>
            </w:r>
          </w:p>
        </w:tc>
        <w:tc>
          <w:tcPr>
            <w:tcW w:w="6760" w:type="dxa"/>
          </w:tcPr>
          <w:p w:rsidR="00534C16" w:rsidRPr="009354F6" w:rsidRDefault="00534C16" w:rsidP="00534C16">
            <w:pPr>
              <w:pStyle w:val="RIGHTLIST"/>
              <w:keepNext w:val="0"/>
            </w:pPr>
            <w:r w:rsidRPr="009354F6">
              <w:rPr>
                <w:rFonts w:cs="Calibri"/>
              </w:rPr>
              <w:t>Multiple batches of GM microalgae in up to six securely covered culture vessels with a volume of up to 600 litres per vessel</w:t>
            </w:r>
          </w:p>
        </w:tc>
      </w:tr>
      <w:tr w:rsidR="00534C16" w:rsidRPr="009354F6" w:rsidTr="00F66B23">
        <w:tc>
          <w:tcPr>
            <w:tcW w:w="2689" w:type="dxa"/>
          </w:tcPr>
          <w:p w:rsidR="00534C16" w:rsidRPr="009354F6" w:rsidRDefault="00534C16" w:rsidP="00534C16">
            <w:pPr>
              <w:pStyle w:val="LEFTLIST"/>
              <w:keepNext w:val="0"/>
            </w:pPr>
            <w:r w:rsidRPr="009354F6">
              <w:t>Proposed period of release</w:t>
            </w:r>
          </w:p>
        </w:tc>
        <w:tc>
          <w:tcPr>
            <w:tcW w:w="6760" w:type="dxa"/>
          </w:tcPr>
          <w:p w:rsidR="00534C16" w:rsidRPr="009354F6" w:rsidRDefault="00534C16" w:rsidP="00534C16">
            <w:pPr>
              <w:pStyle w:val="RIGHTLIST"/>
              <w:keepNext w:val="0"/>
            </w:pPr>
            <w:r w:rsidRPr="009354F6">
              <w:rPr>
                <w:rFonts w:cs="Calibri"/>
              </w:rPr>
              <w:t>Several periods up to a total of 12 months, until the end of 2023</w:t>
            </w:r>
            <w:r w:rsidRPr="009354F6">
              <w:rPr>
                <w:rStyle w:val="FootnoteReference"/>
                <w:rFonts w:cs="Calibri"/>
              </w:rPr>
              <w:footnoteReference w:id="2"/>
            </w:r>
          </w:p>
        </w:tc>
      </w:tr>
      <w:tr w:rsidR="00534C16" w:rsidRPr="009354F6" w:rsidTr="00F66B23">
        <w:tc>
          <w:tcPr>
            <w:tcW w:w="2689" w:type="dxa"/>
          </w:tcPr>
          <w:p w:rsidR="00534C16" w:rsidRPr="009354F6" w:rsidRDefault="00534C16" w:rsidP="00534C16">
            <w:pPr>
              <w:pStyle w:val="LEFTLIST"/>
              <w:keepNext w:val="0"/>
            </w:pPr>
            <w:r w:rsidRPr="009354F6">
              <w:lastRenderedPageBreak/>
              <w:t>Principal purpose</w:t>
            </w:r>
          </w:p>
        </w:tc>
        <w:tc>
          <w:tcPr>
            <w:tcW w:w="6760" w:type="dxa"/>
          </w:tcPr>
          <w:p w:rsidR="00534C16" w:rsidRPr="009354F6" w:rsidRDefault="00534C16" w:rsidP="00534C16">
            <w:pPr>
              <w:pStyle w:val="RIGHTLIST"/>
              <w:keepNext w:val="0"/>
              <w:rPr>
                <w:rFonts w:cs="Calibri"/>
              </w:rPr>
            </w:pPr>
            <w:r w:rsidRPr="009354F6">
              <w:rPr>
                <w:rFonts w:cs="Calibri"/>
              </w:rPr>
              <w:t>To assess and optimise growth characteristics and production conditions of the GM microalgae under outdoor conditions</w:t>
            </w:r>
          </w:p>
        </w:tc>
      </w:tr>
    </w:tbl>
    <w:p w:rsidR="00534C16" w:rsidRPr="009354F6" w:rsidRDefault="00534C16" w:rsidP="00534C16">
      <w:pPr>
        <w:pStyle w:val="4RARMP"/>
      </w:pPr>
      <w:r w:rsidRPr="009354F6">
        <w:t>Risk assessment</w:t>
      </w:r>
    </w:p>
    <w:p w:rsidR="00534C16" w:rsidRPr="009354F6" w:rsidRDefault="00534C16" w:rsidP="00534C16">
      <w:r w:rsidRPr="009354F6">
        <w:t xml:space="preserve">The risk assessment concludes that risks to the health and safety of people or the environment from the proposed dealings are negligible. No </w:t>
      </w:r>
      <w:r w:rsidRPr="009354F6">
        <w:rPr>
          <w:szCs w:val="22"/>
        </w:rPr>
        <w:t xml:space="preserve">specific risk treatment measures are required to manage these </w:t>
      </w:r>
      <w:r w:rsidRPr="009354F6">
        <w:t xml:space="preserve">negligible </w:t>
      </w:r>
      <w:r w:rsidRPr="009354F6">
        <w:rPr>
          <w:szCs w:val="22"/>
        </w:rPr>
        <w:t>risks.</w:t>
      </w:r>
    </w:p>
    <w:p w:rsidR="00534C16" w:rsidRPr="009354F6" w:rsidRDefault="00534C16" w:rsidP="00534C16">
      <w:r w:rsidRPr="009354F6">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short- and long-term impacts are considered.</w:t>
      </w:r>
    </w:p>
    <w:p w:rsidR="00534C16" w:rsidRPr="009354F6" w:rsidRDefault="00534C16" w:rsidP="00534C16">
      <w:r w:rsidRPr="009354F6">
        <w:t xml:space="preserve">Credible pathways to potential harm that were considered included exposure of people or other desirable organisms to the GM microalgae, and the potential for persistence or dispersal of the GMOs. Potential harms associated with these pathways included toxicity or </w:t>
      </w:r>
      <w:proofErr w:type="spellStart"/>
      <w:r w:rsidRPr="009354F6">
        <w:t>allergenicity</w:t>
      </w:r>
      <w:proofErr w:type="spellEnd"/>
      <w:r w:rsidRPr="009354F6">
        <w:t xml:space="preserve"> to people, toxicity to desirable animals, and environmental harms due to reduced quality of the biotic environment or reduced establishment of desirable organisms.</w:t>
      </w:r>
    </w:p>
    <w:p w:rsidR="00534C16" w:rsidRPr="009354F6" w:rsidRDefault="00534C16" w:rsidP="00534C16">
      <w:r w:rsidRPr="009354F6">
        <w:lastRenderedPageBreak/>
        <w:t>The principal reasons for the conclusion of negligible risks are that the GM microalgae will not be used for human food or animal feed, and that the proposed limits and controls will effectively minimise exposure to and dispersal of the GMOs.</w:t>
      </w:r>
    </w:p>
    <w:p w:rsidR="00534C16" w:rsidRPr="009354F6" w:rsidRDefault="00534C16" w:rsidP="00534C16">
      <w:pPr>
        <w:pStyle w:val="4RARMP"/>
      </w:pPr>
      <w:r w:rsidRPr="009354F6">
        <w:t>Risk management</w:t>
      </w:r>
    </w:p>
    <w:p w:rsidR="00534C16" w:rsidRPr="009354F6" w:rsidRDefault="00534C16" w:rsidP="00534C16">
      <w:r w:rsidRPr="009354F6">
        <w:t>The risk management plan describes measures to protect the health and safety of people and to protect the environment by controlling or mitigating risk. The risk management plan is given effect through licence conditions.</w:t>
      </w:r>
    </w:p>
    <w:p w:rsidR="00C2435D" w:rsidRDefault="00534C16" w:rsidP="00E6396F">
      <w:pPr>
        <w:spacing w:after="5880"/>
      </w:pPr>
      <w:r w:rsidRPr="009354F6">
        <w:t xml:space="preserve">As the level of risk is considered negligible, specific risk treatment is not required. However, since this is a limited and controlled release, the licence includes limits on the size, location and duration of the release. Controls are included to prohibit the use of the GM microalgae in human food and animal feed, to minimise dispersal of the GMOs from the trial site, to transport GMOs in accordance with the Regulator’s guidelines, </w:t>
      </w:r>
      <w:r>
        <w:t xml:space="preserve">and </w:t>
      </w:r>
      <w:r w:rsidRPr="009354F6">
        <w:t xml:space="preserve">to destroy </w:t>
      </w:r>
      <w:r>
        <w:t xml:space="preserve">the </w:t>
      </w:r>
      <w:r w:rsidRPr="009354F6">
        <w:t>GMOs at the end of the trial.</w:t>
      </w:r>
      <w:r w:rsidR="00E6396F">
        <w:t xml:space="preserve"> </w:t>
      </w:r>
    </w:p>
    <w:p w:rsidR="00C2435D" w:rsidRPr="00534C16" w:rsidRDefault="00C2435D" w:rsidP="00C2435D">
      <w:pPr>
        <w:pBdr>
          <w:top w:val="single" w:sz="4" w:space="1" w:color="auto"/>
        </w:pBdr>
        <w:jc w:val="center"/>
        <w:rPr>
          <w:sz w:val="20"/>
          <w:szCs w:val="22"/>
        </w:rPr>
      </w:pPr>
      <w:r w:rsidRPr="00534C16">
        <w:rPr>
          <w:sz w:val="20"/>
          <w:szCs w:val="22"/>
        </w:rPr>
        <w:t xml:space="preserve">Address: MDP 54 </w:t>
      </w:r>
      <w:r w:rsidR="00363CC3">
        <w:rPr>
          <w:sz w:val="20"/>
          <w:szCs w:val="22"/>
        </w:rPr>
        <w:t xml:space="preserve">– </w:t>
      </w:r>
      <w:r w:rsidRPr="00534C16">
        <w:rPr>
          <w:sz w:val="20"/>
          <w:szCs w:val="22"/>
        </w:rPr>
        <w:t>GPO Box 9848</w:t>
      </w:r>
      <w:r w:rsidR="00363CC3">
        <w:rPr>
          <w:sz w:val="20"/>
          <w:szCs w:val="22"/>
        </w:rPr>
        <w:t>,</w:t>
      </w:r>
      <w:r w:rsidRPr="00534C16">
        <w:rPr>
          <w:sz w:val="20"/>
          <w:szCs w:val="22"/>
        </w:rPr>
        <w:t xml:space="preserve"> Canberra ACT 2601</w:t>
      </w:r>
      <w:r w:rsidRPr="00534C16">
        <w:rPr>
          <w:sz w:val="20"/>
          <w:szCs w:val="22"/>
        </w:rPr>
        <w:tab/>
        <w:t>Website: www.ogtr.gov.au</w:t>
      </w:r>
    </w:p>
    <w:p w:rsidR="00C2435D" w:rsidRDefault="00C2435D" w:rsidP="00363CC3">
      <w:pPr>
        <w:jc w:val="center"/>
      </w:pPr>
      <w:r w:rsidRPr="00534C16">
        <w:rPr>
          <w:sz w:val="20"/>
          <w:szCs w:val="22"/>
        </w:rPr>
        <w:t>Telephone: 1800 181 030</w:t>
      </w:r>
      <w:r w:rsidRPr="00534C16">
        <w:rPr>
          <w:sz w:val="20"/>
          <w:szCs w:val="22"/>
        </w:rPr>
        <w:tab/>
        <w:t>Email: ogtr@health.gov.au</w:t>
      </w:r>
    </w:p>
    <w:sectPr w:rsidR="00C2435D" w:rsidSect="00C2435D">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16" w:rsidRDefault="00534C16" w:rsidP="00534C16">
      <w:pPr>
        <w:spacing w:before="0" w:after="0"/>
      </w:pPr>
      <w:r>
        <w:separator/>
      </w:r>
    </w:p>
  </w:endnote>
  <w:endnote w:type="continuationSeparator" w:id="0">
    <w:p w:rsidR="00534C16" w:rsidRDefault="00534C16" w:rsidP="00534C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16" w:rsidRDefault="00534C16" w:rsidP="00534C16">
      <w:pPr>
        <w:spacing w:before="0" w:after="0"/>
      </w:pPr>
      <w:r>
        <w:separator/>
      </w:r>
    </w:p>
  </w:footnote>
  <w:footnote w:type="continuationSeparator" w:id="0">
    <w:p w:rsidR="00534C16" w:rsidRDefault="00534C16" w:rsidP="00534C16">
      <w:pPr>
        <w:spacing w:before="0" w:after="0"/>
      </w:pPr>
      <w:r>
        <w:continuationSeparator/>
      </w:r>
    </w:p>
  </w:footnote>
  <w:footnote w:id="1">
    <w:p w:rsidR="00534C16" w:rsidRDefault="00534C16" w:rsidP="00534C16">
      <w:pPr>
        <w:pStyle w:val="FootnoteText"/>
      </w:pPr>
      <w:r>
        <w:rPr>
          <w:rStyle w:val="FootnoteReference"/>
        </w:rPr>
        <w:footnoteRef/>
      </w:r>
      <w:r>
        <w:t xml:space="preserve"> </w:t>
      </w:r>
      <w:r w:rsidRPr="002B1A0F">
        <w:rPr>
          <w:rFonts w:cs="Calibri"/>
        </w:rPr>
        <w:t xml:space="preserve">The original title for the application was </w:t>
      </w:r>
      <w:r>
        <w:rPr>
          <w:rFonts w:cs="Calibri"/>
        </w:rPr>
        <w:t>‘</w:t>
      </w:r>
      <w:r w:rsidRPr="002B1A0F">
        <w:rPr>
          <w:rFonts w:cs="Calibri"/>
        </w:rPr>
        <w:t xml:space="preserve">Limited and controlled release of </w:t>
      </w:r>
      <w:proofErr w:type="spellStart"/>
      <w:r w:rsidRPr="002B1A0F">
        <w:rPr>
          <w:rFonts w:cs="Calibri"/>
          <w:i/>
        </w:rPr>
        <w:t>Nannochloropsis</w:t>
      </w:r>
      <w:proofErr w:type="spellEnd"/>
      <w:r w:rsidRPr="002B1A0F">
        <w:rPr>
          <w:rFonts w:cs="Calibri"/>
          <w:i/>
        </w:rPr>
        <w:t xml:space="preserve"> </w:t>
      </w:r>
      <w:proofErr w:type="spellStart"/>
      <w:r w:rsidRPr="002B1A0F">
        <w:rPr>
          <w:rFonts w:cs="Calibri"/>
          <w:i/>
        </w:rPr>
        <w:t>oceanica</w:t>
      </w:r>
      <w:proofErr w:type="spellEnd"/>
      <w:r w:rsidRPr="002B1A0F">
        <w:rPr>
          <w:rFonts w:cs="Calibri"/>
        </w:rPr>
        <w:t xml:space="preserve"> genetically modified for increased production of fatty acids</w:t>
      </w:r>
      <w:r>
        <w:rPr>
          <w:rFonts w:cs="Calibri"/>
        </w:rPr>
        <w:t>’</w:t>
      </w:r>
      <w:r w:rsidRPr="002B1A0F">
        <w:rPr>
          <w:rFonts w:cs="Calibri"/>
        </w:rPr>
        <w:t>.</w:t>
      </w:r>
    </w:p>
  </w:footnote>
  <w:footnote w:id="2">
    <w:p w:rsidR="00534C16" w:rsidRDefault="00534C16" w:rsidP="00534C16">
      <w:pPr>
        <w:pStyle w:val="FootnoteText"/>
      </w:pPr>
      <w:r>
        <w:rPr>
          <w:rStyle w:val="FootnoteReference"/>
        </w:rPr>
        <w:footnoteRef/>
      </w:r>
      <w:r>
        <w:t xml:space="preserve"> During consultation, UQ amended their application to extend the proposed period.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6C"/>
    <w:rsid w:val="00033998"/>
    <w:rsid w:val="00280050"/>
    <w:rsid w:val="00363CC3"/>
    <w:rsid w:val="00534C16"/>
    <w:rsid w:val="00731100"/>
    <w:rsid w:val="00810AAA"/>
    <w:rsid w:val="00BF2E6C"/>
    <w:rsid w:val="00C2435D"/>
    <w:rsid w:val="00CD776C"/>
    <w:rsid w:val="00E6396F"/>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C16"/>
    <w:pPr>
      <w:spacing w:before="120" w:after="120" w:line="240" w:lineRule="auto"/>
    </w:pPr>
    <w:rPr>
      <w:rFonts w:ascii="Calibri" w:eastAsia="Times New Roman" w:hAnsi="Calibri"/>
      <w:sz w:val="22"/>
    </w:rPr>
  </w:style>
  <w:style w:type="paragraph" w:styleId="Heading1">
    <w:name w:val="heading 1"/>
    <w:basedOn w:val="Normal"/>
    <w:next w:val="Normal"/>
    <w:link w:val="Heading1Char"/>
    <w:uiPriority w:val="9"/>
    <w:qFormat/>
    <w:rsid w:val="00534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C16"/>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RARMP">
    <w:name w:val="1 RARMP"/>
    <w:basedOn w:val="Normal"/>
    <w:rsid w:val="00534C16"/>
    <w:pPr>
      <w:jc w:val="center"/>
    </w:pPr>
    <w:rPr>
      <w:b/>
      <w:bCs/>
      <w:sz w:val="36"/>
      <w:szCs w:val="20"/>
    </w:rPr>
  </w:style>
  <w:style w:type="paragraph" w:customStyle="1" w:styleId="4RARMP">
    <w:name w:val="4 RARMP"/>
    <w:basedOn w:val="1RARMP"/>
    <w:rsid w:val="00534C16"/>
    <w:pPr>
      <w:spacing w:before="240"/>
      <w:jc w:val="left"/>
    </w:pPr>
    <w:rPr>
      <w:i/>
      <w:sz w:val="24"/>
    </w:rPr>
  </w:style>
  <w:style w:type="paragraph" w:styleId="Header">
    <w:name w:val="header"/>
    <w:basedOn w:val="Normal"/>
    <w:link w:val="HeaderChar"/>
    <w:uiPriority w:val="99"/>
    <w:rsid w:val="00534C16"/>
    <w:pPr>
      <w:tabs>
        <w:tab w:val="center" w:pos="4513"/>
        <w:tab w:val="right" w:pos="9026"/>
      </w:tabs>
    </w:pPr>
  </w:style>
  <w:style w:type="character" w:customStyle="1" w:styleId="HeaderChar">
    <w:name w:val="Header Char"/>
    <w:basedOn w:val="DefaultParagraphFont"/>
    <w:link w:val="Header"/>
    <w:uiPriority w:val="99"/>
    <w:rsid w:val="00534C16"/>
    <w:rPr>
      <w:rFonts w:ascii="Calibri" w:eastAsia="Times New Roman" w:hAnsi="Calibri"/>
      <w:sz w:val="22"/>
    </w:rPr>
  </w:style>
  <w:style w:type="paragraph" w:styleId="Footer">
    <w:name w:val="footer"/>
    <w:basedOn w:val="Normal"/>
    <w:link w:val="FooterChar"/>
    <w:uiPriority w:val="99"/>
    <w:rsid w:val="00534C16"/>
    <w:pPr>
      <w:tabs>
        <w:tab w:val="center" w:pos="4513"/>
        <w:tab w:val="right" w:pos="9026"/>
      </w:tabs>
    </w:pPr>
  </w:style>
  <w:style w:type="character" w:customStyle="1" w:styleId="FooterChar">
    <w:name w:val="Footer Char"/>
    <w:basedOn w:val="DefaultParagraphFont"/>
    <w:link w:val="Footer"/>
    <w:uiPriority w:val="99"/>
    <w:rsid w:val="00534C16"/>
    <w:rPr>
      <w:rFonts w:ascii="Calibri" w:eastAsia="Times New Roman" w:hAnsi="Calibri"/>
      <w:sz w:val="22"/>
    </w:rPr>
  </w:style>
  <w:style w:type="character" w:styleId="FootnoteReference">
    <w:name w:val="footnote reference"/>
    <w:basedOn w:val="DefaultParagraphFont"/>
    <w:rsid w:val="00534C16"/>
    <w:rPr>
      <w:vertAlign w:val="superscript"/>
    </w:rPr>
  </w:style>
  <w:style w:type="paragraph" w:customStyle="1" w:styleId="3RARMP">
    <w:name w:val="3 RARMP"/>
    <w:basedOn w:val="Normal"/>
    <w:rsid w:val="00534C16"/>
    <w:pPr>
      <w:jc w:val="center"/>
    </w:pPr>
    <w:rPr>
      <w:b/>
      <w:bCs/>
      <w:sz w:val="36"/>
      <w:szCs w:val="20"/>
    </w:rPr>
  </w:style>
  <w:style w:type="paragraph" w:customStyle="1" w:styleId="RIGHTLIST">
    <w:name w:val="RIGHTLIST"/>
    <w:basedOn w:val="Normal"/>
    <w:rsid w:val="00534C16"/>
    <w:pPr>
      <w:keepNext/>
      <w:tabs>
        <w:tab w:val="right" w:leader="dot" w:pos="9356"/>
      </w:tabs>
      <w:spacing w:before="80" w:after="40"/>
    </w:pPr>
    <w:rPr>
      <w:szCs w:val="22"/>
      <w:lang w:eastAsia="en-AU"/>
    </w:rPr>
  </w:style>
  <w:style w:type="paragraph" w:customStyle="1" w:styleId="LEFTLIST">
    <w:name w:val="LEFTLIST"/>
    <w:basedOn w:val="Heading1"/>
    <w:rsid w:val="00534C16"/>
    <w:pPr>
      <w:keepLines w:val="0"/>
      <w:tabs>
        <w:tab w:val="right" w:leader="dot" w:pos="9356"/>
      </w:tabs>
      <w:spacing w:before="80" w:after="40"/>
      <w:outlineLvl w:val="9"/>
    </w:pPr>
    <w:rPr>
      <w:rFonts w:ascii="Calibri" w:eastAsia="Times New Roman" w:hAnsi="Calibri" w:cs="Arial Narrow"/>
      <w:b/>
      <w:bCs/>
      <w:color w:val="auto"/>
      <w:sz w:val="22"/>
      <w:szCs w:val="22"/>
      <w:lang w:eastAsia="en-AU"/>
    </w:rPr>
  </w:style>
  <w:style w:type="paragraph" w:styleId="FootnoteText">
    <w:name w:val="footnote text"/>
    <w:basedOn w:val="Normal"/>
    <w:link w:val="FootnoteTextChar"/>
    <w:unhideWhenUsed/>
    <w:rsid w:val="00534C16"/>
    <w:pPr>
      <w:spacing w:before="0" w:after="0"/>
    </w:pPr>
    <w:rPr>
      <w:sz w:val="20"/>
      <w:szCs w:val="20"/>
    </w:rPr>
  </w:style>
  <w:style w:type="character" w:customStyle="1" w:styleId="FootnoteTextChar">
    <w:name w:val="Footnote Text Char"/>
    <w:basedOn w:val="DefaultParagraphFont"/>
    <w:link w:val="FootnoteText"/>
    <w:rsid w:val="00534C16"/>
    <w:rPr>
      <w:rFonts w:ascii="Calibri" w:eastAsia="Times New Roman" w:hAnsi="Calibri"/>
      <w:sz w:val="20"/>
      <w:szCs w:val="20"/>
    </w:rPr>
  </w:style>
  <w:style w:type="character" w:customStyle="1" w:styleId="Heading1Char">
    <w:name w:val="Heading 1 Char"/>
    <w:basedOn w:val="DefaultParagraphFont"/>
    <w:link w:val="Heading1"/>
    <w:uiPriority w:val="9"/>
    <w:rsid w:val="00534C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3368</Characters>
  <Application>Microsoft Office Word</Application>
  <DocSecurity>4</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169 Summary of RARMP</dc:title>
  <dc:subject/>
  <dc:creator/>
  <cp:keywords/>
  <dc:description/>
  <cp:lastModifiedBy/>
  <cp:revision>1</cp:revision>
  <dcterms:created xsi:type="dcterms:W3CDTF">2020-01-13T03:15:00Z</dcterms:created>
  <dcterms:modified xsi:type="dcterms:W3CDTF">2020-01-13T03:15:00Z</dcterms:modified>
</cp:coreProperties>
</file>