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16" w:rsidRPr="009D4616" w:rsidRDefault="009D4616" w:rsidP="00830CE8">
      <w:pPr>
        <w:rPr>
          <w:lang w:eastAsia="en-AU"/>
        </w:rPr>
      </w:pPr>
      <w:bookmarkStart w:id="0" w:name="_Toc342042179"/>
      <w:bookmarkStart w:id="1" w:name="_Toc355008037"/>
      <w:bookmarkStart w:id="2" w:name="_Toc402182976"/>
      <w:bookmarkStart w:id="3" w:name="_Toc461701656"/>
      <w:bookmarkStart w:id="4" w:name="_Toc463863456"/>
      <w:r w:rsidRPr="009D4616">
        <w:rPr>
          <w:noProof/>
          <w:lang w:eastAsia="en-AU"/>
        </w:rPr>
        <w:drawing>
          <wp:inline distT="0" distB="0" distL="0" distR="0" wp14:anchorId="04263387" wp14:editId="48936423">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D4616" w:rsidRPr="00A851AE" w:rsidRDefault="009D4616" w:rsidP="009D4616">
      <w:pPr>
        <w:spacing w:before="960"/>
        <w:jc w:val="center"/>
        <w:rPr>
          <w:rFonts w:ascii="Calibri" w:eastAsia="Times New Roman" w:hAnsi="Calibri" w:cs="Arial"/>
          <w:b/>
          <w:bCs/>
          <w:sz w:val="52"/>
          <w:szCs w:val="52"/>
          <w:lang w:eastAsia="en-AU"/>
        </w:rPr>
      </w:pPr>
      <w:r w:rsidRPr="00A851AE">
        <w:rPr>
          <w:rFonts w:ascii="Calibri" w:eastAsia="Times New Roman" w:hAnsi="Calibri" w:cs="Arial"/>
          <w:b/>
          <w:bCs/>
          <w:sz w:val="52"/>
          <w:szCs w:val="52"/>
          <w:lang w:eastAsia="en-AU"/>
        </w:rPr>
        <w:t>Licence for dealings involving an intentional release of a GMO into the environment</w:t>
      </w:r>
    </w:p>
    <w:p w:rsidR="009D4616" w:rsidRPr="00A851AE" w:rsidRDefault="009D4616" w:rsidP="009D4616">
      <w:pPr>
        <w:spacing w:before="960"/>
        <w:jc w:val="center"/>
        <w:outlineLvl w:val="0"/>
        <w:rPr>
          <w:rFonts w:ascii="Calibri" w:eastAsia="Times New Roman" w:hAnsi="Calibri" w:cs="Arial"/>
          <w:b/>
          <w:bCs/>
          <w:sz w:val="36"/>
          <w:szCs w:val="36"/>
          <w:lang w:val="en-US" w:eastAsia="en-AU"/>
        </w:rPr>
      </w:pPr>
      <w:r w:rsidRPr="00A851AE">
        <w:rPr>
          <w:rFonts w:ascii="Calibri" w:eastAsia="Times New Roman" w:hAnsi="Calibri" w:cs="Arial"/>
          <w:b/>
          <w:bCs/>
          <w:sz w:val="36"/>
          <w:szCs w:val="36"/>
          <w:lang w:val="en-US" w:eastAsia="en-AU"/>
        </w:rPr>
        <w:t>Licence No.: DIR 1</w:t>
      </w:r>
      <w:r w:rsidR="00F41400">
        <w:rPr>
          <w:rFonts w:ascii="Calibri" w:eastAsia="Times New Roman" w:hAnsi="Calibri" w:cs="Arial"/>
          <w:b/>
          <w:bCs/>
          <w:sz w:val="36"/>
          <w:szCs w:val="36"/>
          <w:lang w:val="en-US" w:eastAsia="en-AU"/>
        </w:rPr>
        <w:t>60</w:t>
      </w:r>
    </w:p>
    <w:p w:rsidR="009D4616" w:rsidRPr="00A851AE" w:rsidRDefault="009D4616" w:rsidP="009D4616">
      <w:pPr>
        <w:spacing w:before="480" w:after="120"/>
        <w:jc w:val="center"/>
        <w:rPr>
          <w:rFonts w:ascii="Calibri" w:eastAsia="Times New Roman" w:hAnsi="Calibri" w:cs="Arial"/>
          <w:b/>
          <w:bCs/>
          <w:sz w:val="32"/>
          <w:szCs w:val="32"/>
          <w:lang w:val="en-US" w:eastAsia="en-AU"/>
        </w:rPr>
      </w:pPr>
      <w:r w:rsidRPr="00A851AE">
        <w:rPr>
          <w:rFonts w:ascii="Calibri" w:eastAsia="Times New Roman" w:hAnsi="Calibri" w:cs="Arial"/>
          <w:b/>
          <w:bCs/>
          <w:sz w:val="32"/>
          <w:szCs w:val="32"/>
          <w:lang w:val="en-US" w:eastAsia="en-AU"/>
        </w:rPr>
        <w:t xml:space="preserve">Licence holder: </w:t>
      </w:r>
      <w:r w:rsidR="00F41400" w:rsidRPr="00F41400">
        <w:rPr>
          <w:rFonts w:ascii="Calibri" w:eastAsia="Times New Roman" w:hAnsi="Calibri" w:cs="Arial"/>
          <w:b/>
          <w:bCs/>
          <w:sz w:val="32"/>
          <w:szCs w:val="32"/>
          <w:lang w:val="en-US" w:eastAsia="en-AU"/>
        </w:rPr>
        <w:t>Department of Economic Development, Jobs, Transport and Resources (DEDJTR)</w:t>
      </w:r>
    </w:p>
    <w:p w:rsidR="009D4616" w:rsidRPr="00A851AE" w:rsidRDefault="009D4616" w:rsidP="009D4616">
      <w:pPr>
        <w:spacing w:before="960"/>
        <w:jc w:val="center"/>
        <w:rPr>
          <w:rFonts w:ascii="Calibri" w:eastAsia="Times New Roman" w:hAnsi="Calibri" w:cs="Arial"/>
          <w:b/>
          <w:bCs/>
          <w:sz w:val="28"/>
          <w:szCs w:val="28"/>
          <w:lang w:eastAsia="en-AU"/>
        </w:rPr>
      </w:pPr>
      <w:r w:rsidRPr="00A851AE">
        <w:rPr>
          <w:rFonts w:ascii="Calibri" w:eastAsia="Times New Roman" w:hAnsi="Calibri" w:cs="Arial"/>
          <w:b/>
          <w:bCs/>
          <w:sz w:val="32"/>
          <w:szCs w:val="32"/>
          <w:lang w:eastAsia="en-AU"/>
        </w:rPr>
        <w:t>Title:</w:t>
      </w:r>
      <w:r w:rsidRPr="00A851AE">
        <w:rPr>
          <w:rFonts w:ascii="Calibri" w:eastAsia="Times New Roman" w:hAnsi="Calibri"/>
          <w:sz w:val="32"/>
          <w:szCs w:val="32"/>
          <w:lang w:eastAsia="en-AU"/>
        </w:rPr>
        <w:t xml:space="preserve"> </w:t>
      </w:r>
      <w:r w:rsidR="00972B16" w:rsidRPr="00972B16">
        <w:rPr>
          <w:rFonts w:ascii="Calibri" w:eastAsia="Times New Roman" w:hAnsi="Calibri" w:cs="Arial"/>
          <w:b/>
          <w:bCs/>
          <w:sz w:val="32"/>
          <w:szCs w:val="32"/>
          <w:lang w:eastAsia="en-AU"/>
        </w:rPr>
        <w:t xml:space="preserve">Limited and controlled release of </w:t>
      </w:r>
      <w:r w:rsidR="00F41400">
        <w:rPr>
          <w:rFonts w:ascii="Calibri" w:eastAsia="Times New Roman" w:hAnsi="Calibri" w:cs="Arial"/>
          <w:b/>
          <w:bCs/>
          <w:sz w:val="32"/>
          <w:szCs w:val="32"/>
          <w:lang w:eastAsia="en-AU"/>
        </w:rPr>
        <w:t>perennial ryegrass</w:t>
      </w:r>
      <w:r w:rsidR="00972B16" w:rsidRPr="00972B16">
        <w:rPr>
          <w:rFonts w:ascii="Calibri" w:eastAsia="Times New Roman" w:hAnsi="Calibri" w:cs="Arial"/>
          <w:b/>
          <w:bCs/>
          <w:sz w:val="32"/>
          <w:szCs w:val="32"/>
          <w:lang w:eastAsia="en-AU"/>
        </w:rPr>
        <w:t xml:space="preserve"> genetically modified for </w:t>
      </w:r>
      <w:r w:rsidR="00F41400">
        <w:rPr>
          <w:rFonts w:ascii="Calibri" w:eastAsia="Times New Roman" w:hAnsi="Calibri" w:cs="Arial"/>
          <w:b/>
          <w:bCs/>
          <w:sz w:val="32"/>
          <w:szCs w:val="32"/>
          <w:lang w:eastAsia="en-AU"/>
        </w:rPr>
        <w:t>fructan biosynthesis</w:t>
      </w:r>
    </w:p>
    <w:p w:rsidR="009D4616" w:rsidRPr="00A851AE" w:rsidRDefault="009D4616" w:rsidP="009D4616">
      <w:pPr>
        <w:spacing w:before="960"/>
        <w:jc w:val="center"/>
        <w:rPr>
          <w:rFonts w:ascii="Calibri" w:eastAsia="Times New Roman" w:hAnsi="Calibri" w:cs="Arial"/>
          <w:sz w:val="28"/>
          <w:szCs w:val="28"/>
          <w:lang w:eastAsia="en-AU"/>
        </w:rPr>
      </w:pPr>
      <w:r w:rsidRPr="00A851AE">
        <w:rPr>
          <w:rFonts w:ascii="Calibri" w:eastAsia="Times New Roman" w:hAnsi="Calibri" w:cs="Arial"/>
          <w:sz w:val="28"/>
          <w:szCs w:val="28"/>
          <w:lang w:eastAsia="en-AU"/>
        </w:rPr>
        <w:t>Issued:</w:t>
      </w:r>
      <w:r w:rsidR="005127AB">
        <w:rPr>
          <w:rFonts w:ascii="Calibri" w:eastAsia="Times New Roman" w:hAnsi="Calibri" w:cs="Arial"/>
          <w:sz w:val="28"/>
          <w:szCs w:val="28"/>
          <w:lang w:eastAsia="en-AU"/>
        </w:rPr>
        <w:t xml:space="preserve"> </w:t>
      </w:r>
      <w:r w:rsidR="005127AB" w:rsidRPr="00967C63">
        <w:rPr>
          <w:rFonts w:ascii="Calibri" w:eastAsia="Times New Roman" w:hAnsi="Calibri" w:cs="Arial"/>
          <w:sz w:val="28"/>
          <w:szCs w:val="28"/>
          <w:lang w:eastAsia="en-AU"/>
        </w:rPr>
        <w:t>6</w:t>
      </w:r>
      <w:r w:rsidR="00F41400" w:rsidRPr="00967C63">
        <w:rPr>
          <w:rFonts w:ascii="Calibri" w:eastAsia="Times New Roman" w:hAnsi="Calibri" w:cs="Arial"/>
          <w:sz w:val="28"/>
          <w:szCs w:val="28"/>
          <w:lang w:eastAsia="en-AU"/>
        </w:rPr>
        <w:t xml:space="preserve"> March 2018</w:t>
      </w:r>
    </w:p>
    <w:p w:rsidR="009D4616" w:rsidRPr="009D4616" w:rsidRDefault="009D4616" w:rsidP="009D4616">
      <w:pPr>
        <w:spacing w:before="192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9D4616">
          <w:rPr>
            <w:rFonts w:asciiTheme="minorHAnsi" w:eastAsia="Times New Roman" w:hAnsiTheme="minorHAnsi"/>
            <w:b/>
            <w:bCs/>
            <w:color w:val="0000FF" w:themeColor="hyperlink"/>
            <w:u w:val="single"/>
            <w:lang w:eastAsia="en-AU"/>
          </w:rPr>
          <w:t>Office of the Gene Technology Regulator website</w:t>
        </w:r>
      </w:hyperlink>
      <w:r w:rsidRPr="009D4616">
        <w:rPr>
          <w:rFonts w:asciiTheme="minorHAnsi" w:eastAsia="Times New Roman" w:hAnsiTheme="minorHAnsi"/>
          <w:b/>
          <w:bCs/>
          <w:lang w:eastAsia="en-AU"/>
        </w:rPr>
        <w:t xml:space="preserve"> or by telephoning the Office on 1800 181 030.</w:t>
      </w:r>
    </w:p>
    <w:p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9D4616" w:rsidRPr="00A851AE" w:rsidRDefault="009D4616" w:rsidP="009D4616">
      <w:pPr>
        <w:spacing w:before="240" w:after="120"/>
        <w:outlineLvl w:val="1"/>
        <w:rPr>
          <w:rFonts w:ascii="Calibri" w:eastAsia="Times New Roman" w:hAnsi="Calibri"/>
          <w:sz w:val="22"/>
          <w:szCs w:val="22"/>
          <w:lang w:eastAsia="en-AU"/>
        </w:rPr>
      </w:pPr>
      <w:bookmarkStart w:id="5" w:name="_Toc224461066"/>
      <w:bookmarkStart w:id="6" w:name="_Toc225060512"/>
      <w:bookmarkStart w:id="7" w:name="_Toc229802025"/>
      <w:bookmarkStart w:id="8" w:name="_Toc256179509"/>
      <w:bookmarkStart w:id="9" w:name="_Toc257386394"/>
      <w:r w:rsidRPr="00A851AE">
        <w:rPr>
          <w:rFonts w:ascii="Calibri" w:eastAsia="Times New Roman" w:hAnsi="Calibri"/>
          <w:b/>
          <w:bCs/>
          <w:i/>
          <w:iCs/>
          <w:sz w:val="22"/>
          <w:szCs w:val="22"/>
          <w:u w:val="single"/>
          <w:lang w:eastAsia="en-AU"/>
        </w:rPr>
        <w:lastRenderedPageBreak/>
        <w:t>Gene Technology Regulation in Australia</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 xml:space="preserve">Australia’s gene technology regulatory system operates as part of an integrated legislative framework. The </w:t>
      </w:r>
      <w:r w:rsidRPr="00A851AE">
        <w:rPr>
          <w:rFonts w:ascii="Calibri" w:eastAsia="Times New Roman" w:hAnsi="Calibri"/>
          <w:i/>
          <w:iCs/>
          <w:sz w:val="22"/>
          <w:szCs w:val="22"/>
          <w:lang w:eastAsia="en-AU"/>
        </w:rPr>
        <w:t>Gene Technology Act 2000</w:t>
      </w:r>
      <w:r w:rsidRPr="00A851AE">
        <w:rPr>
          <w:rFonts w:ascii="Calibri" w:eastAsia="Times New Roman" w:hAnsi="Calibri"/>
          <w:sz w:val="22"/>
          <w:szCs w:val="22"/>
          <w:lang w:eastAsia="en-AU"/>
        </w:rPr>
        <w:t xml:space="preserve"> (Cth) and corresponding state and territory legislation form a substantial part of a nationally consistent regulatory system controlling activities involving genetically modified organisms (GMOs).</w:t>
      </w:r>
    </w:p>
    <w:p w:rsidR="009D4616" w:rsidRPr="00A851AE" w:rsidRDefault="009D4616" w:rsidP="009D4616">
      <w:pPr>
        <w:spacing w:before="120"/>
        <w:rPr>
          <w:rFonts w:ascii="Calibri" w:eastAsia="Times New Roman" w:hAnsi="Calibri"/>
          <w:iCs/>
          <w:sz w:val="22"/>
          <w:szCs w:val="22"/>
          <w:lang w:eastAsia="en-AU"/>
        </w:rPr>
      </w:pPr>
      <w:r w:rsidRPr="00A851AE">
        <w:rPr>
          <w:rFonts w:ascii="Calibri" w:eastAsia="Times New Roman" w:hAnsi="Calibri"/>
          <w:iCs/>
          <w:sz w:val="22"/>
          <w:szCs w:val="22"/>
          <w:lang w:eastAsia="en-AU"/>
        </w:rPr>
        <w:t xml:space="preserve">This licence is issued by the Gene Technology Regulator in accordance with the </w:t>
      </w:r>
      <w:r w:rsidRPr="00A851AE">
        <w:rPr>
          <w:rFonts w:ascii="Calibri" w:eastAsia="Times New Roman" w:hAnsi="Calibri"/>
          <w:i/>
          <w:iCs/>
          <w:sz w:val="22"/>
          <w:szCs w:val="22"/>
          <w:lang w:eastAsia="en-AU"/>
        </w:rPr>
        <w:t>Gene Technology Act 2000</w:t>
      </w:r>
      <w:r w:rsidRPr="00A851AE">
        <w:rPr>
          <w:rFonts w:ascii="Calibri" w:eastAsia="Times New Roman" w:hAnsi="Calibri"/>
          <w:iCs/>
          <w:sz w:val="22"/>
          <w:szCs w:val="22"/>
          <w:lang w:eastAsia="en-AU"/>
        </w:rPr>
        <w:t xml:space="preserve"> and, as applicable, Corresponding State Law.</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sidR="00A851AE">
        <w:rPr>
          <w:rFonts w:ascii="Calibri" w:eastAsia="Times New Roman" w:hAnsi="Calibri"/>
          <w:sz w:val="22"/>
          <w:szCs w:val="22"/>
          <w:lang w:eastAsia="en-AU"/>
        </w:rPr>
        <w:t xml:space="preserve"> and Water Resources</w:t>
      </w:r>
      <w:r w:rsidRPr="00A851AE">
        <w:rPr>
          <w:rFonts w:ascii="Calibri" w:eastAsia="Times New Roman" w:hAnsi="Calibri"/>
          <w:sz w:val="22"/>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Dealings permitted by this licence may also be subject to the operation of State legislation declaring areas to be GM, GM free, or both, for marketing purposes.</w:t>
      </w:r>
    </w:p>
    <w:p w:rsidR="009D4616" w:rsidRPr="00A851AE" w:rsidRDefault="009D4616" w:rsidP="009D4616">
      <w:pPr>
        <w:spacing w:before="120"/>
        <w:rPr>
          <w:rFonts w:ascii="Calibri" w:eastAsia="Times New Roman" w:hAnsi="Calibri"/>
          <w:iCs/>
          <w:sz w:val="22"/>
          <w:szCs w:val="22"/>
          <w:lang w:eastAsia="en-AU"/>
        </w:rPr>
      </w:pPr>
      <w:r w:rsidRPr="00A851AE">
        <w:rPr>
          <w:rFonts w:ascii="Calibri" w:eastAsia="Times New Roman" w:hAnsi="Calibri"/>
          <w:iCs/>
          <w:sz w:val="22"/>
          <w:szCs w:val="22"/>
          <w:lang w:eastAsia="en-AU"/>
        </w:rPr>
        <w:t xml:space="preserve">The licence </w:t>
      </w:r>
      <w:r w:rsidRPr="00A851AE">
        <w:rPr>
          <w:rFonts w:ascii="Calibri" w:eastAsia="Times New Roman" w:hAnsi="Calibri"/>
          <w:sz w:val="22"/>
          <w:szCs w:val="22"/>
          <w:lang w:eastAsia="en-AU"/>
        </w:rPr>
        <w:t>authorises</w:t>
      </w:r>
      <w:r w:rsidRPr="00A851AE">
        <w:rPr>
          <w:rFonts w:ascii="Calibri" w:eastAsia="Times New Roman" w:hAnsi="Calibri"/>
          <w:iCs/>
          <w:sz w:val="22"/>
          <w:szCs w:val="22"/>
          <w:lang w:eastAsia="en-AU"/>
        </w:rPr>
        <w:t xml:space="preserve"> the licence holder and persons covered by the licence to conduct specified dealings with the genetically modified organism(s) listed in Attachment A of this licence.</w:t>
      </w:r>
    </w:p>
    <w:p w:rsidR="009D4616" w:rsidRPr="00A851AE" w:rsidRDefault="009D4616" w:rsidP="009D4616">
      <w:pPr>
        <w:spacing w:before="240" w:after="120"/>
        <w:outlineLvl w:val="1"/>
        <w:rPr>
          <w:rFonts w:ascii="Calibri" w:eastAsia="Times New Roman" w:hAnsi="Calibri"/>
          <w:b/>
          <w:bCs/>
          <w:i/>
          <w:iCs/>
          <w:sz w:val="22"/>
          <w:szCs w:val="22"/>
          <w:u w:val="single"/>
          <w:lang w:eastAsia="en-AU"/>
        </w:rPr>
      </w:pPr>
      <w:r w:rsidRPr="00A851AE">
        <w:rPr>
          <w:rFonts w:ascii="Calibri" w:eastAsia="Times New Roman" w:hAnsi="Calibri"/>
          <w:b/>
          <w:bCs/>
          <w:i/>
          <w:iCs/>
          <w:sz w:val="22"/>
          <w:szCs w:val="22"/>
          <w:u w:val="single"/>
          <w:lang w:eastAsia="en-AU"/>
        </w:rPr>
        <w:t>Note about where dealings with GMOs are being undertaken pursuant to this licence</w:t>
      </w:r>
    </w:p>
    <w:p w:rsidR="009D4616" w:rsidRPr="009D4616" w:rsidRDefault="009D4616" w:rsidP="009D4616">
      <w:pPr>
        <w:spacing w:before="120"/>
        <w:rPr>
          <w:rFonts w:ascii="Arial" w:eastAsia="Times New Roman" w:hAnsi="Arial" w:cs="Arial"/>
          <w:b/>
          <w:bCs/>
          <w:i/>
          <w:iCs/>
          <w:sz w:val="28"/>
          <w:szCs w:val="28"/>
          <w:lang w:eastAsia="en-AU"/>
        </w:rPr>
      </w:pPr>
      <w:r w:rsidRPr="00A851AE">
        <w:rPr>
          <w:rFonts w:ascii="Calibri" w:eastAsia="Times New Roman" w:hAnsi="Calibri"/>
          <w:sz w:val="22"/>
          <w:szCs w:val="22"/>
          <w:lang w:eastAsia="en-AU"/>
        </w:rPr>
        <w:t xml:space="preserve">Information about where the GMOs have been planted pursuant to this licence can be accessed on the </w:t>
      </w:r>
      <w:hyperlink r:id="rId11" w:history="1">
        <w:r w:rsidRPr="00A851AE">
          <w:rPr>
            <w:rFonts w:ascii="Calibri" w:eastAsia="Times New Roman" w:hAnsi="Calibri"/>
            <w:color w:val="0000FF" w:themeColor="hyperlink"/>
            <w:sz w:val="22"/>
            <w:szCs w:val="22"/>
            <w:u w:val="single"/>
            <w:lang w:eastAsia="en-AU"/>
          </w:rPr>
          <w:t>OGTR website</w:t>
        </w:r>
      </w:hyperlink>
      <w:bookmarkEnd w:id="5"/>
      <w:bookmarkEnd w:id="6"/>
      <w:bookmarkEnd w:id="7"/>
      <w:bookmarkEnd w:id="8"/>
      <w:bookmarkEnd w:id="9"/>
      <w:r w:rsidRPr="00A851AE">
        <w:rPr>
          <w:rFonts w:ascii="Calibri" w:eastAsia="Times New Roman" w:hAnsi="Calibri"/>
          <w:sz w:val="22"/>
          <w:szCs w:val="22"/>
          <w:lang w:eastAsia="en-AU"/>
        </w:rPr>
        <w:t>.</w:t>
      </w:r>
      <w:bookmarkStart w:id="10" w:name="_Toc395612217"/>
      <w:bookmarkStart w:id="11" w:name="_Toc395612531"/>
      <w:bookmarkStart w:id="12" w:name="_Toc399159311"/>
      <w:bookmarkStart w:id="13" w:name="_Toc385323053"/>
      <w:r w:rsidRPr="009D4616">
        <w:rPr>
          <w:rFonts w:eastAsia="Times New Roman"/>
          <w:lang w:eastAsia="en-AU"/>
        </w:rPr>
        <w:br w:type="page"/>
      </w:r>
    </w:p>
    <w:p w:rsidR="006516B6" w:rsidRPr="006516B6" w:rsidRDefault="006516B6" w:rsidP="006516B6">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14" w:name="_Toc498090908"/>
      <w:bookmarkEnd w:id="0"/>
      <w:bookmarkEnd w:id="1"/>
      <w:bookmarkEnd w:id="2"/>
      <w:bookmarkEnd w:id="3"/>
      <w:bookmarkEnd w:id="4"/>
      <w:bookmarkEnd w:id="10"/>
      <w:bookmarkEnd w:id="11"/>
      <w:bookmarkEnd w:id="12"/>
      <w:bookmarkEnd w:id="13"/>
      <w:r w:rsidRPr="006516B6">
        <w:rPr>
          <w:rFonts w:ascii="Calibri" w:eastAsiaTheme="minorEastAsia" w:hAnsi="Calibri" w:cs="Arial"/>
          <w:b/>
          <w:sz w:val="28"/>
          <w:szCs w:val="28"/>
          <w:lang w:eastAsia="en-AU"/>
        </w:rPr>
        <w:lastRenderedPageBreak/>
        <w:t>Interpretations and definitions</w:t>
      </w:r>
      <w:bookmarkEnd w:id="14"/>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In this licence:</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unless defined otherwise, words and phrases used have the same meaning as they do in the Act and the Regulations;</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words importing a gender include any other gender;</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words in the singular include the plural and words in the plural include the singular;</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words importing persons include a partnership and a body whether corporate or otherwise;</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where any word or phrase is given a defined meaning, any other part of speech or other grammatical form in respect of that word has a corresponding meaning;</w:t>
      </w:r>
    </w:p>
    <w:p w:rsidR="006516B6" w:rsidRPr="006516B6" w:rsidRDefault="006516B6" w:rsidP="006516B6">
      <w:pPr>
        <w:numPr>
          <w:ilvl w:val="0"/>
          <w:numId w:val="28"/>
        </w:numPr>
        <w:spacing w:before="120" w:after="120"/>
        <w:rPr>
          <w:rFonts w:ascii="Calibri" w:eastAsiaTheme="minorEastAsia" w:hAnsi="Calibri"/>
          <w:sz w:val="22"/>
          <w:lang w:eastAsia="en-AU"/>
        </w:rPr>
      </w:pPr>
      <w:r w:rsidRPr="006516B6">
        <w:rPr>
          <w:rFonts w:ascii="Calibri" w:eastAsiaTheme="minorEastAsia" w:hAnsi="Calibri"/>
          <w:sz w:val="22"/>
          <w:lang w:eastAsia="en-AU"/>
        </w:rPr>
        <w:t>specific conditions prevail over standard conditions to the extent of any inconsistency.</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In this licence:</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lang w:eastAsia="en-AU"/>
        </w:rPr>
        <w:t>'Act'</w:t>
      </w:r>
      <w:r w:rsidRPr="006516B6">
        <w:rPr>
          <w:rFonts w:ascii="Calibri" w:eastAsiaTheme="minorEastAsia" w:hAnsi="Calibri"/>
          <w:sz w:val="22"/>
          <w:lang w:eastAsia="en-AU"/>
        </w:rPr>
        <w:t xml:space="preserve"> means the </w:t>
      </w:r>
      <w:r w:rsidRPr="006516B6">
        <w:rPr>
          <w:rFonts w:ascii="Calibri" w:eastAsiaTheme="minorEastAsia" w:hAnsi="Calibri"/>
          <w:i/>
          <w:sz w:val="22"/>
          <w:lang w:eastAsia="en-AU"/>
        </w:rPr>
        <w:t>Gene Technology Act 2000</w:t>
      </w:r>
      <w:r w:rsidRPr="006516B6">
        <w:rPr>
          <w:rFonts w:ascii="Calibri" w:eastAsiaTheme="minorEastAsia" w:hAnsi="Calibri"/>
          <w:sz w:val="22"/>
          <w:lang w:eastAsia="en-AU"/>
        </w:rPr>
        <w:t xml:space="preserve"> (Commonwealth) or the corresponding State law under which this licence is issued.</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lang w:eastAsia="en-AU"/>
        </w:rPr>
        <w:t xml:space="preserve">‘Adjacent Area’ </w:t>
      </w:r>
      <w:r w:rsidRPr="006516B6">
        <w:rPr>
          <w:rFonts w:ascii="Calibri" w:eastAsiaTheme="minorEastAsia" w:hAnsi="Calibri"/>
          <w:sz w:val="22"/>
          <w:lang w:eastAsia="en-AU"/>
        </w:rPr>
        <w:t xml:space="preserve">means land other than the Planting Area which is inside the Polyhouse Enclosure, as indicated in Figure 1. Land defined as an Adjacent Area while a Polyhouse Enclosure is in place continues to be defined as an Adjacent Area if the Polyhouse Enclosure is removed after harvest of the GMOs. </w:t>
      </w:r>
    </w:p>
    <w:p w:rsidR="006516B6" w:rsidRPr="006516B6" w:rsidRDefault="006516B6" w:rsidP="006516B6">
      <w:pPr>
        <w:spacing w:before="120" w:after="120"/>
        <w:rPr>
          <w:rFonts w:ascii="Calibri" w:eastAsiaTheme="minorEastAsia" w:hAnsi="Calibri"/>
          <w:sz w:val="22"/>
          <w:szCs w:val="22"/>
          <w:lang w:eastAsia="en-AU"/>
        </w:rPr>
      </w:pPr>
      <w:r w:rsidRPr="006516B6">
        <w:rPr>
          <w:rFonts w:ascii="Calibri" w:eastAsiaTheme="minorEastAsia" w:hAnsi="Calibri"/>
          <w:sz w:val="22"/>
          <w:lang w:eastAsia="en-AU"/>
        </w:rPr>
        <w:t>‘</w:t>
      </w:r>
      <w:r w:rsidRPr="006516B6">
        <w:rPr>
          <w:rFonts w:ascii="Calibri" w:eastAsiaTheme="minorEastAsia" w:hAnsi="Calibri"/>
          <w:b/>
          <w:sz w:val="22"/>
          <w:lang w:eastAsia="en-AU"/>
        </w:rPr>
        <w:t>Bare Fallow</w:t>
      </w:r>
      <w:r w:rsidRPr="006516B6">
        <w:rPr>
          <w:rFonts w:ascii="Calibri" w:eastAsiaTheme="minorEastAsia" w:hAnsi="Calibri"/>
          <w:sz w:val="22"/>
          <w:lang w:eastAsia="en-AU"/>
        </w:rPr>
        <w:t xml:space="preserve">’ means land where no plants are intentionally grown, and </w:t>
      </w:r>
      <w:r w:rsidR="002C3963">
        <w:rPr>
          <w:rFonts w:ascii="Calibri" w:eastAsiaTheme="minorEastAsia" w:hAnsi="Calibri"/>
          <w:sz w:val="22"/>
          <w:szCs w:val="22"/>
          <w:lang w:eastAsia="en-AU"/>
        </w:rPr>
        <w:t xml:space="preserve">where plant growth is controlled </w:t>
      </w:r>
      <w:r w:rsidR="00CC3A37">
        <w:rPr>
          <w:rFonts w:ascii="Calibri" w:eastAsiaTheme="minorEastAsia" w:hAnsi="Calibri"/>
          <w:sz w:val="22"/>
          <w:lang w:eastAsia="en-AU"/>
        </w:rPr>
        <w:t xml:space="preserve">as reasonably practicable to permit identification of </w:t>
      </w:r>
      <w:r w:rsidR="001678B7">
        <w:rPr>
          <w:rFonts w:ascii="Calibri" w:eastAsiaTheme="minorEastAsia" w:hAnsi="Calibri"/>
          <w:sz w:val="22"/>
          <w:lang w:eastAsia="en-AU"/>
        </w:rPr>
        <w:t>plants as required by this licence</w:t>
      </w:r>
      <w:r w:rsidRPr="006516B6">
        <w:rPr>
          <w:rFonts w:ascii="Calibri" w:eastAsiaTheme="minorEastAsia" w:hAnsi="Calibri"/>
          <w:sz w:val="22"/>
          <w:szCs w:val="22"/>
          <w:lang w:eastAsia="en-AU"/>
        </w:rPr>
        <w:t>.</w:t>
      </w:r>
    </w:p>
    <w:p w:rsidR="006516B6" w:rsidRPr="006516B6" w:rsidRDefault="006516B6" w:rsidP="006516B6">
      <w:pPr>
        <w:spacing w:before="120" w:after="120"/>
        <w:rPr>
          <w:rFonts w:ascii="Calibri" w:eastAsiaTheme="minorEastAsia" w:hAnsi="Calibri"/>
          <w:sz w:val="22"/>
          <w:szCs w:val="22"/>
          <w:lang w:eastAsia="en-AU"/>
        </w:rPr>
      </w:pPr>
      <w:r w:rsidRPr="006516B6">
        <w:rPr>
          <w:rFonts w:ascii="Calibri" w:eastAsiaTheme="minorEastAsia" w:hAnsi="Calibri"/>
          <w:b/>
          <w:sz w:val="22"/>
          <w:szCs w:val="22"/>
          <w:lang w:eastAsia="en-AU"/>
        </w:rPr>
        <w:t>‘Clean’</w:t>
      </w:r>
      <w:r w:rsidRPr="006516B6">
        <w:rPr>
          <w:rFonts w:ascii="Calibri" w:eastAsiaTheme="minorEastAsia" w:hAnsi="Calibri"/>
          <w:sz w:val="22"/>
          <w:szCs w:val="22"/>
          <w:lang w:eastAsia="en-AU"/>
        </w:rPr>
        <w:t xml:space="preserve"> (or </w:t>
      </w:r>
      <w:r w:rsidRPr="006516B6">
        <w:rPr>
          <w:rFonts w:ascii="Calibri" w:eastAsiaTheme="minorEastAsia" w:hAnsi="Calibri"/>
          <w:b/>
          <w:sz w:val="22"/>
          <w:szCs w:val="22"/>
          <w:lang w:eastAsia="en-AU"/>
        </w:rPr>
        <w:t>‘Cleaned’</w:t>
      </w:r>
      <w:r w:rsidRPr="006516B6">
        <w:rPr>
          <w:rFonts w:ascii="Calibri" w:eastAsiaTheme="minorEastAsia" w:hAnsi="Calibri"/>
          <w:sz w:val="22"/>
          <w:szCs w:val="22"/>
          <w:lang w:eastAsia="en-AU"/>
        </w:rPr>
        <w:t xml:space="preserve">) means, as the case requires: </w:t>
      </w:r>
    </w:p>
    <w:p w:rsidR="006516B6" w:rsidRPr="006516B6" w:rsidRDefault="006516B6" w:rsidP="006516B6">
      <w:pPr>
        <w:numPr>
          <w:ilvl w:val="0"/>
          <w:numId w:val="42"/>
        </w:numPr>
        <w:spacing w:before="120" w:after="120"/>
        <w:rPr>
          <w:rFonts w:ascii="Calibri" w:eastAsiaTheme="minorEastAsia" w:hAnsi="Calibri"/>
          <w:sz w:val="22"/>
          <w:lang w:eastAsia="en-AU"/>
        </w:rPr>
      </w:pPr>
      <w:r w:rsidRPr="006516B6">
        <w:rPr>
          <w:rFonts w:ascii="Calibri" w:eastAsiaTheme="minorEastAsia" w:hAnsi="Calibri"/>
          <w:sz w:val="22"/>
          <w:szCs w:val="22"/>
          <w:lang w:eastAsia="en-AU"/>
        </w:rPr>
        <w:t>in relation to an area specified in this licence as requiring Cleaning, the Destruction of the GMOs in that area, to the reasonable</w:t>
      </w:r>
      <w:r w:rsidRPr="006516B6">
        <w:rPr>
          <w:rFonts w:ascii="Calibri" w:eastAsiaTheme="minorEastAsia" w:hAnsi="Calibri"/>
          <w:sz w:val="22"/>
          <w:lang w:eastAsia="en-AU"/>
        </w:rPr>
        <w:t xml:space="preserve"> satisfaction of the Regulator; or </w:t>
      </w:r>
    </w:p>
    <w:p w:rsidR="006516B6" w:rsidRPr="006516B6" w:rsidRDefault="006516B6" w:rsidP="006516B6">
      <w:pPr>
        <w:numPr>
          <w:ilvl w:val="0"/>
          <w:numId w:val="42"/>
        </w:numPr>
        <w:spacing w:before="120" w:after="120"/>
        <w:rPr>
          <w:rFonts w:ascii="Calibri" w:eastAsiaTheme="minorEastAsia" w:hAnsi="Calibri"/>
          <w:sz w:val="22"/>
          <w:lang w:eastAsia="en-AU"/>
        </w:rPr>
      </w:pPr>
      <w:r w:rsidRPr="006516B6">
        <w:rPr>
          <w:rFonts w:ascii="Calibri" w:eastAsiaTheme="minorEastAsia" w:hAnsi="Calibri"/>
          <w:sz w:val="22"/>
          <w:lang w:eastAsia="en-AU"/>
        </w:rPr>
        <w:t xml:space="preserve">in relation to Equipment, clothing and footwear, the removal and/or Destruction of the GMOs, to the reasonable satisfaction of the Regulator. </w:t>
      </w:r>
    </w:p>
    <w:p w:rsidR="006516B6" w:rsidRPr="006516B6" w:rsidRDefault="006516B6" w:rsidP="006516B6">
      <w:pPr>
        <w:tabs>
          <w:tab w:val="left" w:pos="360"/>
          <w:tab w:val="left" w:pos="540"/>
          <w:tab w:val="num" w:pos="929"/>
        </w:tabs>
        <w:spacing w:before="120" w:after="120"/>
        <w:rPr>
          <w:rFonts w:ascii="Calibri" w:eastAsiaTheme="minorEastAsia" w:hAnsi="Calibri"/>
          <w:sz w:val="22"/>
          <w:lang w:eastAsia="en-AU"/>
        </w:rPr>
      </w:pPr>
      <w:r w:rsidRPr="006516B6">
        <w:rPr>
          <w:rFonts w:ascii="Calibri" w:eastAsiaTheme="minorEastAsia" w:hAnsi="Calibri"/>
          <w:b/>
          <w:sz w:val="22"/>
          <w:lang w:eastAsia="en-AU"/>
        </w:rPr>
        <w:t>‘Contingency Plan’</w:t>
      </w:r>
      <w:r w:rsidRPr="006516B6">
        <w:rPr>
          <w:rFonts w:ascii="Calibri" w:eastAsiaTheme="minorEastAsia" w:hAnsi="Calibri"/>
          <w:sz w:val="22"/>
          <w:lang w:eastAsia="en-AU"/>
        </w:rPr>
        <w:t xml:space="preserve"> means a written plan detailing measures to be taken in the event of the unintended presence of the GMOs outside an area that must be inspected. A Contingency Plan must include procedures to:</w:t>
      </w:r>
    </w:p>
    <w:p w:rsidR="006516B6" w:rsidRPr="006516B6" w:rsidRDefault="006516B6" w:rsidP="006516B6">
      <w:pPr>
        <w:numPr>
          <w:ilvl w:val="0"/>
          <w:numId w:val="29"/>
        </w:numPr>
        <w:spacing w:before="120" w:after="120"/>
        <w:rPr>
          <w:rFonts w:ascii="Calibri" w:eastAsiaTheme="minorEastAsia" w:hAnsi="Calibri"/>
          <w:sz w:val="22"/>
          <w:lang w:eastAsia="en-AU"/>
        </w:rPr>
      </w:pPr>
      <w:r w:rsidRPr="006516B6">
        <w:rPr>
          <w:rFonts w:ascii="Calibri" w:eastAsiaTheme="minorEastAsia" w:hAnsi="Calibri"/>
          <w:sz w:val="22"/>
          <w:lang w:eastAsia="en-AU"/>
        </w:rPr>
        <w:t>ensure the Regulator is notified immediately if the licence holder becomes aware of the event; and</w:t>
      </w:r>
    </w:p>
    <w:p w:rsidR="006516B6" w:rsidRPr="006516B6" w:rsidRDefault="006516B6" w:rsidP="006516B6">
      <w:pPr>
        <w:numPr>
          <w:ilvl w:val="0"/>
          <w:numId w:val="29"/>
        </w:numPr>
        <w:spacing w:before="120" w:after="120"/>
        <w:rPr>
          <w:rFonts w:ascii="Calibri" w:eastAsiaTheme="minorEastAsia" w:hAnsi="Calibri"/>
          <w:sz w:val="22"/>
          <w:lang w:eastAsia="en-AU"/>
        </w:rPr>
      </w:pPr>
      <w:r w:rsidRPr="006516B6">
        <w:rPr>
          <w:rFonts w:ascii="Calibri" w:eastAsiaTheme="minorEastAsia" w:hAnsi="Calibri"/>
          <w:sz w:val="22"/>
          <w:lang w:eastAsia="en-AU"/>
        </w:rPr>
        <w:t>recover and/or Destroy the GMOs; and</w:t>
      </w:r>
    </w:p>
    <w:p w:rsidR="006516B6" w:rsidRPr="006516B6" w:rsidRDefault="006516B6" w:rsidP="006516B6">
      <w:pPr>
        <w:numPr>
          <w:ilvl w:val="0"/>
          <w:numId w:val="29"/>
        </w:numPr>
        <w:spacing w:before="120" w:after="120"/>
        <w:rPr>
          <w:rFonts w:ascii="Calibri" w:eastAsiaTheme="minorEastAsia" w:hAnsi="Calibri"/>
          <w:sz w:val="22"/>
          <w:lang w:eastAsia="en-AU"/>
        </w:rPr>
      </w:pPr>
      <w:r w:rsidRPr="006516B6">
        <w:rPr>
          <w:rFonts w:ascii="Calibri" w:eastAsiaTheme="minorEastAsia" w:hAnsi="Calibri"/>
          <w:sz w:val="22"/>
          <w:lang w:eastAsia="en-AU"/>
        </w:rPr>
        <w:t>inspect for and Destroy any Volunteers that may exist as a result of the event.</w:t>
      </w:r>
    </w:p>
    <w:p w:rsidR="006516B6" w:rsidRPr="006516B6" w:rsidRDefault="006516B6" w:rsidP="006516B6">
      <w:pPr>
        <w:keepNext/>
        <w:rPr>
          <w:rFonts w:ascii="Calibri" w:eastAsiaTheme="minorEastAsia" w:hAnsi="Calibri"/>
          <w:sz w:val="22"/>
        </w:rPr>
      </w:pPr>
      <w:r w:rsidRPr="006516B6">
        <w:rPr>
          <w:rFonts w:ascii="Calibri" w:eastAsiaTheme="minorEastAsia" w:hAnsi="Calibri"/>
          <w:b/>
          <w:sz w:val="22"/>
        </w:rPr>
        <w:t>‘Destroy’</w:t>
      </w:r>
      <w:r w:rsidRPr="006516B6">
        <w:rPr>
          <w:rFonts w:ascii="Calibri" w:eastAsiaTheme="minorEastAsia" w:hAnsi="Calibri"/>
          <w:sz w:val="22"/>
        </w:rPr>
        <w:t xml:space="preserve">, (or </w:t>
      </w:r>
      <w:r w:rsidRPr="006516B6">
        <w:rPr>
          <w:rFonts w:ascii="Calibri" w:eastAsiaTheme="minorEastAsia" w:hAnsi="Calibri"/>
          <w:b/>
          <w:sz w:val="22"/>
        </w:rPr>
        <w:t>‘Destroyed’</w:t>
      </w:r>
      <w:r w:rsidRPr="006516B6">
        <w:rPr>
          <w:rFonts w:ascii="Calibri" w:eastAsiaTheme="minorEastAsia" w:hAnsi="Calibri"/>
          <w:sz w:val="22"/>
        </w:rPr>
        <w:t xml:space="preserve"> or </w:t>
      </w:r>
      <w:r w:rsidRPr="006516B6">
        <w:rPr>
          <w:rFonts w:ascii="Calibri" w:eastAsiaTheme="minorEastAsia" w:hAnsi="Calibri"/>
          <w:b/>
          <w:sz w:val="22"/>
        </w:rPr>
        <w:t>‘Destruction’</w:t>
      </w:r>
      <w:r w:rsidRPr="006516B6">
        <w:rPr>
          <w:rFonts w:ascii="Calibri" w:eastAsiaTheme="minorEastAsia" w:hAnsi="Calibri"/>
          <w:sz w:val="22"/>
        </w:rPr>
        <w:t>) means, as the case requires, killed by one or more of the following methods:</w:t>
      </w:r>
    </w:p>
    <w:p w:rsidR="006516B6" w:rsidRPr="006516B6" w:rsidRDefault="006516B6" w:rsidP="006516B6">
      <w:pPr>
        <w:numPr>
          <w:ilvl w:val="0"/>
          <w:numId w:val="30"/>
        </w:numPr>
        <w:spacing w:before="120" w:after="120"/>
        <w:rPr>
          <w:rFonts w:ascii="Calibri" w:eastAsiaTheme="minorEastAsia" w:hAnsi="Calibri"/>
          <w:sz w:val="22"/>
          <w:lang w:eastAsia="en-AU"/>
        </w:rPr>
      </w:pPr>
      <w:r w:rsidRPr="006516B6">
        <w:rPr>
          <w:rFonts w:ascii="Calibri" w:eastAsiaTheme="minorEastAsia" w:hAnsi="Calibri"/>
          <w:sz w:val="22"/>
          <w:lang w:eastAsia="en-AU"/>
        </w:rPr>
        <w:t>manual uprooting;</w:t>
      </w:r>
    </w:p>
    <w:p w:rsidR="006516B6" w:rsidRPr="006516B6" w:rsidRDefault="006516B6" w:rsidP="006516B6">
      <w:pPr>
        <w:numPr>
          <w:ilvl w:val="0"/>
          <w:numId w:val="30"/>
        </w:numPr>
        <w:spacing w:before="120" w:after="120"/>
        <w:rPr>
          <w:rFonts w:ascii="Calibri" w:eastAsiaTheme="minorEastAsia" w:hAnsi="Calibri"/>
          <w:sz w:val="22"/>
          <w:lang w:eastAsia="en-AU"/>
        </w:rPr>
      </w:pPr>
      <w:r w:rsidRPr="006516B6">
        <w:rPr>
          <w:rFonts w:ascii="Calibri" w:eastAsiaTheme="minorEastAsia" w:hAnsi="Calibri"/>
          <w:sz w:val="22"/>
          <w:lang w:eastAsia="en-AU"/>
        </w:rPr>
        <w:t>treatment with herbicide;</w:t>
      </w:r>
    </w:p>
    <w:p w:rsidR="006516B6" w:rsidRPr="006516B6" w:rsidRDefault="006516B6" w:rsidP="006516B6">
      <w:pPr>
        <w:numPr>
          <w:ilvl w:val="0"/>
          <w:numId w:val="30"/>
        </w:numPr>
        <w:spacing w:before="120" w:after="120"/>
        <w:rPr>
          <w:rFonts w:ascii="Calibri" w:eastAsiaTheme="minorEastAsia" w:hAnsi="Calibri"/>
          <w:sz w:val="22"/>
          <w:lang w:eastAsia="en-AU"/>
        </w:rPr>
      </w:pPr>
      <w:r w:rsidRPr="006516B6">
        <w:rPr>
          <w:rFonts w:ascii="Calibri" w:eastAsiaTheme="minorEastAsia" w:hAnsi="Calibri"/>
          <w:sz w:val="22"/>
          <w:lang w:eastAsia="en-AU"/>
        </w:rPr>
        <w:t>burning/incineration;</w:t>
      </w:r>
    </w:p>
    <w:p w:rsidR="006516B6" w:rsidRPr="006516B6" w:rsidRDefault="006516B6" w:rsidP="006516B6">
      <w:pPr>
        <w:numPr>
          <w:ilvl w:val="0"/>
          <w:numId w:val="30"/>
        </w:numPr>
        <w:spacing w:before="120" w:after="120"/>
        <w:rPr>
          <w:rFonts w:ascii="Calibri" w:eastAsiaTheme="minorEastAsia" w:hAnsi="Calibri"/>
          <w:sz w:val="22"/>
          <w:lang w:eastAsia="en-AU"/>
        </w:rPr>
      </w:pPr>
      <w:r w:rsidRPr="006516B6">
        <w:rPr>
          <w:rFonts w:ascii="Calibri" w:eastAsiaTheme="minorEastAsia" w:hAnsi="Calibri"/>
          <w:sz w:val="22"/>
          <w:lang w:eastAsia="en-AU"/>
        </w:rPr>
        <w:t>crushing or grinding of seed;</w:t>
      </w:r>
    </w:p>
    <w:p w:rsidR="006516B6" w:rsidRPr="006516B6" w:rsidRDefault="006516B6" w:rsidP="006516B6">
      <w:pPr>
        <w:numPr>
          <w:ilvl w:val="0"/>
          <w:numId w:val="30"/>
        </w:numPr>
        <w:spacing w:before="120" w:after="120"/>
        <w:rPr>
          <w:rFonts w:ascii="Calibri" w:eastAsiaTheme="minorEastAsia" w:hAnsi="Calibri"/>
          <w:sz w:val="22"/>
          <w:lang w:eastAsia="en-AU"/>
        </w:rPr>
      </w:pPr>
      <w:r w:rsidRPr="006516B6">
        <w:rPr>
          <w:rFonts w:ascii="Calibri" w:eastAsiaTheme="minorEastAsia" w:hAnsi="Calibri"/>
          <w:sz w:val="22"/>
          <w:lang w:eastAsia="en-AU"/>
        </w:rPr>
        <w:lastRenderedPageBreak/>
        <w:t xml:space="preserve"> autoclaving; or </w:t>
      </w:r>
    </w:p>
    <w:p w:rsidR="006516B6" w:rsidRPr="006516B6" w:rsidRDefault="006516B6" w:rsidP="006516B6">
      <w:pPr>
        <w:numPr>
          <w:ilvl w:val="0"/>
          <w:numId w:val="30"/>
        </w:numPr>
        <w:spacing w:before="120" w:after="120"/>
        <w:rPr>
          <w:rFonts w:ascii="Calibri" w:eastAsiaTheme="minorEastAsia" w:hAnsi="Calibri"/>
          <w:sz w:val="22"/>
          <w:lang w:eastAsia="en-AU"/>
        </w:rPr>
      </w:pPr>
      <w:r w:rsidRPr="006516B6">
        <w:rPr>
          <w:rFonts w:ascii="Calibri" w:eastAsiaTheme="minorEastAsia" w:hAnsi="Calibri"/>
          <w:sz w:val="22"/>
          <w:lang w:eastAsia="en-AU"/>
        </w:rPr>
        <w:t>a method approved in writing by the Regulator.</w:t>
      </w:r>
    </w:p>
    <w:p w:rsidR="006516B6" w:rsidRPr="006516B6" w:rsidRDefault="006516B6" w:rsidP="006516B6">
      <w:pPr>
        <w:spacing w:before="120" w:after="120"/>
        <w:rPr>
          <w:rFonts w:ascii="Calibri" w:eastAsiaTheme="minorEastAsia" w:hAnsi="Calibri"/>
          <w:i/>
          <w:iCs/>
          <w:sz w:val="22"/>
          <w:lang w:eastAsia="en-AU"/>
        </w:rPr>
      </w:pPr>
      <w:r w:rsidRPr="006516B6">
        <w:rPr>
          <w:rFonts w:ascii="Calibri" w:eastAsiaTheme="minorEastAsia" w:hAnsi="Calibri"/>
          <w:i/>
          <w:sz w:val="22"/>
        </w:rPr>
        <w:t>Note: ‘As the case requires’ has the effect that, depending on the circumstances, one or more of these techniques may not be appropriate. For example, in the case of plants with mature seed heads still attached, treatment with herbicide would not be appropriate as it would not destroy viable seeds.</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bCs/>
          <w:sz w:val="22"/>
        </w:rPr>
        <w:t>‘Equipment’</w:t>
      </w:r>
      <w:r w:rsidRPr="006516B6">
        <w:rPr>
          <w:rFonts w:ascii="Calibri" w:eastAsiaTheme="minorEastAsia" w:hAnsi="Calibri"/>
          <w:sz w:val="22"/>
        </w:rPr>
        <w:t xml:space="preserve"> includes, but is not limited to, seeders, harvesters, transport equipment (e.g. bags, containers, trucks) and tools.</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bCs/>
          <w:sz w:val="22"/>
          <w:lang w:eastAsia="en-AU"/>
        </w:rPr>
        <w:t>‘Flowering’</w:t>
      </w:r>
      <w:r w:rsidRPr="006516B6">
        <w:rPr>
          <w:rFonts w:ascii="Calibri" w:eastAsiaTheme="minorEastAsia" w:hAnsi="Calibri"/>
          <w:sz w:val="22"/>
          <w:lang w:eastAsia="en-AU"/>
        </w:rPr>
        <w:t xml:space="preserve"> is taken to begin when any plant of the class of plants referred to in a particular condition first flowers, and is taken to end when all plants in the class of plants no longer have flowers.</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bCs/>
          <w:sz w:val="22"/>
          <w:lang w:eastAsia="en-AU"/>
        </w:rPr>
        <w:t>‘GM’</w:t>
      </w:r>
      <w:r w:rsidRPr="006516B6">
        <w:rPr>
          <w:rFonts w:ascii="Calibri" w:eastAsiaTheme="minorEastAsia" w:hAnsi="Calibri"/>
          <w:sz w:val="22"/>
          <w:lang w:eastAsia="en-AU"/>
        </w:rPr>
        <w:t xml:space="preserve"> means genetically modified.</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lang w:eastAsia="en-AU"/>
        </w:rPr>
        <w:t>'GMOs'</w:t>
      </w:r>
      <w:r w:rsidRPr="006516B6">
        <w:rPr>
          <w:rFonts w:ascii="Calibri" w:eastAsiaTheme="minorEastAsia" w:hAnsi="Calibri"/>
          <w:sz w:val="22"/>
          <w:lang w:eastAsia="en-AU"/>
        </w:rPr>
        <w:t xml:space="preserve"> means the genetically modified organisms that are the subject of the dealings authorised by this licence. GMOs include live plants, tillers and root stock that are able to grow into live plants, and viable seed.</w:t>
      </w:r>
    </w:p>
    <w:p w:rsidR="006516B6" w:rsidRPr="006516B6" w:rsidRDefault="006516B6" w:rsidP="006516B6">
      <w:pPr>
        <w:spacing w:before="120" w:after="120"/>
        <w:rPr>
          <w:rFonts w:ascii="Calibri" w:eastAsiaTheme="minorEastAsia" w:hAnsi="Calibri"/>
          <w:b/>
          <w:sz w:val="22"/>
          <w:lang w:eastAsia="en-AU"/>
        </w:rPr>
      </w:pPr>
      <w:r w:rsidRPr="006516B6">
        <w:rPr>
          <w:rFonts w:ascii="Calibri" w:eastAsiaTheme="minorEastAsia" w:hAnsi="Calibri"/>
          <w:b/>
          <w:sz w:val="22"/>
          <w:lang w:eastAsia="en-AU"/>
        </w:rPr>
        <w:t xml:space="preserve">‘Isolation Zone’ </w:t>
      </w:r>
      <w:r w:rsidRPr="006516B6">
        <w:rPr>
          <w:rFonts w:ascii="Calibri" w:eastAsiaTheme="minorEastAsia" w:hAnsi="Calibri"/>
          <w:sz w:val="22"/>
          <w:lang w:eastAsia="en-AU"/>
        </w:rPr>
        <w:t xml:space="preserve">means an area of land extending outwards at least 100 m in all directions from the outer edge of the Monitoring Zone, as indicated in Figure 1. </w:t>
      </w:r>
    </w:p>
    <w:p w:rsidR="006516B6" w:rsidRPr="006516B6" w:rsidRDefault="006516B6" w:rsidP="006516B6">
      <w:pPr>
        <w:spacing w:before="120" w:after="120"/>
        <w:rPr>
          <w:rFonts w:ascii="Calibri" w:eastAsiaTheme="minorEastAsia" w:hAnsi="Calibri"/>
          <w:b/>
          <w:sz w:val="22"/>
        </w:rPr>
      </w:pPr>
      <w:r w:rsidRPr="006516B6">
        <w:rPr>
          <w:rFonts w:ascii="Calibri" w:eastAsiaTheme="minorEastAsia" w:hAnsi="Calibri"/>
          <w:b/>
          <w:sz w:val="22"/>
          <w:lang w:eastAsia="en-AU"/>
        </w:rPr>
        <w:t>‘Logbook’</w:t>
      </w:r>
      <w:r w:rsidRPr="006516B6">
        <w:rPr>
          <w:rFonts w:ascii="Calibri" w:eastAsiaTheme="minorEastAsia" w:hAnsi="Calibri"/>
          <w:sz w:val="22"/>
          <w:lang w:eastAsia="en-AU"/>
        </w:rPr>
        <w:t xml:space="preserve"> means a written or electronic record containing information required to be collected and maintained by this licence and which is able to be presented to the OGTR on request.</w:t>
      </w:r>
      <w:r w:rsidRPr="006516B6">
        <w:rPr>
          <w:rFonts w:ascii="Calibri" w:eastAsiaTheme="minorEastAsia" w:hAnsi="Calibri"/>
          <w:b/>
          <w:sz w:val="22"/>
        </w:rPr>
        <w:t xml:space="preserve"> </w:t>
      </w:r>
    </w:p>
    <w:p w:rsidR="006516B6" w:rsidRPr="006516B6" w:rsidRDefault="006516B6" w:rsidP="006516B6">
      <w:pPr>
        <w:spacing w:before="120" w:after="120"/>
        <w:rPr>
          <w:rFonts w:ascii="Calibri" w:eastAsiaTheme="minorEastAsia" w:hAnsi="Calibri"/>
          <w:b/>
          <w:sz w:val="22"/>
          <w:lang w:eastAsia="en-AU"/>
        </w:rPr>
      </w:pPr>
      <w:r w:rsidRPr="006516B6">
        <w:rPr>
          <w:rFonts w:ascii="Calibri" w:eastAsiaTheme="minorEastAsia" w:hAnsi="Calibri"/>
          <w:b/>
          <w:sz w:val="22"/>
          <w:lang w:eastAsia="en-AU"/>
        </w:rPr>
        <w:t xml:space="preserve">‘Monitoring Zone’ </w:t>
      </w:r>
      <w:r w:rsidRPr="006516B6">
        <w:rPr>
          <w:rFonts w:ascii="Calibri" w:eastAsiaTheme="minorEastAsia" w:hAnsi="Calibri"/>
          <w:sz w:val="22"/>
          <w:lang w:eastAsia="en-AU"/>
        </w:rPr>
        <w:t>means an area of land extending outwards at least 40 m from the edge of the Polyhouse Enclosure, as indicated in Figure 1. Land defined as a Monitoring Zone while a Polyhouse Enclosure is in place continues to be defined as a Monitoring Zone if the Polyhouse Enclosure is removed after harvest of the GMOs.</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bCs/>
          <w:sz w:val="22"/>
          <w:lang w:eastAsia="en-AU"/>
        </w:rPr>
        <w:t>‘OGTR’</w:t>
      </w:r>
      <w:r w:rsidRPr="006516B6">
        <w:rPr>
          <w:rFonts w:ascii="Calibri" w:eastAsiaTheme="minorEastAsia" w:hAnsi="Calibri"/>
          <w:sz w:val="22"/>
          <w:lang w:eastAsia="en-AU"/>
        </w:rPr>
        <w:t xml:space="preserve"> means the Office of the Gene Technology Regulator.</w:t>
      </w:r>
    </w:p>
    <w:p w:rsidR="006516B6" w:rsidRPr="006516B6" w:rsidRDefault="006516B6" w:rsidP="006516B6">
      <w:pPr>
        <w:rPr>
          <w:rFonts w:ascii="Calibri" w:eastAsia="Times New Roman" w:hAnsi="Calibri"/>
          <w:sz w:val="22"/>
        </w:rPr>
      </w:pPr>
      <w:r w:rsidRPr="006516B6">
        <w:rPr>
          <w:rFonts w:ascii="Calibri" w:eastAsiaTheme="minorEastAsia" w:hAnsi="Calibri"/>
          <w:b/>
          <w:sz w:val="22"/>
          <w:lang w:eastAsia="en-AU"/>
        </w:rPr>
        <w:t>‘Personal Information’</w:t>
      </w:r>
      <w:r w:rsidRPr="006516B6">
        <w:rPr>
          <w:rFonts w:ascii="Calibri" w:eastAsiaTheme="minorEastAsia" w:hAnsi="Calibri"/>
          <w:sz w:val="22"/>
          <w:lang w:eastAsia="en-AU"/>
        </w:rPr>
        <w:t xml:space="preserve"> means </w:t>
      </w:r>
      <w:r w:rsidRPr="006516B6">
        <w:rPr>
          <w:rFonts w:ascii="Calibri" w:eastAsia="Times New Roman" w:hAnsi="Calibri"/>
          <w:sz w:val="22"/>
        </w:rPr>
        <w:t xml:space="preserve">information or an opinion about an identified individual, or an individual who is reasonably identifiable: </w:t>
      </w:r>
    </w:p>
    <w:p w:rsidR="006516B6" w:rsidRPr="006516B6" w:rsidRDefault="006516B6" w:rsidP="006516B6">
      <w:pPr>
        <w:numPr>
          <w:ilvl w:val="0"/>
          <w:numId w:val="33"/>
        </w:numPr>
        <w:spacing w:before="120" w:after="120"/>
        <w:rPr>
          <w:rFonts w:ascii="Calibri" w:eastAsiaTheme="minorEastAsia" w:hAnsi="Calibri"/>
          <w:sz w:val="22"/>
          <w:lang w:eastAsia="en-AU"/>
        </w:rPr>
      </w:pPr>
      <w:r w:rsidRPr="006516B6">
        <w:rPr>
          <w:rFonts w:ascii="Calibri" w:eastAsiaTheme="minorEastAsia" w:hAnsi="Calibri"/>
          <w:sz w:val="22"/>
          <w:lang w:eastAsia="en-AU"/>
        </w:rPr>
        <w:t xml:space="preserve">whether the information or opinion is true or not; and </w:t>
      </w:r>
    </w:p>
    <w:p w:rsidR="006516B6" w:rsidRPr="006516B6" w:rsidRDefault="006516B6" w:rsidP="006516B6">
      <w:pPr>
        <w:numPr>
          <w:ilvl w:val="0"/>
          <w:numId w:val="33"/>
        </w:numPr>
        <w:spacing w:before="120" w:after="120"/>
        <w:rPr>
          <w:rFonts w:ascii="Calibri" w:eastAsiaTheme="minorEastAsia" w:hAnsi="Calibri"/>
          <w:sz w:val="22"/>
          <w:lang w:eastAsia="en-AU"/>
        </w:rPr>
      </w:pPr>
      <w:r w:rsidRPr="006516B6">
        <w:rPr>
          <w:rFonts w:ascii="Calibri" w:eastAsiaTheme="minorEastAsia" w:hAnsi="Calibri"/>
          <w:sz w:val="22"/>
          <w:lang w:eastAsia="en-AU"/>
        </w:rPr>
        <w:t>whether the information or opinion is recorded in a material form or not.</w:t>
      </w:r>
    </w:p>
    <w:p w:rsidR="006516B6" w:rsidRPr="006516B6" w:rsidRDefault="006516B6" w:rsidP="006516B6">
      <w:pPr>
        <w:spacing w:before="120" w:after="120"/>
        <w:rPr>
          <w:rFonts w:asciiTheme="minorHAnsi" w:eastAsiaTheme="minorEastAsia" w:hAnsiTheme="minorHAnsi"/>
          <w:i/>
          <w:sz w:val="22"/>
          <w:szCs w:val="22"/>
        </w:rPr>
      </w:pPr>
      <w:r w:rsidRPr="006516B6">
        <w:rPr>
          <w:rFonts w:ascii="Calibri" w:eastAsiaTheme="minorEastAsia" w:hAnsi="Calibri"/>
          <w:b/>
          <w:sz w:val="22"/>
          <w:lang w:eastAsia="en-AU"/>
        </w:rPr>
        <w:t>‘Perennial Ryegrass’</w:t>
      </w:r>
      <w:r w:rsidRPr="006516B6">
        <w:rPr>
          <w:rFonts w:ascii="Calibri" w:eastAsiaTheme="minorEastAsia" w:hAnsi="Calibri"/>
          <w:sz w:val="22"/>
          <w:lang w:eastAsia="en-AU"/>
        </w:rPr>
        <w:t xml:space="preserve"> means plants of the species </w:t>
      </w:r>
      <w:r w:rsidRPr="006516B6">
        <w:rPr>
          <w:rFonts w:ascii="Calibri" w:eastAsiaTheme="minorEastAsia" w:hAnsi="Calibri"/>
          <w:i/>
          <w:sz w:val="22"/>
          <w:lang w:eastAsia="en-AU"/>
        </w:rPr>
        <w:t>Lolium perenne</w:t>
      </w:r>
      <w:r w:rsidRPr="006516B6">
        <w:rPr>
          <w:rFonts w:asciiTheme="minorHAnsi" w:eastAsiaTheme="minorEastAsia" w:hAnsiTheme="minorHAnsi"/>
          <w:i/>
          <w:sz w:val="22"/>
          <w:szCs w:val="22"/>
        </w:rPr>
        <w:t>.</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rPr>
        <w:t>‘Planting Area’</w:t>
      </w:r>
      <w:r w:rsidRPr="006516B6">
        <w:rPr>
          <w:rFonts w:ascii="Calibri" w:eastAsiaTheme="minorEastAsia" w:hAnsi="Calibri"/>
          <w:sz w:val="22"/>
        </w:rPr>
        <w:t xml:space="preserve"> means an area of land where the GMOs and non-GM Perennial Ryegrass </w:t>
      </w:r>
      <w:r w:rsidR="008B0649">
        <w:rPr>
          <w:rFonts w:ascii="Calibri" w:eastAsiaTheme="minorEastAsia" w:hAnsi="Calibri"/>
          <w:sz w:val="22"/>
        </w:rPr>
        <w:t>may be</w:t>
      </w:r>
      <w:r w:rsidRPr="006516B6">
        <w:rPr>
          <w:rFonts w:ascii="Calibri" w:eastAsiaTheme="minorEastAsia" w:hAnsi="Calibri"/>
          <w:sz w:val="22"/>
        </w:rPr>
        <w:t xml:space="preserve"> planted and grown pursuant to this licence.</w:t>
      </w:r>
    </w:p>
    <w:p w:rsidR="006516B6" w:rsidRPr="006516B6" w:rsidRDefault="006516B6" w:rsidP="006516B6">
      <w:pPr>
        <w:spacing w:before="120" w:after="120"/>
        <w:rPr>
          <w:rFonts w:ascii="Calibri" w:eastAsiaTheme="minorEastAsia" w:hAnsi="Calibri"/>
          <w:sz w:val="22"/>
        </w:rPr>
      </w:pPr>
      <w:r w:rsidRPr="006516B6">
        <w:rPr>
          <w:rFonts w:ascii="Calibri" w:eastAsiaTheme="minorEastAsia" w:hAnsi="Calibri"/>
          <w:b/>
          <w:sz w:val="22"/>
        </w:rPr>
        <w:t>‘Plant Material’</w:t>
      </w:r>
      <w:r w:rsidRPr="006516B6">
        <w:rPr>
          <w:rFonts w:ascii="Calibri" w:eastAsiaTheme="minorEastAsia" w:hAnsi="Calibri"/>
          <w:sz w:val="22"/>
        </w:rPr>
        <w:t xml:space="preserve"> means any part of the GM or non-GM Perennial Ryegrass plants grown at a Planting Area, whether viable or not, or any product of these plants.</w:t>
      </w:r>
    </w:p>
    <w:p w:rsidR="006516B6" w:rsidRPr="006516B6" w:rsidRDefault="006516B6" w:rsidP="006516B6">
      <w:pPr>
        <w:spacing w:before="120" w:after="120"/>
        <w:rPr>
          <w:rFonts w:ascii="Calibri" w:eastAsiaTheme="minorEastAsia" w:hAnsi="Calibri"/>
          <w:sz w:val="22"/>
        </w:rPr>
      </w:pPr>
      <w:r w:rsidRPr="006516B6">
        <w:rPr>
          <w:rFonts w:ascii="Calibri" w:eastAsiaTheme="minorEastAsia" w:hAnsi="Calibri"/>
          <w:sz w:val="22"/>
        </w:rPr>
        <w:t>‘</w:t>
      </w:r>
      <w:r w:rsidRPr="006516B6">
        <w:rPr>
          <w:rFonts w:ascii="Calibri" w:eastAsiaTheme="minorEastAsia" w:hAnsi="Calibri"/>
          <w:b/>
          <w:sz w:val="22"/>
        </w:rPr>
        <w:t>Polyhouse Enclosure</w:t>
      </w:r>
      <w:r w:rsidRPr="006516B6">
        <w:rPr>
          <w:rFonts w:ascii="Calibri" w:eastAsiaTheme="minorEastAsia" w:hAnsi="Calibri"/>
          <w:sz w:val="22"/>
        </w:rPr>
        <w:t xml:space="preserve">’ means a structure </w:t>
      </w:r>
      <w:r w:rsidR="00C921B6">
        <w:rPr>
          <w:rFonts w:ascii="Calibri" w:eastAsiaTheme="minorEastAsia" w:hAnsi="Calibri"/>
          <w:sz w:val="22"/>
        </w:rPr>
        <w:t>having</w:t>
      </w:r>
      <w:r w:rsidR="00C921B6" w:rsidRPr="006516B6">
        <w:rPr>
          <w:rFonts w:ascii="Calibri" w:eastAsiaTheme="minorEastAsia" w:hAnsi="Calibri"/>
          <w:sz w:val="22"/>
        </w:rPr>
        <w:t xml:space="preserve"> </w:t>
      </w:r>
      <w:r w:rsidRPr="006516B6">
        <w:rPr>
          <w:rFonts w:ascii="Calibri" w:eastAsiaTheme="minorEastAsia" w:hAnsi="Calibri"/>
          <w:sz w:val="22"/>
        </w:rPr>
        <w:t>walls</w:t>
      </w:r>
      <w:r w:rsidR="00360A20">
        <w:rPr>
          <w:rFonts w:ascii="Calibri" w:eastAsiaTheme="minorEastAsia" w:hAnsi="Calibri"/>
          <w:sz w:val="22"/>
        </w:rPr>
        <w:t xml:space="preserve">, </w:t>
      </w:r>
      <w:r w:rsidR="00360A20" w:rsidRPr="00360A20">
        <w:rPr>
          <w:rFonts w:ascii="Calibri" w:eastAsiaTheme="minorEastAsia" w:hAnsi="Calibri"/>
          <w:sz w:val="22"/>
        </w:rPr>
        <w:t xml:space="preserve">anteroom and vent boxes </w:t>
      </w:r>
      <w:r w:rsidRPr="006516B6">
        <w:rPr>
          <w:rFonts w:ascii="Calibri" w:eastAsiaTheme="minorEastAsia" w:hAnsi="Calibri"/>
          <w:sz w:val="22"/>
        </w:rPr>
        <w:t xml:space="preserve">composed of </w:t>
      </w:r>
      <w:r w:rsidR="00C921B6">
        <w:rPr>
          <w:rFonts w:ascii="Calibri" w:eastAsiaTheme="minorEastAsia" w:hAnsi="Calibri"/>
          <w:sz w:val="22"/>
        </w:rPr>
        <w:t xml:space="preserve">steel </w:t>
      </w:r>
      <w:r w:rsidRPr="006516B6">
        <w:rPr>
          <w:rFonts w:ascii="Calibri" w:eastAsiaTheme="minorEastAsia" w:hAnsi="Calibri"/>
          <w:sz w:val="22"/>
        </w:rPr>
        <w:t xml:space="preserve">mesh with a maximum </w:t>
      </w:r>
      <w:r w:rsidR="00C921B6">
        <w:rPr>
          <w:rFonts w:ascii="Calibri" w:eastAsiaTheme="minorEastAsia" w:hAnsi="Calibri"/>
          <w:sz w:val="22"/>
        </w:rPr>
        <w:t>aperture size</w:t>
      </w:r>
      <w:r w:rsidRPr="006516B6">
        <w:rPr>
          <w:rFonts w:ascii="Calibri" w:eastAsiaTheme="minorEastAsia" w:hAnsi="Calibri"/>
          <w:sz w:val="22"/>
        </w:rPr>
        <w:t xml:space="preserve"> of </w:t>
      </w:r>
      <w:r w:rsidR="00360A20" w:rsidRPr="006516B6">
        <w:rPr>
          <w:rFonts w:ascii="Calibri" w:eastAsiaTheme="minorEastAsia" w:hAnsi="Calibri"/>
          <w:sz w:val="22"/>
        </w:rPr>
        <w:t>1</w:t>
      </w:r>
      <w:r w:rsidR="00360A20">
        <w:rPr>
          <w:rFonts w:ascii="Calibri" w:eastAsiaTheme="minorEastAsia" w:hAnsi="Calibri"/>
          <w:sz w:val="22"/>
        </w:rPr>
        <w:t>54</w:t>
      </w:r>
      <w:r w:rsidR="00360A20" w:rsidRPr="006516B6">
        <w:rPr>
          <w:rFonts w:ascii="Calibri" w:eastAsiaTheme="minorEastAsia" w:hAnsi="Calibri"/>
          <w:sz w:val="22"/>
        </w:rPr>
        <w:t xml:space="preserve"> </w:t>
      </w:r>
      <w:r w:rsidRPr="006516B6">
        <w:rPr>
          <w:rFonts w:ascii="Calibri" w:eastAsiaTheme="minorEastAsia" w:hAnsi="Calibri"/>
          <w:sz w:val="22"/>
        </w:rPr>
        <w:t>microns</w:t>
      </w:r>
      <w:r w:rsidR="00C921B6">
        <w:rPr>
          <w:rFonts w:ascii="Calibri" w:eastAsiaTheme="minorEastAsia" w:hAnsi="Calibri"/>
          <w:sz w:val="22"/>
        </w:rPr>
        <w:t xml:space="preserve"> and the </w:t>
      </w:r>
      <w:r w:rsidR="00C921B6" w:rsidRPr="00C921B6">
        <w:rPr>
          <w:rFonts w:ascii="Calibri" w:eastAsiaTheme="minorEastAsia" w:hAnsi="Calibri"/>
          <w:sz w:val="22"/>
        </w:rPr>
        <w:t>roof and outer ends of the structure</w:t>
      </w:r>
      <w:r w:rsidR="00C921B6">
        <w:rPr>
          <w:rFonts w:ascii="Calibri" w:eastAsiaTheme="minorEastAsia" w:hAnsi="Calibri"/>
          <w:sz w:val="22"/>
        </w:rPr>
        <w:t xml:space="preserve"> covered with</w:t>
      </w:r>
      <w:r w:rsidR="00C921B6" w:rsidRPr="00C921B6">
        <w:rPr>
          <w:rFonts w:ascii="Calibri" w:eastAsiaTheme="minorEastAsia" w:hAnsi="Calibri"/>
          <w:sz w:val="22"/>
        </w:rPr>
        <w:t xml:space="preserve"> greenhouse film</w:t>
      </w:r>
      <w:r w:rsidR="00C921B6">
        <w:rPr>
          <w:rFonts w:ascii="Calibri" w:eastAsiaTheme="minorEastAsia" w:hAnsi="Calibri"/>
          <w:sz w:val="22"/>
        </w:rPr>
        <w:t>.</w:t>
      </w:r>
    </w:p>
    <w:p w:rsidR="006516B6" w:rsidRPr="006516B6" w:rsidRDefault="006516B6" w:rsidP="006516B6">
      <w:pPr>
        <w:spacing w:before="120" w:after="120"/>
        <w:rPr>
          <w:rFonts w:ascii="Calibri" w:eastAsiaTheme="minorEastAsia" w:hAnsi="Calibri"/>
          <w:sz w:val="22"/>
        </w:rPr>
      </w:pPr>
      <w:r w:rsidRPr="006516B6">
        <w:rPr>
          <w:rFonts w:ascii="Calibri" w:eastAsiaTheme="minorEastAsia" w:hAnsi="Calibri"/>
          <w:b/>
          <w:sz w:val="22"/>
        </w:rPr>
        <w:t>‘Regulations’</w:t>
      </w:r>
      <w:r w:rsidRPr="006516B6">
        <w:rPr>
          <w:rFonts w:ascii="Calibri" w:eastAsiaTheme="minorEastAsia" w:hAnsi="Calibri"/>
          <w:sz w:val="22"/>
        </w:rPr>
        <w:t xml:space="preserve"> means the Gene Technology Regulations 2001(Commonwealth) or the corresponding State law under which this licence is issued.</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bCs/>
          <w:sz w:val="22"/>
          <w:lang w:eastAsia="en-AU"/>
        </w:rPr>
        <w:t xml:space="preserve">‘Regulator’ </w:t>
      </w:r>
      <w:r w:rsidRPr="006516B6">
        <w:rPr>
          <w:rFonts w:ascii="Calibri" w:eastAsiaTheme="minorEastAsia" w:hAnsi="Calibri"/>
          <w:sz w:val="22"/>
          <w:lang w:eastAsia="en-AU"/>
        </w:rPr>
        <w:t>means the Gene Technology Regulator.</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lang w:eastAsia="en-AU"/>
        </w:rPr>
        <w:t>‘Related Species’</w:t>
      </w:r>
      <w:r w:rsidRPr="006516B6">
        <w:rPr>
          <w:rFonts w:ascii="Calibri" w:eastAsiaTheme="minorEastAsia" w:hAnsi="Calibri"/>
          <w:sz w:val="22"/>
          <w:lang w:eastAsia="en-AU"/>
        </w:rPr>
        <w:t xml:space="preserve"> means plants </w:t>
      </w:r>
      <w:r w:rsidR="00D434E7">
        <w:rPr>
          <w:rFonts w:ascii="Calibri" w:eastAsiaTheme="minorEastAsia" w:hAnsi="Calibri"/>
          <w:sz w:val="22"/>
          <w:lang w:eastAsia="en-AU"/>
        </w:rPr>
        <w:t xml:space="preserve">of the species </w:t>
      </w:r>
      <w:r w:rsidR="00D434E7" w:rsidRPr="00D434E7">
        <w:rPr>
          <w:rFonts w:ascii="Calibri" w:eastAsiaTheme="minorEastAsia" w:hAnsi="Calibri"/>
          <w:i/>
          <w:sz w:val="22"/>
          <w:lang w:eastAsia="en-AU"/>
        </w:rPr>
        <w:t>Lolium multiflorum</w:t>
      </w:r>
      <w:r w:rsidR="00D434E7" w:rsidRPr="00D434E7">
        <w:rPr>
          <w:rFonts w:ascii="Calibri" w:eastAsiaTheme="minorEastAsia" w:hAnsi="Calibri"/>
          <w:sz w:val="22"/>
          <w:lang w:eastAsia="en-AU"/>
        </w:rPr>
        <w:t xml:space="preserve"> Lam. </w:t>
      </w:r>
      <w:r w:rsidR="00D434E7">
        <w:rPr>
          <w:rFonts w:ascii="Calibri" w:eastAsiaTheme="minorEastAsia" w:hAnsi="Calibri"/>
          <w:sz w:val="22"/>
          <w:lang w:eastAsia="en-AU"/>
        </w:rPr>
        <w:t>(</w:t>
      </w:r>
      <w:r w:rsidR="00D434E7" w:rsidRPr="00D434E7">
        <w:rPr>
          <w:rFonts w:ascii="Calibri" w:eastAsiaTheme="minorEastAsia" w:hAnsi="Calibri"/>
          <w:sz w:val="22"/>
          <w:lang w:eastAsia="en-AU"/>
        </w:rPr>
        <w:t>Italian ryegrass</w:t>
      </w:r>
      <w:r w:rsidR="00D434E7">
        <w:rPr>
          <w:rFonts w:ascii="Calibri" w:eastAsiaTheme="minorEastAsia" w:hAnsi="Calibri"/>
          <w:sz w:val="22"/>
          <w:lang w:eastAsia="en-AU"/>
        </w:rPr>
        <w:t>),</w:t>
      </w:r>
      <w:r w:rsidR="00D434E7" w:rsidRPr="00D434E7">
        <w:rPr>
          <w:rFonts w:ascii="Calibri" w:eastAsiaTheme="minorEastAsia" w:hAnsi="Calibri"/>
          <w:sz w:val="22"/>
          <w:lang w:eastAsia="en-AU"/>
        </w:rPr>
        <w:t xml:space="preserve"> </w:t>
      </w:r>
      <w:r w:rsidR="00D434E7" w:rsidRPr="00D434E7">
        <w:rPr>
          <w:rFonts w:ascii="Calibri" w:eastAsiaTheme="minorEastAsia" w:hAnsi="Calibri"/>
          <w:i/>
          <w:sz w:val="22"/>
          <w:lang w:eastAsia="en-AU"/>
        </w:rPr>
        <w:t>L. rigidum</w:t>
      </w:r>
      <w:r w:rsidR="00D434E7" w:rsidRPr="00D434E7">
        <w:rPr>
          <w:rFonts w:ascii="Calibri" w:eastAsiaTheme="minorEastAsia" w:hAnsi="Calibri"/>
          <w:sz w:val="22"/>
          <w:lang w:eastAsia="en-AU"/>
        </w:rPr>
        <w:t xml:space="preserve"> Gaud.</w:t>
      </w:r>
      <w:r w:rsidR="00D434E7">
        <w:rPr>
          <w:rFonts w:ascii="Calibri" w:eastAsiaTheme="minorEastAsia" w:hAnsi="Calibri"/>
          <w:sz w:val="22"/>
          <w:lang w:eastAsia="en-AU"/>
        </w:rPr>
        <w:t xml:space="preserve"> </w:t>
      </w:r>
      <w:r w:rsidR="00D434E7" w:rsidRPr="00D434E7">
        <w:rPr>
          <w:rFonts w:ascii="Calibri" w:eastAsiaTheme="minorEastAsia" w:hAnsi="Calibri"/>
          <w:sz w:val="22"/>
          <w:lang w:eastAsia="en-AU"/>
        </w:rPr>
        <w:t xml:space="preserve">(annual ryegrass), </w:t>
      </w:r>
      <w:r w:rsidR="00D434E7" w:rsidRPr="00D434E7">
        <w:rPr>
          <w:rFonts w:ascii="Calibri" w:eastAsiaTheme="minorEastAsia" w:hAnsi="Calibri"/>
          <w:i/>
          <w:sz w:val="22"/>
          <w:lang w:eastAsia="en-AU"/>
        </w:rPr>
        <w:t>L. loliaceum</w:t>
      </w:r>
      <w:r w:rsidR="00D434E7" w:rsidRPr="00D434E7">
        <w:rPr>
          <w:rFonts w:ascii="Calibri" w:eastAsiaTheme="minorEastAsia" w:hAnsi="Calibri"/>
          <w:sz w:val="22"/>
          <w:lang w:eastAsia="en-AU"/>
        </w:rPr>
        <w:t xml:space="preserve"> (rigid ryegrass), </w:t>
      </w:r>
      <w:r w:rsidR="00D434E7" w:rsidRPr="00D434E7">
        <w:rPr>
          <w:rFonts w:ascii="Calibri" w:eastAsiaTheme="minorEastAsia" w:hAnsi="Calibri"/>
          <w:i/>
          <w:sz w:val="22"/>
          <w:lang w:eastAsia="en-AU"/>
        </w:rPr>
        <w:t>L. remotum</w:t>
      </w:r>
      <w:r w:rsidR="00D434E7" w:rsidRPr="00D434E7">
        <w:rPr>
          <w:rFonts w:ascii="Calibri" w:eastAsiaTheme="minorEastAsia" w:hAnsi="Calibri"/>
          <w:sz w:val="22"/>
          <w:lang w:eastAsia="en-AU"/>
        </w:rPr>
        <w:t xml:space="preserve"> (hardy ryegrass), </w:t>
      </w:r>
      <w:r w:rsidR="00D434E7" w:rsidRPr="00D434E7">
        <w:rPr>
          <w:rFonts w:ascii="Calibri" w:eastAsiaTheme="minorEastAsia" w:hAnsi="Calibri"/>
          <w:i/>
          <w:sz w:val="22"/>
          <w:lang w:eastAsia="en-AU"/>
        </w:rPr>
        <w:t>Festuca pratensis</w:t>
      </w:r>
      <w:r w:rsidR="00D434E7" w:rsidRPr="00D434E7">
        <w:rPr>
          <w:rFonts w:ascii="Calibri" w:eastAsiaTheme="minorEastAsia" w:hAnsi="Calibri"/>
          <w:sz w:val="22"/>
          <w:lang w:eastAsia="en-AU"/>
        </w:rPr>
        <w:t xml:space="preserve"> (meadow fescue), </w:t>
      </w:r>
      <w:r w:rsidR="00D434E7" w:rsidRPr="00D434E7">
        <w:rPr>
          <w:rFonts w:ascii="Calibri" w:eastAsiaTheme="minorEastAsia" w:hAnsi="Calibri"/>
          <w:i/>
          <w:sz w:val="22"/>
          <w:lang w:eastAsia="en-AU"/>
        </w:rPr>
        <w:t>F. rubra</w:t>
      </w:r>
      <w:r w:rsidR="00D434E7" w:rsidRPr="00D434E7">
        <w:rPr>
          <w:rFonts w:ascii="Calibri" w:eastAsiaTheme="minorEastAsia" w:hAnsi="Calibri"/>
          <w:sz w:val="22"/>
          <w:lang w:eastAsia="en-AU"/>
        </w:rPr>
        <w:t xml:space="preserve"> L. (red fescue) and </w:t>
      </w:r>
      <w:r w:rsidR="00D434E7" w:rsidRPr="00D434E7">
        <w:rPr>
          <w:rFonts w:ascii="Calibri" w:eastAsiaTheme="minorEastAsia" w:hAnsi="Calibri"/>
          <w:i/>
          <w:sz w:val="22"/>
          <w:lang w:eastAsia="en-AU"/>
        </w:rPr>
        <w:t>F. arundinaceum</w:t>
      </w:r>
      <w:r w:rsidR="00D434E7" w:rsidRPr="00D434E7">
        <w:rPr>
          <w:rFonts w:ascii="Calibri" w:eastAsiaTheme="minorEastAsia" w:hAnsi="Calibri"/>
          <w:sz w:val="22"/>
          <w:lang w:eastAsia="en-AU"/>
        </w:rPr>
        <w:t xml:space="preserve"> (tall fescue)</w:t>
      </w:r>
      <w:r w:rsidRPr="006516B6">
        <w:rPr>
          <w:rFonts w:ascii="Calibri" w:eastAsiaTheme="minorEastAsia" w:hAnsi="Calibri"/>
          <w:sz w:val="22"/>
          <w:lang w:eastAsia="en-AU"/>
        </w:rPr>
        <w:t>.</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bCs/>
          <w:sz w:val="22"/>
          <w:lang w:eastAsia="en-AU"/>
        </w:rPr>
        <w:t>‘Sign-off’</w:t>
      </w:r>
      <w:r w:rsidRPr="006516B6">
        <w:rPr>
          <w:rFonts w:ascii="Calibri" w:eastAsiaTheme="minorEastAsia" w:hAnsi="Calibri"/>
          <w:sz w:val="22"/>
          <w:lang w:eastAsia="en-AU"/>
        </w:rPr>
        <w:t xml:space="preserve"> means a notice in writing from the Regulator, in respect of an</w:t>
      </w:r>
      <w:r w:rsidRPr="006516B6">
        <w:rPr>
          <w:rFonts w:ascii="Calibri" w:eastAsiaTheme="minorEastAsia" w:hAnsi="Calibri"/>
          <w:sz w:val="22"/>
        </w:rPr>
        <w:t xml:space="preserve"> area</w:t>
      </w:r>
      <w:r w:rsidRPr="006516B6">
        <w:rPr>
          <w:rFonts w:ascii="Calibri" w:eastAsiaTheme="minorEastAsia" w:hAnsi="Calibri"/>
          <w:sz w:val="22"/>
          <w:lang w:eastAsia="en-AU"/>
        </w:rPr>
        <w:t xml:space="preserve">, that post-harvest obligations no longer apply in respect of that </w:t>
      </w:r>
      <w:r w:rsidR="009E5A40">
        <w:rPr>
          <w:rFonts w:ascii="Calibri" w:eastAsiaTheme="minorEastAsia" w:hAnsi="Calibri"/>
          <w:sz w:val="22"/>
          <w:lang w:eastAsia="en-AU"/>
        </w:rPr>
        <w:t xml:space="preserve">planting </w:t>
      </w:r>
      <w:r w:rsidRPr="006516B6">
        <w:rPr>
          <w:rFonts w:ascii="Calibri" w:eastAsiaTheme="minorEastAsia" w:hAnsi="Calibri"/>
          <w:sz w:val="22"/>
          <w:lang w:eastAsia="en-AU"/>
        </w:rPr>
        <w:t>area</w:t>
      </w:r>
      <w:r w:rsidR="009E5A40">
        <w:rPr>
          <w:rFonts w:ascii="Calibri" w:eastAsiaTheme="minorEastAsia" w:hAnsi="Calibri"/>
          <w:sz w:val="22"/>
          <w:lang w:eastAsia="en-AU"/>
        </w:rPr>
        <w:t xml:space="preserve"> and associated areas</w:t>
      </w:r>
      <w:r w:rsidRPr="006516B6">
        <w:rPr>
          <w:rFonts w:ascii="Calibri" w:eastAsiaTheme="minorEastAsia" w:hAnsi="Calibri"/>
          <w:sz w:val="22"/>
          <w:lang w:eastAsia="en-AU"/>
        </w:rPr>
        <w:t>.</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lang w:eastAsia="en-AU"/>
        </w:rPr>
        <w:t>‘Tillage’</w:t>
      </w:r>
      <w:r w:rsidRPr="006516B6">
        <w:rPr>
          <w:rFonts w:ascii="Calibri" w:eastAsiaTheme="minorEastAsia" w:hAnsi="Calibri"/>
          <w:sz w:val="22"/>
          <w:lang w:eastAsia="en-AU"/>
        </w:rPr>
        <w:t xml:space="preserve"> means the use of any technique to disturb the soil.</w:t>
      </w:r>
    </w:p>
    <w:p w:rsidR="006516B6" w:rsidRPr="006516B6" w:rsidRDefault="006516B6" w:rsidP="006516B6">
      <w:pPr>
        <w:spacing w:before="120" w:after="120"/>
        <w:rPr>
          <w:rFonts w:ascii="Calibri" w:eastAsiaTheme="minorEastAsia" w:hAnsi="Calibri"/>
          <w:sz w:val="22"/>
        </w:rPr>
      </w:pPr>
      <w:r w:rsidRPr="006516B6">
        <w:rPr>
          <w:rFonts w:ascii="Calibri" w:eastAsiaTheme="minorEastAsia" w:hAnsi="Calibri"/>
          <w:b/>
          <w:sz w:val="22"/>
        </w:rPr>
        <w:lastRenderedPageBreak/>
        <w:t>‘Volunteers’</w:t>
      </w:r>
      <w:r w:rsidRPr="006516B6">
        <w:rPr>
          <w:rFonts w:ascii="Calibri" w:eastAsiaTheme="minorEastAsia" w:hAnsi="Calibri"/>
          <w:sz w:val="22"/>
        </w:rPr>
        <w:t xml:space="preserve"> means GM or non-GM Perennial Ryegrass plants, or hybrid plants of Perennial Ryegrass and a Related Species, that have not been intentionally grown.</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b/>
          <w:sz w:val="22"/>
          <w:lang w:eastAsia="en-AU"/>
        </w:rPr>
        <w:t>‘Waterways’</w:t>
      </w:r>
      <w:r w:rsidRPr="006516B6">
        <w:rPr>
          <w:rFonts w:ascii="Calibri" w:eastAsiaTheme="minorEastAsia" w:hAnsi="Calibri"/>
          <w:sz w:val="22"/>
          <w:lang w:eastAsia="en-AU"/>
        </w:rPr>
        <w:t xml:space="preserve"> means all permanent natural waterways and man-made waterways that flow into natural waterways.</w:t>
      </w:r>
    </w:p>
    <w:p w:rsidR="006516B6" w:rsidRPr="006516B6" w:rsidRDefault="006516B6" w:rsidP="006516B6">
      <w:pPr>
        <w:spacing w:before="120" w:after="120"/>
        <w:rPr>
          <w:rFonts w:ascii="Calibri" w:eastAsiaTheme="minorEastAsia" w:hAnsi="Calibri"/>
          <w:sz w:val="22"/>
          <w:lang w:eastAsia="en-AU"/>
        </w:rPr>
      </w:pP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noProof/>
          <w:sz w:val="22"/>
          <w:lang w:eastAsia="en-AU"/>
        </w:rPr>
        <mc:AlternateContent>
          <mc:Choice Requires="wps">
            <w:drawing>
              <wp:anchor distT="0" distB="0" distL="114300" distR="114300" simplePos="0" relativeHeight="251664384" behindDoc="0" locked="0" layoutInCell="1" allowOverlap="1" wp14:anchorId="077BFBCC" wp14:editId="3A777C74">
                <wp:simplePos x="0" y="0"/>
                <wp:positionH relativeFrom="column">
                  <wp:posOffset>4336415</wp:posOffset>
                </wp:positionH>
                <wp:positionV relativeFrom="paragraph">
                  <wp:posOffset>1751330</wp:posOffset>
                </wp:positionV>
                <wp:extent cx="1456690" cy="81915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2B3A" w:rsidRPr="00FD6A25" w:rsidRDefault="00BB2B3A" w:rsidP="006516B6">
                            <w:pPr>
                              <w:rPr>
                                <w:rFonts w:ascii="Arial" w:hAnsi="Arial" w:cs="Arial"/>
                                <w:sz w:val="18"/>
                                <w:szCs w:val="18"/>
                              </w:rPr>
                            </w:pPr>
                            <w:r>
                              <w:rPr>
                                <w:rFonts w:ascii="Arial" w:hAnsi="Arial" w:cs="Arial"/>
                                <w:sz w:val="18"/>
                                <w:szCs w:val="18"/>
                              </w:rPr>
                              <w:t xml:space="preserve">The edge of the </w:t>
                            </w:r>
                            <w:r w:rsidRPr="00FD6A25">
                              <w:rPr>
                                <w:rFonts w:ascii="Arial" w:hAnsi="Arial" w:cs="Arial"/>
                                <w:b/>
                                <w:sz w:val="18"/>
                                <w:szCs w:val="18"/>
                              </w:rPr>
                              <w:t>Polyhouse Enclosure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1.45pt;margin-top:137.9pt;width:114.7pt;height: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" filled="f" stroked="f">
                <v:textbox>
                  <w:txbxContent>
                    <w:p w:rsidR="00BB2B3A" w:rsidRPr="00FD6A25" w:rsidRDefault="00BB2B3A" w:rsidP="006516B6">
                      <w:pPr>
                        <w:rPr>
                          <w:rFonts w:ascii="Arial" w:hAnsi="Arial" w:cs="Arial"/>
                          <w:sz w:val="18"/>
                          <w:szCs w:val="18"/>
                        </w:rPr>
                      </w:pPr>
                      <w:r>
                        <w:rPr>
                          <w:rFonts w:ascii="Arial" w:hAnsi="Arial" w:cs="Arial"/>
                          <w:sz w:val="18"/>
                          <w:szCs w:val="18"/>
                        </w:rPr>
                        <w:t xml:space="preserve">The edge of the </w:t>
                      </w:r>
                      <w:r w:rsidRPr="00FD6A25">
                        <w:rPr>
                          <w:rFonts w:ascii="Arial" w:hAnsi="Arial" w:cs="Arial"/>
                          <w:b/>
                          <w:sz w:val="18"/>
                          <w:szCs w:val="18"/>
                        </w:rPr>
                        <w:t>Polyhouse Enclosure</w:t>
                      </w:r>
                    </w:p>
                  </w:txbxContent>
                </v:textbox>
              </v:shape>
            </w:pict>
          </mc:Fallback>
        </mc:AlternateContent>
      </w:r>
      <w:r w:rsidRPr="006516B6">
        <w:rPr>
          <w:rFonts w:ascii="Calibri" w:eastAsiaTheme="minorEastAsia" w:hAnsi="Calibri"/>
          <w:noProof/>
          <w:sz w:val="22"/>
          <w:lang w:eastAsia="en-AU"/>
        </w:rPr>
        <mc:AlternateContent>
          <mc:Choice Requires="wps">
            <w:drawing>
              <wp:anchor distT="0" distB="0" distL="114300" distR="114300" simplePos="0" relativeHeight="251665408" behindDoc="0" locked="0" layoutInCell="1" allowOverlap="1" wp14:anchorId="14EE4296" wp14:editId="137D432C">
                <wp:simplePos x="0" y="0"/>
                <wp:positionH relativeFrom="column">
                  <wp:posOffset>3469640</wp:posOffset>
                </wp:positionH>
                <wp:positionV relativeFrom="paragraph">
                  <wp:posOffset>1852295</wp:posOffset>
                </wp:positionV>
                <wp:extent cx="904240" cy="9525"/>
                <wp:effectExtent l="38100" t="76200" r="0" b="85725"/>
                <wp:wrapNone/>
                <wp:docPr id="12" name="Straight Arrow Connector 12" title="Straight arrow"/>
                <wp:cNvGraphicFramePr/>
                <a:graphic xmlns:a="http://schemas.openxmlformats.org/drawingml/2006/main">
                  <a:graphicData uri="http://schemas.microsoft.com/office/word/2010/wordprocessingShape">
                    <wps:wsp>
                      <wps:cNvCnPr/>
                      <wps:spPr>
                        <a:xfrm flipH="1" flipV="1">
                          <a:off x="0" y="0"/>
                          <a:ext cx="904240"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alt="Title: Straight arrow" style="position:absolute;margin-left:273.2pt;margin-top:145.85pt;width:71.2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" strokecolor="windowText">
                <v:stroke endarrow="block"/>
              </v:shape>
            </w:pict>
          </mc:Fallback>
        </mc:AlternateContent>
      </w:r>
      <w:r w:rsidRPr="006516B6">
        <w:rPr>
          <w:rFonts w:ascii="Calibri" w:eastAsiaTheme="minorEastAsia" w:hAnsi="Calibri"/>
          <w:noProof/>
          <w:sz w:val="22"/>
          <w:lang w:eastAsia="en-AU"/>
        </w:rPr>
        <mc:AlternateContent>
          <mc:Choice Requires="wps">
            <w:drawing>
              <wp:anchor distT="0" distB="0" distL="114300" distR="114300" simplePos="0" relativeHeight="251661312" behindDoc="0" locked="0" layoutInCell="1" allowOverlap="1" wp14:anchorId="478697D2" wp14:editId="117B2CE8">
                <wp:simplePos x="0" y="0"/>
                <wp:positionH relativeFrom="column">
                  <wp:posOffset>4326890</wp:posOffset>
                </wp:positionH>
                <wp:positionV relativeFrom="paragraph">
                  <wp:posOffset>1205865</wp:posOffset>
                </wp:positionV>
                <wp:extent cx="1456690" cy="8191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2B3A" w:rsidRPr="00DD5C0D" w:rsidRDefault="00BB2B3A" w:rsidP="006516B6">
                            <w:pPr>
                              <w:rPr>
                                <w:rFonts w:ascii="Arial" w:hAnsi="Arial" w:cs="Arial"/>
                                <w:sz w:val="18"/>
                                <w:szCs w:val="18"/>
                              </w:rPr>
                            </w:pPr>
                            <w:r>
                              <w:rPr>
                                <w:rFonts w:ascii="Arial" w:hAnsi="Arial" w:cs="Arial"/>
                                <w:sz w:val="18"/>
                                <w:szCs w:val="18"/>
                              </w:rPr>
                              <w:t xml:space="preserve">An </w:t>
                            </w:r>
                            <w:r w:rsidRPr="00F45079">
                              <w:rPr>
                                <w:rFonts w:ascii="Arial" w:hAnsi="Arial" w:cs="Arial"/>
                                <w:b/>
                                <w:sz w:val="18"/>
                                <w:szCs w:val="18"/>
                              </w:rPr>
                              <w:t>A</w:t>
                            </w:r>
                            <w:r w:rsidRPr="00F75E5F">
                              <w:rPr>
                                <w:rFonts w:ascii="Arial" w:hAnsi="Arial" w:cs="Arial"/>
                                <w:b/>
                                <w:sz w:val="18"/>
                                <w:szCs w:val="18"/>
                              </w:rPr>
                              <w:t xml:space="preserve">djacent </w:t>
                            </w:r>
                            <w:r>
                              <w:rPr>
                                <w:rFonts w:ascii="Arial" w:hAnsi="Arial" w:cs="Arial"/>
                                <w:b/>
                                <w:sz w:val="18"/>
                                <w:szCs w:val="18"/>
                              </w:rPr>
                              <w:t>A</w:t>
                            </w:r>
                            <w:r w:rsidRPr="00F75E5F">
                              <w:rPr>
                                <w:rFonts w:ascii="Arial" w:hAnsi="Arial" w:cs="Arial"/>
                                <w:b/>
                                <w:sz w:val="18"/>
                                <w:szCs w:val="18"/>
                              </w:rPr>
                              <w:t>rea</w:t>
                            </w:r>
                            <w:r>
                              <w:rPr>
                                <w:rFonts w:ascii="Arial" w:hAnsi="Arial" w:cs="Arial"/>
                                <w:b/>
                                <w:sz w:val="18"/>
                                <w:szCs w:val="18"/>
                              </w:rPr>
                              <w:t xml:space="preserve">, </w:t>
                            </w:r>
                            <w:r>
                              <w:rPr>
                                <w:rFonts w:ascii="Arial" w:hAnsi="Arial" w:cs="Arial"/>
                                <w:sz w:val="18"/>
                                <w:szCs w:val="18"/>
                              </w:rPr>
                              <w:t>inside the Polyhouse Enclosure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7" type="#_x0000_t202" style="position:absolute;margin-left:340.7pt;margin-top:94.95pt;width:114.7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" filled="f" stroked="f">
                <v:textbox>
                  <w:txbxContent>
                    <w:p w:rsidR="00BB2B3A" w:rsidRPr="00DD5C0D" w:rsidRDefault="00BB2B3A" w:rsidP="006516B6">
                      <w:pPr>
                        <w:rPr>
                          <w:rFonts w:ascii="Arial" w:hAnsi="Arial" w:cs="Arial"/>
                          <w:sz w:val="18"/>
                          <w:szCs w:val="18"/>
                        </w:rPr>
                      </w:pPr>
                      <w:r>
                        <w:rPr>
                          <w:rFonts w:ascii="Arial" w:hAnsi="Arial" w:cs="Arial"/>
                          <w:sz w:val="18"/>
                          <w:szCs w:val="18"/>
                        </w:rPr>
                        <w:t xml:space="preserve">An </w:t>
                      </w:r>
                      <w:r w:rsidRPr="00F45079">
                        <w:rPr>
                          <w:rFonts w:ascii="Arial" w:hAnsi="Arial" w:cs="Arial"/>
                          <w:b/>
                          <w:sz w:val="18"/>
                          <w:szCs w:val="18"/>
                        </w:rPr>
                        <w:t>A</w:t>
                      </w:r>
                      <w:r w:rsidRPr="00F75E5F">
                        <w:rPr>
                          <w:rFonts w:ascii="Arial" w:hAnsi="Arial" w:cs="Arial"/>
                          <w:b/>
                          <w:sz w:val="18"/>
                          <w:szCs w:val="18"/>
                        </w:rPr>
                        <w:t xml:space="preserve">djacent </w:t>
                      </w:r>
                      <w:r>
                        <w:rPr>
                          <w:rFonts w:ascii="Arial" w:hAnsi="Arial" w:cs="Arial"/>
                          <w:b/>
                          <w:sz w:val="18"/>
                          <w:szCs w:val="18"/>
                        </w:rPr>
                        <w:t>A</w:t>
                      </w:r>
                      <w:r w:rsidRPr="00F75E5F">
                        <w:rPr>
                          <w:rFonts w:ascii="Arial" w:hAnsi="Arial" w:cs="Arial"/>
                          <w:b/>
                          <w:sz w:val="18"/>
                          <w:szCs w:val="18"/>
                        </w:rPr>
                        <w:t>rea</w:t>
                      </w:r>
                      <w:r>
                        <w:rPr>
                          <w:rFonts w:ascii="Arial" w:hAnsi="Arial" w:cs="Arial"/>
                          <w:b/>
                          <w:sz w:val="18"/>
                          <w:szCs w:val="18"/>
                        </w:rPr>
                        <w:t xml:space="preserve">, </w:t>
                      </w:r>
                      <w:r>
                        <w:rPr>
                          <w:rFonts w:ascii="Arial" w:hAnsi="Arial" w:cs="Arial"/>
                          <w:sz w:val="18"/>
                          <w:szCs w:val="18"/>
                        </w:rPr>
                        <w:t>inside the Polyhouse Enclosure</w:t>
                      </w:r>
                    </w:p>
                  </w:txbxContent>
                </v:textbox>
              </v:shape>
            </w:pict>
          </mc:Fallback>
        </mc:AlternateContent>
      </w:r>
      <w:r w:rsidRPr="006516B6">
        <w:rPr>
          <w:rFonts w:ascii="Calibri" w:eastAsiaTheme="minorEastAsia" w:hAnsi="Calibri"/>
          <w:noProof/>
          <w:sz w:val="22"/>
          <w:lang w:eastAsia="en-AU"/>
        </w:rPr>
        <mc:AlternateContent>
          <mc:Choice Requires="wps">
            <w:drawing>
              <wp:anchor distT="0" distB="0" distL="114300" distR="114300" simplePos="0" relativeHeight="251663360" behindDoc="0" locked="0" layoutInCell="1" allowOverlap="1" wp14:anchorId="3D767D0C" wp14:editId="05A81B1E">
                <wp:simplePos x="0" y="0"/>
                <wp:positionH relativeFrom="column">
                  <wp:posOffset>3298190</wp:posOffset>
                </wp:positionH>
                <wp:positionV relativeFrom="paragraph">
                  <wp:posOffset>1515110</wp:posOffset>
                </wp:positionV>
                <wp:extent cx="1076325" cy="0"/>
                <wp:effectExtent l="38100" t="76200" r="0" b="95250"/>
                <wp:wrapNone/>
                <wp:docPr id="9" name="Straight Arrow Connector 9" title="Straight arrow"/>
                <wp:cNvGraphicFramePr/>
                <a:graphic xmlns:a="http://schemas.openxmlformats.org/drawingml/2006/main">
                  <a:graphicData uri="http://schemas.microsoft.com/office/word/2010/wordprocessingShape">
                    <wps:wsp>
                      <wps:cNvCnPr/>
                      <wps:spPr>
                        <a:xfrm flipH="1">
                          <a:off x="0" y="0"/>
                          <a:ext cx="107632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id="Straight Arrow Connector 9" o:spid="_x0000_s1026" type="#_x0000_t32" alt="Title: Straight arrow" style="position:absolute;margin-left:259.7pt;margin-top:119.3pt;width:84.7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" strokecolor="windowText">
                <v:stroke endarrow="block"/>
              </v:shape>
            </w:pict>
          </mc:Fallback>
        </mc:AlternateContent>
      </w:r>
      <w:r w:rsidRPr="006516B6">
        <w:rPr>
          <w:rFonts w:eastAsia="Times New Roman"/>
          <w:noProof/>
          <w:lang w:eastAsia="en-AU"/>
        </w:rPr>
        <mc:AlternateContent>
          <mc:Choice Requires="wps">
            <w:drawing>
              <wp:anchor distT="0" distB="0" distL="114300" distR="114300" simplePos="0" relativeHeight="251660288" behindDoc="0" locked="0" layoutInCell="1" allowOverlap="1" wp14:anchorId="1D24F4A4" wp14:editId="2DC9E789">
                <wp:simplePos x="0" y="0"/>
                <wp:positionH relativeFrom="column">
                  <wp:posOffset>2888615</wp:posOffset>
                </wp:positionH>
                <wp:positionV relativeFrom="paragraph">
                  <wp:posOffset>1503680</wp:posOffset>
                </wp:positionV>
                <wp:extent cx="361950" cy="352425"/>
                <wp:effectExtent l="0" t="0" r="19050" b="28575"/>
                <wp:wrapNone/>
                <wp:docPr id="4" name="Rounded Rectangle 4" title="Planting area shape"/>
                <wp:cNvGraphicFramePr/>
                <a:graphic xmlns:a="http://schemas.openxmlformats.org/drawingml/2006/main">
                  <a:graphicData uri="http://schemas.microsoft.com/office/word/2010/wordprocessingShape">
                    <wps:wsp>
                      <wps:cNvSpPr/>
                      <wps:spPr>
                        <a:xfrm>
                          <a:off x="0" y="0"/>
                          <a:ext cx="361950" cy="352425"/>
                        </a:xfrm>
                        <a:prstGeom prst="roundRect">
                          <a:avLst/>
                        </a:prstGeom>
                        <a:solidFill>
                          <a:srgbClr val="1F497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 o:spid="_x0000_s1026" alt="Title: Planting area shape" style="position:absolute;margin-left:227.45pt;margin-top:118.4pt;width:28.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" fillcolor="#1f497d" strokecolor="windowText" strokeweight="1pt"/>
            </w:pict>
          </mc:Fallback>
        </mc:AlternateContent>
      </w:r>
      <w:r w:rsidRPr="006516B6">
        <w:rPr>
          <w:rFonts w:ascii="Calibri" w:eastAsiaTheme="minorEastAsia" w:hAnsi="Calibri"/>
          <w:noProof/>
          <w:sz w:val="22"/>
          <w:lang w:eastAsia="en-AU"/>
        </w:rPr>
        <mc:AlternateContent>
          <mc:Choice Requires="wps">
            <w:drawing>
              <wp:anchor distT="0" distB="0" distL="114300" distR="114300" simplePos="0" relativeHeight="251662336" behindDoc="0" locked="0" layoutInCell="1" allowOverlap="1" wp14:anchorId="35C42FD6" wp14:editId="426C0001">
                <wp:simplePos x="0" y="0"/>
                <wp:positionH relativeFrom="column">
                  <wp:posOffset>3041015</wp:posOffset>
                </wp:positionH>
                <wp:positionV relativeFrom="paragraph">
                  <wp:posOffset>408305</wp:posOffset>
                </wp:positionV>
                <wp:extent cx="0" cy="1282065"/>
                <wp:effectExtent l="76200" t="0" r="95250" b="51435"/>
                <wp:wrapNone/>
                <wp:docPr id="6" name="Straight Arrow Connector 6" title="Straight arrow"/>
                <wp:cNvGraphicFramePr/>
                <a:graphic xmlns:a="http://schemas.openxmlformats.org/drawingml/2006/main">
                  <a:graphicData uri="http://schemas.microsoft.com/office/word/2010/wordprocessingShape">
                    <wps:wsp>
                      <wps:cNvCnPr/>
                      <wps:spPr>
                        <a:xfrm>
                          <a:off x="0" y="0"/>
                          <a:ext cx="0" cy="1282065"/>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id="Straight Arrow Connector 6" o:spid="_x0000_s1026" type="#_x0000_t32" alt="Title: Straight arrow" style="position:absolute;margin-left:239.45pt;margin-top:32.15pt;width:0;height:10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" strokecolor="windowText">
                <v:stroke endarrow="block"/>
              </v:shape>
            </w:pict>
          </mc:Fallback>
        </mc:AlternateContent>
      </w:r>
      <w:r w:rsidRPr="006516B6">
        <w:rPr>
          <w:rFonts w:eastAsia="Times New Roman"/>
          <w:noProof/>
          <w:lang w:eastAsia="en-AU"/>
        </w:rPr>
        <mc:AlternateContent>
          <mc:Choice Requires="wps">
            <w:drawing>
              <wp:anchor distT="0" distB="0" distL="114300" distR="114300" simplePos="0" relativeHeight="251659264" behindDoc="0" locked="0" layoutInCell="1" allowOverlap="1" wp14:anchorId="44490958" wp14:editId="40F84CC9">
                <wp:simplePos x="0" y="0"/>
                <wp:positionH relativeFrom="column">
                  <wp:posOffset>2698115</wp:posOffset>
                </wp:positionH>
                <wp:positionV relativeFrom="paragraph">
                  <wp:posOffset>1351280</wp:posOffset>
                </wp:positionV>
                <wp:extent cx="742950" cy="653415"/>
                <wp:effectExtent l="19050" t="19050" r="38100" b="32385"/>
                <wp:wrapNone/>
                <wp:docPr id="3" name="Rounded Rectangle 3" title="Adjacent area border"/>
                <wp:cNvGraphicFramePr/>
                <a:graphic xmlns:a="http://schemas.openxmlformats.org/drawingml/2006/main">
                  <a:graphicData uri="http://schemas.microsoft.com/office/word/2010/wordprocessingShape">
                    <wps:wsp>
                      <wps:cNvSpPr/>
                      <wps:spPr>
                        <a:xfrm>
                          <a:off x="0" y="0"/>
                          <a:ext cx="742950" cy="653415"/>
                        </a:xfrm>
                        <a:prstGeom prst="roundRect">
                          <a:avLst/>
                        </a:prstGeom>
                        <a:pattFill prst="smCheck">
                          <a:fgClr>
                            <a:srgbClr val="4F81BD"/>
                          </a:fgClr>
                          <a:bgClr>
                            <a:sysClr val="window" lastClr="FFFFFF"/>
                          </a:bgClr>
                        </a:pattFill>
                        <a:ln w="571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alt="Title: Adjacent area border" style="position:absolute;margin-left:212.45pt;margin-top:106.4pt;width:58.5pt;height:5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" fillcolor="#4f81bd" strokecolor="windowText" strokeweight="4.5pt">
                <v:fill r:id="rId13" o:title="" color2="window" type="pattern"/>
              </v:roundrect>
            </w:pict>
          </mc:Fallback>
        </mc:AlternateContent>
      </w:r>
      <w:r w:rsidRPr="006516B6">
        <w:rPr>
          <w:rFonts w:eastAsia="Times New Roman"/>
          <w:noProof/>
          <w:lang w:eastAsia="en-AU"/>
        </w:rPr>
        <mc:AlternateContent>
          <mc:Choice Requires="wpg">
            <w:drawing>
              <wp:inline distT="0" distB="0" distL="0" distR="0" wp14:anchorId="10A6905E" wp14:editId="60FD155A">
                <wp:extent cx="4124325" cy="3608783"/>
                <wp:effectExtent l="0" t="0" r="9525" b="0"/>
                <wp:docPr id="29" name="Group 29" descr="The figure shows the Planting Area where GM perennial ryegrass will be grown, surrounded by an Adjacent Area inside the Polyhouse Enclosure. A 40 m Monitoring Zone surrounds the Poyhouse Enclosure which is surrounded by a 100 m  Isolation Zone.  " title="Figure 1. Diagram (not to scale) showing the relationship between the Planting Area, Adjacent Area, Polyhouse Enclosure, Monitoring Zone and Isolation Zone."/>
                <wp:cNvGraphicFramePr/>
                <a:graphic xmlns:a="http://schemas.openxmlformats.org/drawingml/2006/main">
                  <a:graphicData uri="http://schemas.microsoft.com/office/word/2010/wordprocessingGroup">
                    <wpg:wgp>
                      <wpg:cNvGrpSpPr/>
                      <wpg:grpSpPr>
                        <a:xfrm>
                          <a:off x="0" y="0"/>
                          <a:ext cx="4124325" cy="3608783"/>
                          <a:chOff x="-143235" y="8626"/>
                          <a:chExt cx="4124325" cy="3608782"/>
                        </a:xfrm>
                      </wpg:grpSpPr>
                      <wpg:grpSp>
                        <wpg:cNvPr id="31" name="Group 31"/>
                        <wpg:cNvGrpSpPr/>
                        <wpg:grpSpPr>
                          <a:xfrm>
                            <a:off x="957177" y="681352"/>
                            <a:ext cx="2967188" cy="2311592"/>
                            <a:chOff x="801976" y="112029"/>
                            <a:chExt cx="2967416" cy="2311999"/>
                          </a:xfrm>
                        </wpg:grpSpPr>
                        <wpg:grpSp>
                          <wpg:cNvPr id="32" name="Group 32"/>
                          <wpg:cNvGrpSpPr/>
                          <wpg:grpSpPr>
                            <a:xfrm>
                              <a:off x="1682147" y="112029"/>
                              <a:ext cx="2087245" cy="1997775"/>
                              <a:chOff x="1682147" y="-51873"/>
                              <a:chExt cx="2087245" cy="1997775"/>
                            </a:xfrm>
                          </wpg:grpSpPr>
                          <wps:wsp>
                            <wps:cNvPr id="33" name="Rounded Rectangle 33"/>
                            <wps:cNvSpPr/>
                            <wps:spPr>
                              <a:xfrm>
                                <a:off x="1682147" y="-51873"/>
                                <a:ext cx="2087245" cy="1997775"/>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BB2B3A" w:rsidRDefault="00BB2B3A" w:rsidP="006516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2194779" y="408958"/>
                                <a:ext cx="1107180" cy="1114191"/>
                              </a:xfrm>
                              <a:prstGeom prst="roundRect">
                                <a:avLst/>
                              </a:prstGeom>
                              <a:solidFill>
                                <a:srgbClr val="92D050"/>
                              </a:solidFill>
                              <a:ln w="6350" cap="flat" cmpd="sng" algn="ctr">
                                <a:solidFill>
                                  <a:sysClr val="windowText" lastClr="000000"/>
                                </a:solidFill>
                                <a:prstDash val="solid"/>
                              </a:ln>
                              <a:effectLst/>
                            </wps:spPr>
                            <wps:txbx>
                              <w:txbxContent>
                                <w:p w:rsidR="00BB2B3A" w:rsidRDefault="00BB2B3A" w:rsidP="006516B6">
                                  <w:pPr>
                                    <w:jc w:val="center"/>
                                  </w:pPr>
                                </w:p>
                                <w:p w:rsidR="00BB2B3A" w:rsidRDefault="00BB2B3A" w:rsidP="006516B6">
                                  <w:pPr>
                                    <w:jc w:val="center"/>
                                  </w:pPr>
                                </w:p>
                                <w:p w:rsidR="00BB2B3A" w:rsidRDefault="00BB2B3A" w:rsidP="006516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406770" y="681487"/>
                                <a:ext cx="676910" cy="598805"/>
                              </a:xfrm>
                              <a:prstGeom prst="rect">
                                <a:avLst/>
                              </a:prstGeom>
                              <a:solidFill>
                                <a:srgbClr val="00B050"/>
                              </a:solidFill>
                              <a:ln w="793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Straight Arrow Connector 39"/>
                          <wps:cNvCnPr/>
                          <wps:spPr>
                            <a:xfrm>
                              <a:off x="801976" y="1174135"/>
                              <a:ext cx="1033267" cy="1"/>
                            </a:xfrm>
                            <a:prstGeom prst="straightConnector1">
                              <a:avLst/>
                            </a:prstGeom>
                            <a:noFill/>
                            <a:ln w="9525" cap="flat" cmpd="sng" algn="ctr">
                              <a:solidFill>
                                <a:sysClr val="windowText" lastClr="000000"/>
                              </a:solidFill>
                              <a:prstDash val="solid"/>
                              <a:tailEnd type="triangle"/>
                            </a:ln>
                            <a:effectLst/>
                          </wps:spPr>
                          <wps:bodyPr/>
                        </wps:wsp>
                        <wps:wsp>
                          <wps:cNvPr id="40" name="Straight Arrow Connector 40"/>
                          <wps:cNvCnPr/>
                          <wps:spPr>
                            <a:xfrm flipV="1">
                              <a:off x="2507469" y="1544134"/>
                              <a:ext cx="0" cy="879894"/>
                            </a:xfrm>
                            <a:prstGeom prst="straightConnector1">
                              <a:avLst/>
                            </a:prstGeom>
                            <a:noFill/>
                            <a:ln w="9525" cap="flat" cmpd="sng" algn="ctr">
                              <a:solidFill>
                                <a:sysClr val="windowText" lastClr="000000"/>
                              </a:solidFill>
                              <a:prstDash val="solid"/>
                              <a:tailEnd type="triangle"/>
                            </a:ln>
                            <a:effectLst/>
                          </wps:spPr>
                          <wps:bodyPr/>
                        </wps:wsp>
                      </wpg:grpSp>
                      <wps:wsp>
                        <wps:cNvPr id="49" name="Text Box 8"/>
                        <wps:cNvSpPr txBox="1">
                          <a:spLocks noChangeArrowheads="1"/>
                        </wps:cNvSpPr>
                        <wps:spPr bwMode="auto">
                          <a:xfrm>
                            <a:off x="2139351" y="8626"/>
                            <a:ext cx="1457325" cy="672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2B3A" w:rsidRPr="00DD5C0D" w:rsidRDefault="00BB2B3A" w:rsidP="006516B6">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b/>
                                  <w:sz w:val="18"/>
                                  <w:szCs w:val="18"/>
                                </w:rPr>
                                <w:t>,</w:t>
                              </w:r>
                              <w:r>
                                <w:rPr>
                                  <w:rFonts w:ascii="Arial" w:hAnsi="Arial" w:cs="Arial"/>
                                  <w:sz w:val="18"/>
                                  <w:szCs w:val="18"/>
                                </w:rPr>
                                <w:t xml:space="preserve"> where GM Perennial Ryegrass</w:t>
                              </w:r>
                              <w:r w:rsidRPr="00921A39">
                                <w:rPr>
                                  <w:rFonts w:ascii="Arial" w:hAnsi="Arial" w:cs="Arial"/>
                                  <w:sz w:val="18"/>
                                  <w:szCs w:val="18"/>
                                </w:rPr>
                                <w:t xml:space="preserve"> </w:t>
                              </w:r>
                              <w:r>
                                <w:rPr>
                                  <w:rFonts w:ascii="Arial" w:hAnsi="Arial" w:cs="Arial"/>
                                  <w:sz w:val="18"/>
                                  <w:szCs w:val="18"/>
                                </w:rPr>
                                <w:t>may be grown</w:t>
                              </w:r>
                            </w:p>
                          </w:txbxContent>
                        </wps:txbx>
                        <wps:bodyPr rot="0" vert="horz" wrap="square" lIns="91440" tIns="45720" rIns="91440" bIns="45720" anchor="t" anchorCtr="0" upright="1">
                          <a:noAutofit/>
                        </wps:bodyPr>
                      </wps:wsp>
                      <wps:wsp>
                        <wps:cNvPr id="51" name="Text Box 4"/>
                        <wps:cNvSpPr txBox="1">
                          <a:spLocks noChangeArrowheads="1"/>
                        </wps:cNvSpPr>
                        <wps:spPr bwMode="auto">
                          <a:xfrm>
                            <a:off x="-143235" y="1443525"/>
                            <a:ext cx="1349375" cy="624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2B3A" w:rsidRPr="00F9330F" w:rsidRDefault="00BB2B3A" w:rsidP="006516B6">
                              <w:pPr>
                                <w:rPr>
                                  <w:szCs w:val="18"/>
                                </w:rPr>
                              </w:pPr>
                              <w:r>
                                <w:rPr>
                                  <w:rFonts w:ascii="Arial" w:hAnsi="Arial" w:cs="Arial"/>
                                  <w:sz w:val="18"/>
                                  <w:szCs w:val="18"/>
                                </w:rPr>
                                <w:t xml:space="preserve">An </w:t>
                              </w:r>
                              <w:r>
                                <w:rPr>
                                  <w:rFonts w:ascii="Arial" w:hAnsi="Arial" w:cs="Arial"/>
                                  <w:b/>
                                  <w:sz w:val="18"/>
                                  <w:szCs w:val="18"/>
                                </w:rPr>
                                <w:t>Isolation</w:t>
                              </w:r>
                              <w:r w:rsidRPr="00DF541D">
                                <w:rPr>
                                  <w:rFonts w:ascii="Arial" w:hAnsi="Arial" w:cs="Arial"/>
                                  <w:b/>
                                  <w:sz w:val="18"/>
                                  <w:szCs w:val="18"/>
                                </w:rPr>
                                <w:t xml:space="preserve"> Zone</w:t>
                              </w:r>
                              <w:r>
                                <w:rPr>
                                  <w:rFonts w:ascii="Arial" w:hAnsi="Arial" w:cs="Arial"/>
                                  <w:sz w:val="18"/>
                                  <w:szCs w:val="18"/>
                                </w:rPr>
                                <w:t>, at least 100 m wide, surrounding the Monitoring Zone</w:t>
                              </w:r>
                            </w:p>
                          </w:txbxContent>
                        </wps:txbx>
                        <wps:bodyPr rot="0" vert="horz" wrap="square" lIns="91440" tIns="45720" rIns="91440" bIns="45720" anchor="t" anchorCtr="0" upright="1">
                          <a:noAutofit/>
                        </wps:bodyPr>
                      </wps:wsp>
                      <wps:wsp>
                        <wps:cNvPr id="52" name="Text Box 4"/>
                        <wps:cNvSpPr txBox="1">
                          <a:spLocks noChangeArrowheads="1"/>
                        </wps:cNvSpPr>
                        <wps:spPr bwMode="auto">
                          <a:xfrm>
                            <a:off x="2463300" y="2992568"/>
                            <a:ext cx="1517790" cy="624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2B3A" w:rsidRPr="00F9330F" w:rsidRDefault="00BB2B3A" w:rsidP="006516B6">
                              <w:pPr>
                                <w:rPr>
                                  <w:szCs w:val="18"/>
                                </w:rPr>
                              </w:pPr>
                              <w:r>
                                <w:rPr>
                                  <w:rFonts w:ascii="Arial" w:hAnsi="Arial" w:cs="Arial"/>
                                  <w:sz w:val="18"/>
                                  <w:szCs w:val="18"/>
                                </w:rPr>
                                <w:t xml:space="preserve">A </w:t>
                              </w:r>
                              <w:r>
                                <w:rPr>
                                  <w:rFonts w:ascii="Arial" w:hAnsi="Arial" w:cs="Arial"/>
                                  <w:b/>
                                  <w:sz w:val="18"/>
                                  <w:szCs w:val="18"/>
                                </w:rPr>
                                <w:t>Monitoring</w:t>
                              </w:r>
                              <w:r w:rsidRPr="00DF541D">
                                <w:rPr>
                                  <w:rFonts w:ascii="Arial" w:hAnsi="Arial" w:cs="Arial"/>
                                  <w:b/>
                                  <w:sz w:val="18"/>
                                  <w:szCs w:val="18"/>
                                </w:rPr>
                                <w:t xml:space="preserve"> Zone</w:t>
                              </w:r>
                              <w:r>
                                <w:rPr>
                                  <w:rFonts w:ascii="Arial" w:hAnsi="Arial" w:cs="Arial"/>
                                  <w:sz w:val="18"/>
                                  <w:szCs w:val="18"/>
                                </w:rPr>
                                <w:t>, at least 40 m wide, surrounding the Polyhouse Enclosure</w:t>
                              </w:r>
                            </w:p>
                          </w:txbxContent>
                        </wps:txbx>
                        <wps:bodyPr rot="0" vert="horz" wrap="square" lIns="91440" tIns="45720" rIns="91440" bIns="45720" anchor="t" anchorCtr="0" upright="1">
                          <a:noAutofit/>
                        </wps:bodyPr>
                      </wps:wsp>
                    </wpg:wgp>
                  </a:graphicData>
                </a:graphic>
              </wp:inline>
            </w:drawing>
          </mc:Choice>
          <mc:Fallback>
            <w:pict>
              <v:group id="Group 29" o:spid="_x0000_s1028" alt="Title: Figure 1. Diagram (not to scale) showing the relationship between the Planting Area, Adjacent Area, Polyhouse Enclosure, Monitoring Zone and Isolation Zone. - Description: The figure shows the Planting Area where GM perennial ryegrass will be grown, surrounded by an Adjacent Area inside the Polyhouse Enclosure. A 40 m Monitoring Zone surrounds the Poyhouse Enclosure which is surrounded by a 100 m  Isolation Zone.  " style="width:324.75pt;height:284.15pt;mso-position-horizontal-relative:char;mso-position-vertical-relative:line" coordorigin="-1432,86" coordsize="41243,36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">
                <v:group id="Group 31" o:spid="_x0000_s1029" style="position:absolute;left:9571;top:6813;width:29672;height:23116" coordorigin="8019,1120" coordsize="29674,23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30" style="position:absolute;left:16821;top:1120;width:20872;height:19978" coordorigin="16821,-518" coordsize="20872,19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Rounded Rectangle 33" o:spid="_x0000_s1031" style="position:absolute;left:16821;top:-518;width:20872;height:199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3nMMA&#10;AADbAAAADwAAAGRycy9kb3ducmV2LnhtbESPS4vCQBCE78L+h6EX9iLrxAgiMaMsC+J680XYY5Pp&#10;PDDTEzJjjP/eEQSPRVV9RaXrwTSip87VlhVMJxEI4tzqmksF59PmewHCeWSNjWVScCcH69XHKMVE&#10;2xsfqD/6UgQIuwQVVN63iZQur8igm9iWOHiF7Qz6ILtS6g5vAW4aGUfRXBqsOSxU2NJvRfnleDUK&#10;suu+3Fr+H+/ibL+YxlmRH+a9Ul+fw88ShKfBv8Ov9p9WMJvB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u3nMMAAADbAAAADwAAAAAAAAAAAAAAAACYAgAAZHJzL2Rv&#10;d25yZXYueG1sUEsFBgAAAAAEAAQA9QAAAIgDAAAAAA==&#10;" fillcolor="windowText" strokecolor="windowText" strokeweight=".5pt">
                      <v:fill r:id="rId14" o:title="" color2="#cfc" type="pattern"/>
                      <v:textbox>
                        <w:txbxContent>
                          <w:p w:rsidR="00BB2B3A" w:rsidRDefault="00BB2B3A" w:rsidP="006516B6">
                            <w:pPr>
                              <w:jc w:val="center"/>
                            </w:pPr>
                          </w:p>
                        </w:txbxContent>
                      </v:textbox>
                    </v:roundrect>
                    <v:roundrect id="Rounded Rectangle 36" o:spid="_x0000_s1032" style="position:absolute;left:21947;top:4089;width:11072;height:111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qgcUA&#10;AADbAAAADwAAAGRycy9kb3ducmV2LnhtbESPQWvCQBSE70L/w/IKvekmLQRN3QQNFNtDDtoePD6y&#10;zySafRuz25j++25B6HGYmW+YdT6ZTow0uNaygngRgSCurG65VvD1+TZfgnAeWWNnmRT8kIM8e5it&#10;MdX2xnsaD74WAcIuRQWN930qpasaMugWticO3skOBn2QQy31gLcAN518jqJEGmw5LDTYU9FQdTl8&#10;GwXbVUyFK/U1+jjvyiPufLE8rpR6epw2ryA8Tf4/fG+/awUvC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qqBxQAAANsAAAAPAAAAAAAAAAAAAAAAAJgCAABkcnMv&#10;ZG93bnJldi54bWxQSwUGAAAAAAQABAD1AAAAigMAAAAA&#10;" fillcolor="#92d050" strokecolor="windowText" strokeweight=".5pt">
                      <v:textbox>
                        <w:txbxContent>
                          <w:p w:rsidR="00BB2B3A" w:rsidRDefault="00BB2B3A" w:rsidP="006516B6">
                            <w:pPr>
                              <w:jc w:val="center"/>
                            </w:pPr>
                          </w:p>
                          <w:p w:rsidR="00BB2B3A" w:rsidRDefault="00BB2B3A" w:rsidP="006516B6">
                            <w:pPr>
                              <w:jc w:val="center"/>
                            </w:pPr>
                          </w:p>
                          <w:p w:rsidR="00BB2B3A" w:rsidRDefault="00BB2B3A" w:rsidP="006516B6">
                            <w:pPr>
                              <w:jc w:val="center"/>
                            </w:pPr>
                          </w:p>
                        </w:txbxContent>
                      </v:textbox>
                    </v:roundrect>
                    <v:rect id="Rectangle 35" o:spid="_x0000_s1033" style="position:absolute;left:24067;top:6814;width:6769;height:5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pUMMA&#10;AADbAAAADwAAAGRycy9kb3ducmV2LnhtbESPQWvCQBSE7wX/w/KE3upGa0Sjq0ihIHrSiOdH9pkE&#10;s29DdjVrf31XKPQ4zMw3zGoTTCMe1LnasoLxKAFBXFhdc6ngnH9/zEE4j6yxsUwKnuRgsx68rTDT&#10;tucjPU6+FBHCLkMFlfdtJqUrKjLoRrYljt7VdgZ9lF0pdYd9hJtGTpJkJg3WHBcqbOmrouJ2uhsF&#10;Ifz06eE6meazy0Xn6XGx9/1Cqfdh2C5BeAr+P/zX3mkFnym8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xpUMMAAADbAAAADwAAAAAAAAAAAAAAAACYAgAAZHJzL2Rv&#10;d25yZXYueG1sUEsFBgAAAAAEAAQA9QAAAIgDAAAAAA==&#10;" fillcolor="#00b050" stroked="f" strokeweight="6.25pt"/>
                  </v:group>
                  <v:shapetype id="_x0000_t32" coordsize="21600,21600" o:spt="32" o:oned="t" path="m,l21600,21600e" filled="f">
                    <v:path arrowok="t" fillok="f" o:connecttype="none"/>
                    <o:lock v:ext="edit" shapetype="t"/>
                  </v:shapetype>
                  <v:shape id="Straight Arrow Connector 39" o:spid="_x0000_s1034" type="#_x0000_t32" style="position:absolute;left:8019;top:11741;width:10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ff18UAAADbAAAADwAAAGRycy9kb3ducmV2LnhtbESPQUvDQBSE74L/YXmCN7vRiti026Ki&#10;YE+SxEKPr9nXbGr2bdhdm/Tfu0Khx2FmvmEWq9F24kg+tI4V3E8yEMS10y03Cr6rj7tnECEia+wc&#10;k4ITBVgtr68WmGs3cEHHMjYiQTjkqMDE2OdShtqQxTBxPXHy9s5bjEn6RmqPQ4LbTj5k2ZO02HJa&#10;MNjTm6H6p/y1CgrpX9flY1dVw7uZ7r70ZlscNkrd3owvcxCRxngJn9ufWsF0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ff18UAAADbAAAADwAAAAAAAAAA&#10;AAAAAAChAgAAZHJzL2Rvd25yZXYueG1sUEsFBgAAAAAEAAQA+QAAAJMDAAAAAA==&#10;" strokecolor="windowText">
                    <v:stroke endarrow="block"/>
                  </v:shape>
                  <v:shape id="Straight Arrow Connector 40" o:spid="_x0000_s1035" type="#_x0000_t32" style="position:absolute;left:25074;top:15441;width:0;height:87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uVMAAAADbAAAADwAAAGRycy9kb3ducmV2LnhtbERPTYvCMBC9L/gfwgje1lQpsnSNooIi&#10;qKzWvextaGabYjMpTdT6781B8Ph439N5Z2txo9ZXjhWMhgkI4sLpiksFv+f15xcIH5A11o5JwYM8&#10;zGe9jylm2t35RLc8lCKGsM9QgQmhyaT0hSGLfuga4sj9u9ZiiLAtpW7xHsNtLcdJMpEWK44NBhta&#10;GSou+dUqOPy5NE99/rPZ75ZHmzgzGY+MUoN+t/gGEagLb/HLvdUK0rg+fok/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FrlTAAAAA2wAAAA8AAAAAAAAAAAAAAAAA&#10;oQIAAGRycy9kb3ducmV2LnhtbFBLBQYAAAAABAAEAPkAAACOAwAAAAA=&#10;" strokecolor="windowText">
                    <v:stroke endarrow="block"/>
                  </v:shape>
                </v:group>
                <v:shapetype id="_x0000_t202" coordsize="21600,21600" o:spt="202" path="m,l,21600r21600,l21600,xe">
                  <v:stroke joinstyle="miter"/>
                  <v:path gradientshapeok="t" o:connecttype="rect"/>
                </v:shapetype>
                <v:shape id="_x0000_s1036" type="#_x0000_t202" style="position:absolute;left:21393;top:86;width:14573;height:6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B2B3A" w:rsidRPr="00DD5C0D" w:rsidRDefault="00BB2B3A" w:rsidP="006516B6">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b/>
                            <w:sz w:val="18"/>
                            <w:szCs w:val="18"/>
                          </w:rPr>
                          <w:t>,</w:t>
                        </w:r>
                        <w:r>
                          <w:rPr>
                            <w:rFonts w:ascii="Arial" w:hAnsi="Arial" w:cs="Arial"/>
                            <w:sz w:val="18"/>
                            <w:szCs w:val="18"/>
                          </w:rPr>
                          <w:t xml:space="preserve"> where GM Perennial Ryegrass</w:t>
                        </w:r>
                        <w:r w:rsidRPr="00921A39">
                          <w:rPr>
                            <w:rFonts w:ascii="Arial" w:hAnsi="Arial" w:cs="Arial"/>
                            <w:sz w:val="18"/>
                            <w:szCs w:val="18"/>
                          </w:rPr>
                          <w:t xml:space="preserve"> </w:t>
                        </w:r>
                        <w:r>
                          <w:rPr>
                            <w:rFonts w:ascii="Arial" w:hAnsi="Arial" w:cs="Arial"/>
                            <w:sz w:val="18"/>
                            <w:szCs w:val="18"/>
                          </w:rPr>
                          <w:t>may be grown</w:t>
                        </w:r>
                      </w:p>
                    </w:txbxContent>
                  </v:textbox>
                </v:shape>
                <v:shape id="Text Box 4" o:spid="_x0000_s1037" type="#_x0000_t202" style="position:absolute;left:-1432;top:14435;width:13493;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B2B3A" w:rsidRPr="00F9330F" w:rsidRDefault="00BB2B3A" w:rsidP="006516B6">
                        <w:pPr>
                          <w:rPr>
                            <w:szCs w:val="18"/>
                          </w:rPr>
                        </w:pPr>
                        <w:r>
                          <w:rPr>
                            <w:rFonts w:ascii="Arial" w:hAnsi="Arial" w:cs="Arial"/>
                            <w:sz w:val="18"/>
                            <w:szCs w:val="18"/>
                          </w:rPr>
                          <w:t xml:space="preserve">An </w:t>
                        </w:r>
                        <w:r>
                          <w:rPr>
                            <w:rFonts w:ascii="Arial" w:hAnsi="Arial" w:cs="Arial"/>
                            <w:b/>
                            <w:sz w:val="18"/>
                            <w:szCs w:val="18"/>
                          </w:rPr>
                          <w:t>Isolation</w:t>
                        </w:r>
                        <w:r w:rsidRPr="00DF541D">
                          <w:rPr>
                            <w:rFonts w:ascii="Arial" w:hAnsi="Arial" w:cs="Arial"/>
                            <w:b/>
                            <w:sz w:val="18"/>
                            <w:szCs w:val="18"/>
                          </w:rPr>
                          <w:t xml:space="preserve"> Zone</w:t>
                        </w:r>
                        <w:r>
                          <w:rPr>
                            <w:rFonts w:ascii="Arial" w:hAnsi="Arial" w:cs="Arial"/>
                            <w:sz w:val="18"/>
                            <w:szCs w:val="18"/>
                          </w:rPr>
                          <w:t>, at least 100 m wide, surrounding the Monitoring Zone</w:t>
                        </w:r>
                      </w:p>
                    </w:txbxContent>
                  </v:textbox>
                </v:shape>
                <v:shape id="Text Box 4" o:spid="_x0000_s1038" type="#_x0000_t202" style="position:absolute;left:24633;top:29925;width:15177;height:6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B2B3A" w:rsidRPr="00F9330F" w:rsidRDefault="00BB2B3A" w:rsidP="006516B6">
                        <w:pPr>
                          <w:rPr>
                            <w:szCs w:val="18"/>
                          </w:rPr>
                        </w:pPr>
                        <w:r>
                          <w:rPr>
                            <w:rFonts w:ascii="Arial" w:hAnsi="Arial" w:cs="Arial"/>
                            <w:sz w:val="18"/>
                            <w:szCs w:val="18"/>
                          </w:rPr>
                          <w:t xml:space="preserve">A </w:t>
                        </w:r>
                        <w:r>
                          <w:rPr>
                            <w:rFonts w:ascii="Arial" w:hAnsi="Arial" w:cs="Arial"/>
                            <w:b/>
                            <w:sz w:val="18"/>
                            <w:szCs w:val="18"/>
                          </w:rPr>
                          <w:t>Monitoring</w:t>
                        </w:r>
                        <w:r w:rsidRPr="00DF541D">
                          <w:rPr>
                            <w:rFonts w:ascii="Arial" w:hAnsi="Arial" w:cs="Arial"/>
                            <w:b/>
                            <w:sz w:val="18"/>
                            <w:szCs w:val="18"/>
                          </w:rPr>
                          <w:t xml:space="preserve"> Zone</w:t>
                        </w:r>
                        <w:r>
                          <w:rPr>
                            <w:rFonts w:ascii="Arial" w:hAnsi="Arial" w:cs="Arial"/>
                            <w:sz w:val="18"/>
                            <w:szCs w:val="18"/>
                          </w:rPr>
                          <w:t>, at least 40 m wide, surrounding the Polyhouse Enclosure</w:t>
                        </w:r>
                      </w:p>
                    </w:txbxContent>
                  </v:textbox>
                </v:shape>
                <w10:anchorlock/>
              </v:group>
            </w:pict>
          </mc:Fallback>
        </mc:AlternateContent>
      </w:r>
      <w:bookmarkStart w:id="15" w:name="_GoBack"/>
      <w:bookmarkEnd w:id="15"/>
    </w:p>
    <w:p w:rsidR="006516B6" w:rsidRPr="006516B6" w:rsidRDefault="006516B6" w:rsidP="006516B6">
      <w:pPr>
        <w:spacing w:before="120" w:after="120"/>
        <w:rPr>
          <w:rFonts w:ascii="Calibri" w:eastAsiaTheme="minorEastAsia" w:hAnsi="Calibri"/>
          <w:b/>
          <w:sz w:val="22"/>
          <w:lang w:eastAsia="en-AU"/>
        </w:rPr>
      </w:pPr>
      <w:r w:rsidRPr="006516B6">
        <w:rPr>
          <w:rFonts w:ascii="Calibri" w:eastAsiaTheme="minorEastAsia" w:hAnsi="Calibri"/>
          <w:b/>
          <w:sz w:val="22"/>
          <w:lang w:eastAsia="en-AU"/>
        </w:rPr>
        <w:t>Figure 1. Diagram (not to scale) showing the relationships between the Planting Area, Adjacent Area, Polyhouse Enclosure, Monitoring Zone and Isolation Zone.</w:t>
      </w:r>
    </w:p>
    <w:p w:rsidR="006516B6" w:rsidRPr="006516B6" w:rsidRDefault="006516B6" w:rsidP="006516B6">
      <w:pPr>
        <w:rPr>
          <w:rFonts w:ascii="Calibri" w:eastAsiaTheme="minorEastAsia" w:hAnsi="Calibri"/>
          <w:b/>
          <w:sz w:val="22"/>
          <w:lang w:eastAsia="en-AU"/>
        </w:rPr>
      </w:pPr>
    </w:p>
    <w:p w:rsidR="006516B6" w:rsidRPr="006516B6" w:rsidRDefault="006516B6" w:rsidP="006516B6">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16" w:name="_Toc416348200"/>
      <w:bookmarkStart w:id="17" w:name="_Toc498090909"/>
      <w:r w:rsidRPr="006516B6">
        <w:rPr>
          <w:rFonts w:ascii="Calibri" w:eastAsiaTheme="minorEastAsia" w:hAnsi="Calibri" w:cs="Arial"/>
          <w:b/>
          <w:sz w:val="28"/>
          <w:szCs w:val="28"/>
          <w:lang w:eastAsia="en-AU"/>
        </w:rPr>
        <w:t>General conditions and obligations</w:t>
      </w:r>
      <w:bookmarkEnd w:id="16"/>
      <w:bookmarkEnd w:id="17"/>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This licence does not authorise dealings with GMOs that are otherwise prohibited as a result of the operation of State legislation declaring areas to be GM, GM free, or both, for marketing purposes.</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This licence remains in force until it is suspended, cancelled or surrendered. No dealings with GMOs are authorised during any period of suspension.</w:t>
      </w:r>
    </w:p>
    <w:p w:rsidR="006516B6" w:rsidRPr="006516B6" w:rsidRDefault="006516B6" w:rsidP="006516B6">
      <w:pPr>
        <w:numPr>
          <w:ilvl w:val="0"/>
          <w:numId w:val="21"/>
        </w:numPr>
        <w:tabs>
          <w:tab w:val="left" w:pos="540"/>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holder of this licence ('the licence holder') is the Department of Economic Development, Jobs, Transport and Resources (DEDJTR</w:t>
      </w:r>
      <w:r w:rsidR="00A642E1">
        <w:rPr>
          <w:rFonts w:ascii="Calibri" w:eastAsiaTheme="minorEastAsia" w:hAnsi="Calibri"/>
          <w:sz w:val="22"/>
          <w:lang w:eastAsia="en-AU"/>
        </w:rPr>
        <w:t>;</w:t>
      </w:r>
      <w:r w:rsidR="00A642E1" w:rsidRPr="00A642E1">
        <w:rPr>
          <w:rFonts w:ascii="Calibri" w:eastAsiaTheme="minorEastAsia" w:hAnsi="Calibri"/>
          <w:sz w:val="22"/>
          <w:lang w:eastAsia="en-AU"/>
        </w:rPr>
        <w:t xml:space="preserve"> </w:t>
      </w:r>
      <w:r w:rsidR="00A642E1">
        <w:rPr>
          <w:rFonts w:ascii="Calibri" w:eastAsiaTheme="minorEastAsia" w:hAnsi="Calibri"/>
          <w:sz w:val="22"/>
          <w:lang w:eastAsia="en-AU"/>
        </w:rPr>
        <w:t>Victoria</w:t>
      </w:r>
      <w:r w:rsidRPr="006516B6">
        <w:rPr>
          <w:rFonts w:ascii="Calibri" w:eastAsiaTheme="minorEastAsia" w:hAnsi="Calibri"/>
          <w:sz w:val="22"/>
          <w:lang w:eastAsia="en-AU"/>
        </w:rPr>
        <w:t>).</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rsidR="006516B6" w:rsidRPr="006516B6" w:rsidRDefault="006516B6" w:rsidP="006516B6">
      <w:pPr>
        <w:numPr>
          <w:ilvl w:val="0"/>
          <w:numId w:val="21"/>
        </w:numPr>
        <w:tabs>
          <w:tab w:val="left" w:pos="540"/>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dealings authorised by this licence are to conduct experiments with the GMOs, propagate and grow the GMOs, transport and dispose of the GMOs, and possession, supply or use of the GMOs in the course of any of these dealings.</w:t>
      </w:r>
    </w:p>
    <w:p w:rsidR="006516B6" w:rsidRPr="006516B6" w:rsidRDefault="006516B6" w:rsidP="006516B6">
      <w:pPr>
        <w:keepNext/>
        <w:spacing w:before="240" w:after="60"/>
        <w:outlineLvl w:val="2"/>
        <w:rPr>
          <w:rFonts w:ascii="Calibri" w:eastAsiaTheme="majorEastAsia" w:hAnsi="Calibri" w:cs="Arial"/>
          <w:b/>
          <w:bCs/>
          <w:i/>
          <w:sz w:val="22"/>
          <w:szCs w:val="26"/>
        </w:rPr>
      </w:pPr>
      <w:bookmarkStart w:id="18" w:name="_Toc411421890"/>
      <w:bookmarkStart w:id="19" w:name="_Toc412626201"/>
      <w:bookmarkStart w:id="20" w:name="_Toc498090910"/>
      <w:r w:rsidRPr="006516B6">
        <w:rPr>
          <w:rFonts w:ascii="Calibri" w:eastAsiaTheme="majorEastAsia" w:hAnsi="Calibri" w:cs="Arial"/>
          <w:b/>
          <w:bCs/>
          <w:i/>
          <w:sz w:val="22"/>
          <w:szCs w:val="26"/>
        </w:rPr>
        <w:t>Obligations of the Licence Holder</w:t>
      </w:r>
      <w:bookmarkEnd w:id="18"/>
      <w:bookmarkEnd w:id="19"/>
      <w:bookmarkEnd w:id="20"/>
    </w:p>
    <w:p w:rsidR="006516B6" w:rsidRPr="006516B6" w:rsidRDefault="006516B6" w:rsidP="006516B6">
      <w:pPr>
        <w:numPr>
          <w:ilvl w:val="0"/>
          <w:numId w:val="21"/>
        </w:numPr>
        <w:tabs>
          <w:tab w:val="left" w:pos="540"/>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licence holder must notify the Regulator in writing as soon as practically possible if any of the contact details of the project supervisor change from those notified in the licence application or subsequently.</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lastRenderedPageBreak/>
        <w:t>Note: please address correspondence to ogtr.applications@health.gov.au.</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Prior to issuing a licence, the Regulator considers suitability of the applicant to hold a licence. The following conditions address ongoing suitability of the licence holder.</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21" w:name="_Ref323636475"/>
      <w:r w:rsidRPr="006516B6">
        <w:rPr>
          <w:rFonts w:ascii="Calibri" w:eastAsiaTheme="minorEastAsia" w:hAnsi="Calibri"/>
          <w:sz w:val="22"/>
          <w:lang w:eastAsia="en-AU"/>
        </w:rPr>
        <w:t>The licence holder must, at all times, remain an accredited organisation in accordance with the Act and must comply with its instrument of accreditation.</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22" w:name="_Ref438641591"/>
      <w:r w:rsidRPr="006516B6">
        <w:rPr>
          <w:rFonts w:ascii="Calibri" w:eastAsiaTheme="minorEastAsia" w:hAnsi="Calibri"/>
          <w:sz w:val="22"/>
          <w:lang w:eastAsia="en-AU"/>
        </w:rPr>
        <w:t>The licence holder must:</w:t>
      </w:r>
      <w:bookmarkEnd w:id="21"/>
      <w:bookmarkEnd w:id="22"/>
    </w:p>
    <w:p w:rsidR="006516B6" w:rsidRPr="006516B6" w:rsidRDefault="006516B6" w:rsidP="006516B6">
      <w:pPr>
        <w:numPr>
          <w:ilvl w:val="1"/>
          <w:numId w:val="6"/>
        </w:numPr>
        <w:tabs>
          <w:tab w:val="num" w:pos="851"/>
        </w:tabs>
        <w:spacing w:before="120" w:after="120"/>
        <w:ind w:left="851" w:hanging="567"/>
        <w:rPr>
          <w:rFonts w:ascii="Calibri" w:eastAsiaTheme="minorEastAsia" w:hAnsi="Calibri"/>
          <w:sz w:val="22"/>
          <w:lang w:eastAsia="en-AU"/>
        </w:rPr>
      </w:pPr>
      <w:bookmarkStart w:id="23" w:name="_Ref323628619"/>
      <w:r w:rsidRPr="006516B6">
        <w:rPr>
          <w:rFonts w:ascii="Calibri" w:eastAsiaTheme="minorEastAsia" w:hAnsi="Calibri"/>
          <w:sz w:val="22"/>
          <w:lang w:eastAsia="en-AU"/>
        </w:rPr>
        <w:t>inform the Regulator immediately in writing, of</w:t>
      </w:r>
      <w:bookmarkEnd w:id="23"/>
      <w:r w:rsidRPr="006516B6">
        <w:rPr>
          <w:rFonts w:ascii="Calibri" w:eastAsiaTheme="minorEastAsia" w:hAnsi="Calibri"/>
          <w:sz w:val="22"/>
          <w:lang w:eastAsia="en-AU"/>
        </w:rPr>
        <w:t>:</w:t>
      </w:r>
    </w:p>
    <w:p w:rsidR="006516B6" w:rsidRPr="006516B6" w:rsidRDefault="006516B6" w:rsidP="006516B6">
      <w:pPr>
        <w:numPr>
          <w:ilvl w:val="0"/>
          <w:numId w:val="23"/>
        </w:numPr>
        <w:tabs>
          <w:tab w:val="num" w:pos="1134"/>
        </w:tabs>
        <w:spacing w:before="120" w:after="120"/>
        <w:ind w:left="1134" w:hanging="283"/>
        <w:rPr>
          <w:rFonts w:ascii="Calibri" w:eastAsiaTheme="minorEastAsia" w:hAnsi="Calibri"/>
          <w:sz w:val="22"/>
          <w:lang w:eastAsia="en-AU"/>
        </w:rPr>
      </w:pPr>
      <w:r w:rsidRPr="006516B6">
        <w:rPr>
          <w:rFonts w:ascii="Calibri" w:eastAsiaTheme="minorEastAsia" w:hAnsi="Calibri"/>
          <w:sz w:val="22"/>
          <w:lang w:eastAsia="en-AU"/>
        </w:rPr>
        <w:t>any relevant conviction of the licence holder occurring after the commencement of this licence; and</w:t>
      </w:r>
    </w:p>
    <w:p w:rsidR="006516B6" w:rsidRPr="006516B6" w:rsidRDefault="006516B6" w:rsidP="006516B6">
      <w:pPr>
        <w:numPr>
          <w:ilvl w:val="0"/>
          <w:numId w:val="23"/>
        </w:numPr>
        <w:tabs>
          <w:tab w:val="num" w:pos="1134"/>
        </w:tabs>
        <w:spacing w:before="120" w:after="120"/>
        <w:ind w:left="1134" w:hanging="283"/>
        <w:rPr>
          <w:rFonts w:ascii="Calibri" w:eastAsiaTheme="minorEastAsia" w:hAnsi="Calibri"/>
          <w:sz w:val="22"/>
          <w:lang w:eastAsia="en-AU"/>
        </w:rPr>
      </w:pPr>
      <w:r w:rsidRPr="006516B6">
        <w:rPr>
          <w:rFonts w:ascii="Calibri" w:eastAsiaTheme="minorEastAsia" w:hAnsi="Calibri"/>
          <w:sz w:val="22"/>
          <w:lang w:eastAsia="en-AU"/>
        </w:rPr>
        <w:t>any revocation or suspension of a licence or permit held by the licence holder under a law of the Australian Government, a State or a foreign country, being a law relating to the health and safety of people or the environment; and</w:t>
      </w:r>
    </w:p>
    <w:p w:rsidR="006516B6" w:rsidRPr="006516B6" w:rsidRDefault="006516B6" w:rsidP="006516B6">
      <w:pPr>
        <w:numPr>
          <w:ilvl w:val="0"/>
          <w:numId w:val="23"/>
        </w:numPr>
        <w:tabs>
          <w:tab w:val="num" w:pos="1134"/>
        </w:tabs>
        <w:spacing w:before="120" w:after="120"/>
        <w:ind w:left="1134" w:hanging="283"/>
        <w:rPr>
          <w:rFonts w:ascii="Calibri" w:eastAsiaTheme="minorEastAsia" w:hAnsi="Calibri"/>
          <w:sz w:val="22"/>
          <w:lang w:eastAsia="en-AU"/>
        </w:rPr>
      </w:pPr>
      <w:r w:rsidRPr="006516B6">
        <w:rPr>
          <w:rFonts w:ascii="Calibri" w:eastAsiaTheme="minorEastAsia" w:hAnsi="Calibri"/>
          <w:sz w:val="22"/>
          <w:lang w:eastAsia="en-AU"/>
        </w:rPr>
        <w:t>any event or circumstances occurring after the commencement of this licence that would affect the capacity of the holder of this licence to meet the conditions in it; and</w:t>
      </w:r>
    </w:p>
    <w:p w:rsidR="006516B6" w:rsidRPr="006516B6" w:rsidRDefault="006516B6" w:rsidP="006516B6">
      <w:pPr>
        <w:numPr>
          <w:ilvl w:val="1"/>
          <w:numId w:val="6"/>
        </w:numPr>
        <w:tabs>
          <w:tab w:val="num" w:pos="851"/>
        </w:tabs>
        <w:spacing w:before="120" w:after="120"/>
        <w:ind w:left="851" w:hanging="567"/>
        <w:rPr>
          <w:rFonts w:ascii="Calibri" w:eastAsiaTheme="minorEastAsia" w:hAnsi="Calibri"/>
          <w:sz w:val="22"/>
          <w:lang w:eastAsia="en-AU"/>
        </w:rPr>
      </w:pPr>
      <w:bookmarkStart w:id="24" w:name="_Ref323914573"/>
      <w:r w:rsidRPr="006516B6">
        <w:rPr>
          <w:rFonts w:ascii="Calibri" w:eastAsiaTheme="minorEastAsia" w:hAnsi="Calibri"/>
          <w:sz w:val="22"/>
          <w:lang w:eastAsia="en-AU"/>
        </w:rPr>
        <w:t>provide any information related to the licence holder's ongoing suitability to hold a licence, if requested, within the stipulated timeframe.</w:t>
      </w:r>
      <w:bookmarkEnd w:id="24"/>
    </w:p>
    <w:p w:rsidR="006516B6" w:rsidRPr="006516B6" w:rsidRDefault="006516B6" w:rsidP="006516B6">
      <w:pPr>
        <w:numPr>
          <w:ilvl w:val="0"/>
          <w:numId w:val="21"/>
        </w:numPr>
        <w:tabs>
          <w:tab w:val="num" w:pos="709"/>
        </w:tabs>
        <w:spacing w:before="120" w:after="120"/>
        <w:rPr>
          <w:rFonts w:ascii="Calibri" w:eastAsiaTheme="minorEastAsia" w:hAnsi="Calibri"/>
          <w:i/>
          <w:sz w:val="22"/>
          <w:lang w:eastAsia="en-AU"/>
        </w:rPr>
      </w:pPr>
      <w:bookmarkStart w:id="25" w:name="_Ref321308948"/>
      <w:bookmarkStart w:id="26" w:name="_Ref323628593"/>
      <w:r w:rsidRPr="006516B6">
        <w:rPr>
          <w:rFonts w:ascii="Calibri" w:eastAsiaTheme="minorEastAsia" w:hAnsi="Calibri"/>
          <w:sz w:val="22"/>
          <w:lang w:eastAsia="en-AU"/>
        </w:rPr>
        <w:t>The licence holder must</w:t>
      </w:r>
      <w:r w:rsidRPr="006516B6">
        <w:rPr>
          <w:rFonts w:ascii="Calibri" w:eastAsiaTheme="minorEastAsia" w:hAnsi="Calibri"/>
          <w:bCs/>
          <w:iCs/>
          <w:sz w:val="22"/>
          <w:lang w:eastAsia="en-AU"/>
        </w:rPr>
        <w:t xml:space="preserve"> be able </w:t>
      </w:r>
      <w:r w:rsidRPr="006516B6">
        <w:rPr>
          <w:rFonts w:ascii="Calibri" w:eastAsiaTheme="minorEastAsia" w:hAnsi="Calibri"/>
          <w:sz w:val="22"/>
          <w:lang w:eastAsia="en-AU"/>
        </w:rPr>
        <w:t xml:space="preserve">to access </w:t>
      </w:r>
      <w:r w:rsidRPr="006516B6">
        <w:rPr>
          <w:rFonts w:ascii="Calibri" w:eastAsiaTheme="minorEastAsia" w:hAnsi="Calibri"/>
          <w:bCs/>
          <w:iCs/>
          <w:sz w:val="22"/>
          <w:lang w:eastAsia="en-AU"/>
        </w:rPr>
        <w:t>and control the Planting Area, Adjacent Area, Monitoring Zone, Isolation Zone and approved facilities (if any) to the extent necessary to comply with this licence, for the duration of the licence.</w:t>
      </w:r>
    </w:p>
    <w:p w:rsidR="006516B6" w:rsidRPr="006516B6" w:rsidRDefault="006516B6" w:rsidP="006516B6">
      <w:pPr>
        <w:tabs>
          <w:tab w:val="left" w:pos="540"/>
        </w:tabs>
        <w:spacing w:before="120" w:after="120"/>
        <w:rPr>
          <w:rFonts w:ascii="Calibri" w:eastAsiaTheme="minorEastAsia" w:hAnsi="Calibri"/>
          <w:sz w:val="22"/>
          <w:lang w:eastAsia="en-AU"/>
        </w:rPr>
      </w:pPr>
      <w:r w:rsidRPr="006516B6">
        <w:rPr>
          <w:rFonts w:ascii="Calibri" w:eastAsiaTheme="minorEastAsia" w:hAnsi="Calibri"/>
          <w:i/>
          <w:sz w:val="22"/>
          <w:lang w:eastAsia="en-AU"/>
        </w:rPr>
        <w:t>The following conditions seek to ensure that persons conducting the dealings are aware of the licence conditions and appropriate processes are in place to inform people of their obligations.</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27" w:name="_Ref323914655"/>
      <w:r w:rsidRPr="006516B6">
        <w:rPr>
          <w:rFonts w:ascii="Calibri" w:eastAsiaTheme="minorEastAsia" w:hAnsi="Calibri"/>
          <w:sz w:val="22"/>
          <w:lang w:eastAsia="en-AU"/>
        </w:rPr>
        <w:t>Prior to conducting any dealings with the GMOs, the licence holder</w:t>
      </w:r>
      <w:bookmarkEnd w:id="25"/>
      <w:r w:rsidRPr="006516B6">
        <w:rPr>
          <w:rFonts w:ascii="Calibri" w:eastAsiaTheme="minorEastAsia" w:hAnsi="Calibri"/>
          <w:sz w:val="22"/>
          <w:lang w:eastAsia="en-AU"/>
        </w:rPr>
        <w:t xml:space="preserve"> </w:t>
      </w:r>
      <w:bookmarkStart w:id="28" w:name="_Ref323645404"/>
      <w:r w:rsidRPr="006516B6">
        <w:rPr>
          <w:rFonts w:ascii="Calibri" w:eastAsiaTheme="minorEastAsia" w:hAnsi="Calibri"/>
          <w:sz w:val="22"/>
          <w:lang w:eastAsia="en-AU"/>
        </w:rPr>
        <w:t>must</w:t>
      </w:r>
      <w:bookmarkStart w:id="29" w:name="_Ref321308970"/>
      <w:bookmarkStart w:id="30" w:name="_Ref323651552"/>
      <w:bookmarkEnd w:id="26"/>
      <w:bookmarkEnd w:id="28"/>
      <w:r w:rsidRPr="006516B6">
        <w:rPr>
          <w:rFonts w:ascii="Calibri" w:eastAsiaTheme="minorEastAsia" w:hAnsi="Calibri"/>
          <w:sz w:val="22"/>
          <w:lang w:eastAsia="en-AU"/>
        </w:rPr>
        <w:t xml:space="preserve"> provide to the Regulator:</w:t>
      </w:r>
      <w:bookmarkEnd w:id="27"/>
      <w:bookmarkEnd w:id="29"/>
      <w:bookmarkEnd w:id="30"/>
    </w:p>
    <w:p w:rsidR="006516B6" w:rsidRPr="006516B6" w:rsidRDefault="006516B6" w:rsidP="006516B6">
      <w:pPr>
        <w:numPr>
          <w:ilvl w:val="0"/>
          <w:numId w:val="16"/>
        </w:numPr>
        <w:tabs>
          <w:tab w:val="num" w:pos="851"/>
        </w:tabs>
        <w:spacing w:before="120" w:after="120"/>
        <w:ind w:left="851" w:hanging="567"/>
        <w:rPr>
          <w:rFonts w:ascii="Calibri" w:eastAsiaTheme="minorEastAsia" w:hAnsi="Calibri"/>
          <w:sz w:val="22"/>
          <w:lang w:eastAsia="en-AU"/>
        </w:rPr>
      </w:pPr>
      <w:bookmarkStart w:id="31" w:name="_Ref323628632"/>
      <w:bookmarkStart w:id="32" w:name="_Ref321233561"/>
      <w:r w:rsidRPr="006516B6">
        <w:rPr>
          <w:rFonts w:ascii="Calibri" w:eastAsiaTheme="minorEastAsia" w:hAnsi="Calibri"/>
          <w:sz w:val="22"/>
          <w:lang w:eastAsia="en-AU"/>
        </w:rPr>
        <w:t>names of all organisations and persons or functions or positions of the persons who will be covered by the licence, with a description of their responsibilities; and</w:t>
      </w:r>
      <w:bookmarkEnd w:id="31"/>
      <w:bookmarkEnd w:id="32"/>
    </w:p>
    <w:p w:rsidR="006516B6" w:rsidRPr="006516B6" w:rsidRDefault="006516B6" w:rsidP="006516B6">
      <w:p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i/>
          <w:sz w:val="22"/>
          <w:lang w:eastAsia="en-AU"/>
        </w:rPr>
        <w:tab/>
        <w:t>Note: Examples of functions or positions are ‘project supervisor’, ‘site manager’, ‘farm labourer’ etc.</w:t>
      </w:r>
    </w:p>
    <w:p w:rsidR="006516B6" w:rsidRPr="006516B6" w:rsidRDefault="006516B6" w:rsidP="006516B6">
      <w:pPr>
        <w:numPr>
          <w:ilvl w:val="0"/>
          <w:numId w:val="16"/>
        </w:numPr>
        <w:tabs>
          <w:tab w:val="num" w:pos="851"/>
        </w:tabs>
        <w:spacing w:before="120" w:after="120"/>
        <w:ind w:left="851" w:hanging="567"/>
        <w:rPr>
          <w:rFonts w:ascii="Calibri" w:eastAsiaTheme="minorEastAsia" w:hAnsi="Calibri"/>
          <w:sz w:val="22"/>
          <w:lang w:eastAsia="en-AU"/>
        </w:rPr>
      </w:pPr>
      <w:bookmarkStart w:id="33" w:name="_Ref323628649"/>
      <w:r w:rsidRPr="006516B6">
        <w:rPr>
          <w:rFonts w:ascii="Calibri" w:eastAsiaTheme="minorEastAsia" w:hAnsi="Calibri"/>
          <w:sz w:val="22"/>
          <w:lang w:eastAsia="en-AU"/>
        </w:rPr>
        <w:t xml:space="preserve">detail of </w:t>
      </w:r>
      <w:bookmarkStart w:id="34" w:name="_Ref321233593"/>
      <w:r w:rsidRPr="006516B6">
        <w:rPr>
          <w:rFonts w:ascii="Calibri" w:eastAsiaTheme="minorEastAsia" w:hAnsi="Calibri"/>
          <w:sz w:val="22"/>
          <w:lang w:eastAsia="en-AU"/>
        </w:rPr>
        <w:t>how the persons covered by the licence will be informed of licence conditions; and</w:t>
      </w:r>
      <w:bookmarkEnd w:id="33"/>
      <w:bookmarkEnd w:id="34"/>
    </w:p>
    <w:p w:rsidR="006516B6" w:rsidRPr="006516B6" w:rsidRDefault="006516B6" w:rsidP="006516B6">
      <w:pPr>
        <w:numPr>
          <w:ilvl w:val="0"/>
          <w:numId w:val="16"/>
        </w:numPr>
        <w:tabs>
          <w:tab w:val="num" w:pos="851"/>
        </w:tabs>
        <w:spacing w:before="120" w:after="120"/>
        <w:ind w:left="851" w:hanging="567"/>
        <w:rPr>
          <w:rFonts w:ascii="Calibri" w:eastAsiaTheme="minorEastAsia" w:hAnsi="Calibri"/>
          <w:sz w:val="22"/>
          <w:lang w:eastAsia="en-AU"/>
        </w:rPr>
      </w:pPr>
      <w:bookmarkStart w:id="35" w:name="_Ref323628667"/>
      <w:r w:rsidRPr="006516B6">
        <w:rPr>
          <w:rFonts w:ascii="Calibri" w:eastAsiaTheme="minorEastAsia" w:hAnsi="Calibri"/>
          <w:sz w:val="22"/>
          <w:lang w:eastAsia="en-AU"/>
        </w:rPr>
        <w:t xml:space="preserve">detail of </w:t>
      </w:r>
      <w:bookmarkStart w:id="36" w:name="_Ref321233660"/>
      <w:r w:rsidRPr="006516B6">
        <w:rPr>
          <w:rFonts w:ascii="Calibri" w:eastAsiaTheme="minorEastAsia" w:hAnsi="Calibri"/>
          <w:sz w:val="22"/>
          <w:lang w:eastAsia="en-AU"/>
        </w:rPr>
        <w:t>how the licence holder will access and control the Planting Area</w:t>
      </w:r>
      <w:r w:rsidRPr="006516B6">
        <w:rPr>
          <w:rFonts w:ascii="Calibri" w:eastAsiaTheme="minorEastAsia" w:hAnsi="Calibri"/>
          <w:bCs/>
          <w:iCs/>
          <w:sz w:val="22"/>
          <w:lang w:eastAsia="en-AU"/>
        </w:rPr>
        <w:t xml:space="preserve">, Adjacent Area, Monitoring Zone, Isolation Zone and </w:t>
      </w:r>
      <w:r w:rsidRPr="006516B6">
        <w:rPr>
          <w:rFonts w:ascii="Calibri" w:eastAsiaTheme="minorEastAsia" w:hAnsi="Calibri"/>
          <w:sz w:val="22"/>
          <w:lang w:eastAsia="en-AU"/>
        </w:rPr>
        <w:t>approved facilities (if any) for the duration of the licence; and</w:t>
      </w:r>
      <w:bookmarkEnd w:id="35"/>
      <w:bookmarkEnd w:id="36"/>
    </w:p>
    <w:p w:rsidR="006516B6" w:rsidRPr="006516B6" w:rsidRDefault="006516B6" w:rsidP="006516B6">
      <w:pPr>
        <w:tabs>
          <w:tab w:val="left" w:pos="540"/>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i/>
          <w:sz w:val="22"/>
          <w:lang w:eastAsia="en-AU"/>
        </w:rPr>
        <w:tab/>
      </w:r>
      <w:r w:rsidRPr="006516B6">
        <w:rPr>
          <w:rFonts w:ascii="Calibri" w:eastAsiaTheme="minorEastAsia" w:hAnsi="Calibri"/>
          <w:i/>
          <w:sz w:val="22"/>
          <w:lang w:eastAsia="en-AU"/>
        </w:rPr>
        <w:tab/>
        <w:t>Note: this may include a description of any contracts, agreements, or other enforceable arrangements.</w:t>
      </w:r>
    </w:p>
    <w:p w:rsidR="006516B6" w:rsidRPr="006516B6" w:rsidRDefault="006516B6" w:rsidP="006516B6">
      <w:pPr>
        <w:numPr>
          <w:ilvl w:val="0"/>
          <w:numId w:val="16"/>
        </w:numPr>
        <w:tabs>
          <w:tab w:val="num" w:pos="851"/>
        </w:tabs>
        <w:spacing w:before="120" w:after="120"/>
        <w:ind w:left="851" w:hanging="567"/>
        <w:rPr>
          <w:rFonts w:ascii="Calibri" w:eastAsiaTheme="minorEastAsia" w:hAnsi="Calibri"/>
          <w:sz w:val="22"/>
          <w:lang w:eastAsia="en-AU"/>
        </w:rPr>
      </w:pPr>
      <w:bookmarkStart w:id="37" w:name="_Ref323914721"/>
      <w:r w:rsidRPr="006516B6">
        <w:rPr>
          <w:rFonts w:ascii="Calibri" w:eastAsiaTheme="minorEastAsia" w:hAnsi="Calibri"/>
          <w:sz w:val="22"/>
          <w:lang w:eastAsia="en-AU"/>
        </w:rPr>
        <w:t>written methodology to reliably detect the GMOs or the presence of the genetic modifications in a recipient organism, and to distinguish between categories of GMOs approved for release; and</w:t>
      </w:r>
      <w:bookmarkEnd w:id="37"/>
    </w:p>
    <w:p w:rsidR="006516B6" w:rsidRPr="006516B6" w:rsidRDefault="006516B6" w:rsidP="006516B6">
      <w:pPr>
        <w:numPr>
          <w:ilvl w:val="0"/>
          <w:numId w:val="16"/>
        </w:numPr>
        <w:tabs>
          <w:tab w:val="num" w:pos="851"/>
        </w:tabs>
        <w:spacing w:before="120" w:after="120"/>
        <w:ind w:left="851" w:hanging="567"/>
        <w:rPr>
          <w:rFonts w:ascii="Calibri" w:eastAsiaTheme="minorEastAsia" w:hAnsi="Calibri"/>
          <w:sz w:val="22"/>
          <w:lang w:eastAsia="en-AU"/>
        </w:rPr>
      </w:pPr>
      <w:bookmarkStart w:id="38" w:name="_Ref323914742"/>
      <w:r w:rsidRPr="006516B6">
        <w:rPr>
          <w:rFonts w:ascii="Calibri" w:eastAsiaTheme="minorEastAsia" w:hAnsi="Calibri"/>
          <w:sz w:val="22"/>
          <w:lang w:eastAsia="en-AU"/>
        </w:rPr>
        <w:t>a Contingency Plan to respond to inadvertent presence of the GMOs outside an area that must be inspected.</w:t>
      </w:r>
      <w:bookmarkEnd w:id="38"/>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39" w:name="_Ref323914768"/>
      <w:r w:rsidRPr="006516B6">
        <w:rPr>
          <w:rFonts w:ascii="Calibri" w:eastAsiaTheme="minorEastAsia" w:hAnsi="Calibri"/>
          <w:sz w:val="22"/>
          <w:lang w:eastAsia="en-AU"/>
        </w:rPr>
        <w:t>Any changes to the information provided under the immediately preceding condition must be communicated in writing to the Regulator within 14 days of the changes occurring.</w:t>
      </w:r>
      <w:bookmarkEnd w:id="39"/>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licence holder must inform any person covered by this licence, to whom a particular condition of the licence applies, of the following:</w:t>
      </w:r>
    </w:p>
    <w:p w:rsidR="006516B6" w:rsidRPr="006516B6" w:rsidRDefault="006516B6" w:rsidP="006516B6">
      <w:pPr>
        <w:numPr>
          <w:ilvl w:val="0"/>
          <w:numId w:val="14"/>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the particular condition (including any variations of it); and</w:t>
      </w:r>
    </w:p>
    <w:p w:rsidR="006516B6" w:rsidRPr="006516B6" w:rsidRDefault="006516B6" w:rsidP="006516B6">
      <w:pPr>
        <w:numPr>
          <w:ilvl w:val="0"/>
          <w:numId w:val="14"/>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lastRenderedPageBreak/>
        <w:t>the cancellation or suspension of the licence; and</w:t>
      </w:r>
    </w:p>
    <w:p w:rsidR="006516B6" w:rsidRPr="006516B6" w:rsidRDefault="006516B6" w:rsidP="006516B6">
      <w:pPr>
        <w:numPr>
          <w:ilvl w:val="0"/>
          <w:numId w:val="14"/>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the surrender of the licence</w:t>
      </w:r>
      <w:bookmarkStart w:id="40" w:name="_Ref320885412"/>
      <w:r w:rsidRPr="006516B6">
        <w:rPr>
          <w:rFonts w:ascii="Calibri" w:eastAsiaTheme="minorEastAsia" w:hAnsi="Calibri"/>
          <w:sz w:val="22"/>
          <w:lang w:eastAsia="en-AU"/>
        </w:rPr>
        <w:t>.</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41" w:name="_Ref438641248"/>
      <w:r w:rsidRPr="006516B6">
        <w:rPr>
          <w:rFonts w:ascii="Calibri" w:eastAsiaTheme="minorEastAsia" w:hAnsi="Calibri"/>
          <w:sz w:val="22"/>
          <w:lang w:eastAsia="en-AU"/>
        </w:rPr>
        <w:t>The licence holder must not permit a person covered by this licence to conduct any dealing with the GMOs unless:</w:t>
      </w:r>
      <w:bookmarkEnd w:id="41"/>
    </w:p>
    <w:p w:rsidR="006516B6" w:rsidRPr="006516B6" w:rsidRDefault="006516B6" w:rsidP="006516B6">
      <w:pPr>
        <w:numPr>
          <w:ilvl w:val="0"/>
          <w:numId w:val="17"/>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the person has been informed of any applicable licence conditions, including any variation of them; and</w:t>
      </w:r>
    </w:p>
    <w:p w:rsidR="006516B6" w:rsidRPr="006516B6" w:rsidRDefault="006516B6" w:rsidP="006516B6">
      <w:pPr>
        <w:numPr>
          <w:ilvl w:val="0"/>
          <w:numId w:val="17"/>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the licence holder has obtained from the person a signed and dated statement that the person:</w:t>
      </w:r>
    </w:p>
    <w:p w:rsidR="006516B6" w:rsidRPr="006516B6" w:rsidRDefault="006516B6" w:rsidP="006516B6">
      <w:pPr>
        <w:numPr>
          <w:ilvl w:val="1"/>
          <w:numId w:val="5"/>
        </w:numPr>
        <w:spacing w:before="120" w:after="120"/>
        <w:ind w:left="1276" w:hanging="425"/>
        <w:rPr>
          <w:rFonts w:ascii="Calibri" w:eastAsiaTheme="minorEastAsia" w:hAnsi="Calibri"/>
          <w:sz w:val="22"/>
          <w:lang w:eastAsia="en-AU"/>
        </w:rPr>
      </w:pPr>
      <w:r w:rsidRPr="006516B6">
        <w:rPr>
          <w:rFonts w:ascii="Calibri" w:eastAsiaTheme="minorEastAsia" w:hAnsi="Calibri"/>
          <w:sz w:val="22"/>
          <w:lang w:eastAsia="en-AU"/>
        </w:rPr>
        <w:t>has been informed by the licence holder of the licence conditions including any variation of them; and</w:t>
      </w:r>
    </w:p>
    <w:p w:rsidR="006516B6" w:rsidRPr="006516B6" w:rsidRDefault="006516B6" w:rsidP="006516B6">
      <w:pPr>
        <w:numPr>
          <w:ilvl w:val="1"/>
          <w:numId w:val="5"/>
        </w:numPr>
        <w:spacing w:before="120" w:after="120"/>
        <w:ind w:left="1276" w:hanging="425"/>
        <w:rPr>
          <w:rFonts w:ascii="Calibri" w:eastAsiaTheme="minorEastAsia" w:hAnsi="Calibri"/>
          <w:sz w:val="22"/>
          <w:lang w:eastAsia="en-AU"/>
        </w:rPr>
      </w:pPr>
      <w:r w:rsidRPr="006516B6">
        <w:rPr>
          <w:rFonts w:ascii="Calibri" w:eastAsiaTheme="minorEastAsia" w:hAnsi="Calibri"/>
          <w:sz w:val="22"/>
          <w:lang w:eastAsia="en-AU"/>
        </w:rPr>
        <w:t>has understood and agreed to be bound by the licence conditions, or variation.</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42" w:name="_Ref323915118"/>
      <w:r w:rsidRPr="006516B6">
        <w:rPr>
          <w:rFonts w:ascii="Calibri" w:eastAsiaTheme="minorEastAsia" w:hAnsi="Calibri"/>
          <w:sz w:val="22"/>
          <w:lang w:eastAsia="en-AU"/>
        </w:rPr>
        <w:t>The licence holder must:</w:t>
      </w:r>
      <w:bookmarkEnd w:id="42"/>
    </w:p>
    <w:p w:rsidR="006516B6" w:rsidRPr="006516B6" w:rsidRDefault="006516B6" w:rsidP="006516B6">
      <w:pPr>
        <w:numPr>
          <w:ilvl w:val="0"/>
          <w:numId w:val="15"/>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inform the persons covered by this licence that any Personal Information relevant to the administration and/or enforcement of the licence may be released to the Regulator</w:t>
      </w:r>
      <w:bookmarkEnd w:id="40"/>
      <w:r w:rsidRPr="006516B6">
        <w:rPr>
          <w:rFonts w:ascii="Calibri" w:eastAsiaTheme="minorEastAsia" w:hAnsi="Calibri"/>
          <w:sz w:val="22"/>
          <w:lang w:eastAsia="en-AU"/>
        </w:rPr>
        <w:t>; and</w:t>
      </w:r>
    </w:p>
    <w:p w:rsidR="006516B6" w:rsidRPr="006516B6" w:rsidRDefault="006516B6" w:rsidP="006516B6">
      <w:pPr>
        <w:numPr>
          <w:ilvl w:val="0"/>
          <w:numId w:val="15"/>
        </w:numPr>
        <w:tabs>
          <w:tab w:val="num" w:pos="851"/>
        </w:tabs>
        <w:spacing w:before="120" w:after="120"/>
        <w:ind w:left="851" w:hanging="567"/>
        <w:rPr>
          <w:rFonts w:ascii="Calibri" w:eastAsiaTheme="minorEastAsia" w:hAnsi="Calibri"/>
          <w:sz w:val="22"/>
          <w:lang w:eastAsia="en-AU"/>
        </w:rPr>
      </w:pPr>
      <w:bookmarkStart w:id="43" w:name="_Ref323915135"/>
      <w:r w:rsidRPr="006516B6">
        <w:rPr>
          <w:rFonts w:ascii="Calibri" w:eastAsiaTheme="minorEastAsia" w:hAnsi="Calibri"/>
          <w:sz w:val="22"/>
          <w:lang w:eastAsia="en-AU"/>
        </w:rPr>
        <w:t>provide the Regulator, if requested, with copies of the signed and dated statements referred to in the immediately preceding condition.</w:t>
      </w:r>
      <w:bookmarkEnd w:id="43"/>
    </w:p>
    <w:p w:rsidR="006516B6" w:rsidRPr="006516B6" w:rsidRDefault="006516B6" w:rsidP="006516B6">
      <w:pPr>
        <w:keepNext/>
        <w:spacing w:before="240" w:after="60"/>
        <w:outlineLvl w:val="2"/>
        <w:rPr>
          <w:rFonts w:ascii="Calibri" w:eastAsiaTheme="majorEastAsia" w:hAnsi="Calibri" w:cs="Arial"/>
          <w:b/>
          <w:bCs/>
          <w:i/>
          <w:sz w:val="22"/>
          <w:szCs w:val="26"/>
        </w:rPr>
      </w:pPr>
      <w:bookmarkStart w:id="44" w:name="_Toc411421891"/>
      <w:bookmarkStart w:id="45" w:name="_Toc412626202"/>
      <w:bookmarkStart w:id="46" w:name="_Toc498090911"/>
      <w:r w:rsidRPr="006516B6">
        <w:rPr>
          <w:rFonts w:ascii="Calibri" w:eastAsiaTheme="majorEastAsia" w:hAnsi="Calibri" w:cs="Arial"/>
          <w:b/>
          <w:bCs/>
          <w:i/>
          <w:sz w:val="22"/>
          <w:szCs w:val="26"/>
        </w:rPr>
        <w:t>Provision of new information to the Regulator</w:t>
      </w:r>
      <w:bookmarkEnd w:id="44"/>
      <w:bookmarkEnd w:id="45"/>
      <w:bookmarkEnd w:id="46"/>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i/>
          <w:sz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47" w:name="_Ref323636545"/>
      <w:r w:rsidRPr="006516B6">
        <w:rPr>
          <w:rFonts w:ascii="Calibri" w:eastAsiaTheme="minorEastAsia" w:hAnsi="Calibri"/>
          <w:sz w:val="22"/>
          <w:lang w:eastAsia="en-AU"/>
        </w:rPr>
        <w:t>The licence holder must inform the Regulator if the licence holder becomes aware of:</w:t>
      </w:r>
      <w:bookmarkEnd w:id="47"/>
    </w:p>
    <w:p w:rsidR="006516B6" w:rsidRPr="006516B6" w:rsidRDefault="006516B6" w:rsidP="006516B6">
      <w:pPr>
        <w:numPr>
          <w:ilvl w:val="0"/>
          <w:numId w:val="7"/>
        </w:numPr>
        <w:tabs>
          <w:tab w:val="clear" w:pos="1440"/>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additional information as to any risks to the health and safety of people, or to the environment, associated with the dealings authorised by the licence; or</w:t>
      </w:r>
    </w:p>
    <w:p w:rsidR="006516B6" w:rsidRPr="006516B6" w:rsidRDefault="006516B6" w:rsidP="006516B6">
      <w:pPr>
        <w:numPr>
          <w:ilvl w:val="0"/>
          <w:numId w:val="7"/>
        </w:numPr>
        <w:tabs>
          <w:tab w:val="clear" w:pos="1440"/>
          <w:tab w:val="num" w:pos="851"/>
        </w:tabs>
        <w:spacing w:before="120" w:after="120"/>
        <w:ind w:left="851" w:hanging="567"/>
        <w:rPr>
          <w:rFonts w:ascii="Calibri" w:eastAsiaTheme="minorEastAsia" w:hAnsi="Calibri"/>
          <w:sz w:val="22"/>
          <w:lang w:eastAsia="en-AU"/>
        </w:rPr>
      </w:pPr>
      <w:bookmarkStart w:id="48" w:name="_Ref359938111"/>
      <w:r w:rsidRPr="006516B6">
        <w:rPr>
          <w:rFonts w:ascii="Calibri" w:eastAsiaTheme="minorEastAsia" w:hAnsi="Calibri"/>
          <w:sz w:val="22"/>
          <w:lang w:eastAsia="en-AU"/>
        </w:rPr>
        <w:t>any contraventions of the licence by a person covered by the licence; or</w:t>
      </w:r>
      <w:bookmarkEnd w:id="48"/>
    </w:p>
    <w:p w:rsidR="006516B6" w:rsidRPr="006516B6" w:rsidRDefault="006516B6" w:rsidP="006516B6">
      <w:pPr>
        <w:numPr>
          <w:ilvl w:val="0"/>
          <w:numId w:val="7"/>
        </w:numPr>
        <w:tabs>
          <w:tab w:val="clear" w:pos="1440"/>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any unintended effects of the dealings authorised by the licence.</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Note: The Act requires, for the purposes of the above condition, that:</w:t>
      </w:r>
    </w:p>
    <w:p w:rsidR="006516B6" w:rsidRPr="006516B6" w:rsidRDefault="006516B6" w:rsidP="006516B6">
      <w:pPr>
        <w:numPr>
          <w:ilvl w:val="0"/>
          <w:numId w:val="13"/>
        </w:numPr>
        <w:spacing w:before="120" w:after="120"/>
        <w:ind w:left="851" w:hanging="567"/>
        <w:rPr>
          <w:rFonts w:ascii="Calibri" w:eastAsiaTheme="minorEastAsia" w:hAnsi="Calibri"/>
          <w:i/>
          <w:sz w:val="22"/>
          <w:lang w:eastAsia="en-AU"/>
        </w:rPr>
      </w:pPr>
      <w:r w:rsidRPr="006516B6">
        <w:rPr>
          <w:rFonts w:ascii="Calibri" w:eastAsiaTheme="minorEastAsia" w:hAnsi="Calibri"/>
          <w:i/>
          <w:sz w:val="22"/>
          <w:lang w:eastAsia="en-AU"/>
        </w:rPr>
        <w:t xml:space="preserve">the licence holder will be taken to have become aware of additional information of a kind mentioned in paragraph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_Ref323636545 \r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17</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(a) if he or she was reckless as to whether such information existed; and</w:t>
      </w:r>
    </w:p>
    <w:p w:rsidR="006516B6" w:rsidRPr="006516B6" w:rsidRDefault="006516B6" w:rsidP="006516B6">
      <w:pPr>
        <w:numPr>
          <w:ilvl w:val="0"/>
          <w:numId w:val="13"/>
        </w:numPr>
        <w:spacing w:before="120" w:after="120"/>
        <w:ind w:left="851" w:hanging="567"/>
        <w:rPr>
          <w:rFonts w:ascii="Calibri" w:eastAsiaTheme="minorEastAsia" w:hAnsi="Calibri"/>
          <w:i/>
          <w:sz w:val="22"/>
          <w:lang w:eastAsia="en-AU"/>
        </w:rPr>
      </w:pPr>
      <w:r w:rsidRPr="006516B6">
        <w:rPr>
          <w:rFonts w:ascii="Calibri" w:eastAsiaTheme="minorEastAsia" w:hAnsi="Calibri"/>
          <w:i/>
          <w:sz w:val="22"/>
          <w:lang w:eastAsia="en-AU"/>
        </w:rPr>
        <w:t xml:space="preserve">the licence holder will be taken to have become aware of contraventions, or unintended effects, of a kind mentioned in paragraph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_Ref323636545 \w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17</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_Ref359938111 \w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(b)</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 xml:space="preserve"> or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_Ref323636545 \w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17</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(c) if he or she was reckless as to whether such contraventions had occurred, or such unintended effects existed.</w:t>
      </w:r>
    </w:p>
    <w:p w:rsidR="006516B6" w:rsidRPr="006516B6" w:rsidRDefault="006516B6" w:rsidP="006516B6">
      <w:pPr>
        <w:spacing w:before="120" w:after="120"/>
        <w:rPr>
          <w:rFonts w:ascii="Calibri" w:eastAsiaTheme="minorEastAsia" w:hAnsi="Calibri"/>
          <w:i/>
          <w:sz w:val="22"/>
          <w:lang w:eastAsia="en-AU"/>
        </w:rPr>
      </w:pPr>
      <w:bookmarkStart w:id="49" w:name="_Ref324517796"/>
      <w:r w:rsidRPr="006516B6">
        <w:rPr>
          <w:rFonts w:ascii="Calibri" w:eastAsiaTheme="minorEastAsia" w:hAnsi="Calibri"/>
          <w:i/>
          <w:iCs/>
          <w:sz w:val="22"/>
          <w:lang w:eastAsia="en-AU"/>
        </w:rPr>
        <w:t>Note: Contraventions of the licence may occur through the action or inaction of a person. For example if it is a condition of the licence that Volunteers are destroyed prior to Flowering and a Volunteer flowers, then the person responsible for controlling Volunteers will have contravened that licence condition.</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If the licence holder is required to inform the Regulator under the immediately preceding condition, the Regulator must be informed without delay.</w:t>
      </w:r>
    </w:p>
    <w:p w:rsidR="006516B6" w:rsidRPr="006516B6" w:rsidRDefault="006516B6" w:rsidP="006516B6">
      <w:pPr>
        <w:tabs>
          <w:tab w:val="left" w:pos="362"/>
        </w:tabs>
        <w:spacing w:before="120" w:after="120"/>
        <w:rPr>
          <w:rFonts w:ascii="Calibri" w:eastAsiaTheme="minorEastAsia" w:hAnsi="Calibri"/>
          <w:i/>
          <w:iCs/>
          <w:sz w:val="22"/>
          <w:lang w:eastAsia="en-AU"/>
        </w:rPr>
      </w:pPr>
      <w:r w:rsidRPr="006516B6">
        <w:rPr>
          <w:rFonts w:ascii="Calibri" w:eastAsiaTheme="minorEastAsia" w:hAnsi="Calibri"/>
          <w:i/>
          <w:iCs/>
          <w:sz w:val="22"/>
          <w:lang w:eastAsia="en-AU"/>
        </w:rPr>
        <w:t>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lastRenderedPageBreak/>
        <w:t>If the licence holder informs the Regulator under the immediately preceding condition and the Regulator requests further information, such information must be provided in a manner, and within the time period, stipulated by the Regulator.</w:t>
      </w:r>
      <w:bookmarkEnd w:id="49"/>
    </w:p>
    <w:p w:rsidR="006516B6" w:rsidRPr="006516B6" w:rsidRDefault="006516B6" w:rsidP="006516B6">
      <w:pPr>
        <w:keepNext/>
        <w:spacing w:before="240" w:after="60"/>
        <w:outlineLvl w:val="2"/>
        <w:rPr>
          <w:rFonts w:ascii="Calibri" w:eastAsiaTheme="majorEastAsia" w:hAnsi="Calibri" w:cs="Arial"/>
          <w:b/>
          <w:bCs/>
          <w:i/>
          <w:sz w:val="22"/>
          <w:szCs w:val="26"/>
        </w:rPr>
      </w:pPr>
      <w:bookmarkStart w:id="50" w:name="_Toc411421892"/>
      <w:bookmarkStart w:id="51" w:name="_Toc412626203"/>
      <w:bookmarkStart w:id="52" w:name="_Toc498090912"/>
      <w:r w:rsidRPr="006516B6">
        <w:rPr>
          <w:rFonts w:ascii="Calibri" w:eastAsiaTheme="majorEastAsia" w:hAnsi="Calibri" w:cs="Arial"/>
          <w:b/>
          <w:bCs/>
          <w:i/>
          <w:sz w:val="22"/>
          <w:szCs w:val="26"/>
        </w:rPr>
        <w:t>Obligations of persons covered by the licence</w:t>
      </w:r>
      <w:bookmarkEnd w:id="50"/>
      <w:bookmarkEnd w:id="51"/>
      <w:bookmarkEnd w:id="52"/>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Persons covered by this licence must not deal with the GMOs except as expressly permitted by this licence.</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6516B6" w:rsidRPr="006516B6" w:rsidRDefault="006516B6" w:rsidP="006516B6">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53" w:name="_Toc324322082"/>
      <w:bookmarkStart w:id="54" w:name="_Toc351560945"/>
      <w:bookmarkStart w:id="55" w:name="_Toc352933852"/>
      <w:bookmarkStart w:id="56" w:name="_Toc359232707"/>
      <w:bookmarkStart w:id="57" w:name="_Toc416348201"/>
      <w:bookmarkStart w:id="58" w:name="_Toc498090913"/>
      <w:r w:rsidRPr="006516B6">
        <w:rPr>
          <w:rFonts w:ascii="Calibri" w:eastAsiaTheme="minorEastAsia" w:hAnsi="Calibri" w:cs="Arial"/>
          <w:b/>
          <w:sz w:val="28"/>
          <w:szCs w:val="28"/>
          <w:lang w:eastAsia="en-AU"/>
        </w:rPr>
        <w:t>Limits and control measures</w:t>
      </w:r>
      <w:bookmarkEnd w:id="53"/>
      <w:bookmarkEnd w:id="54"/>
      <w:bookmarkEnd w:id="55"/>
      <w:bookmarkEnd w:id="56"/>
      <w:bookmarkEnd w:id="57"/>
      <w:bookmarkEnd w:id="58"/>
    </w:p>
    <w:p w:rsidR="006516B6" w:rsidRPr="006516B6" w:rsidRDefault="006516B6" w:rsidP="006516B6">
      <w:pPr>
        <w:keepNext/>
        <w:spacing w:before="240" w:after="60"/>
        <w:outlineLvl w:val="2"/>
        <w:rPr>
          <w:rFonts w:ascii="Calibri" w:eastAsiaTheme="majorEastAsia" w:hAnsi="Calibri" w:cs="Arial"/>
          <w:b/>
          <w:bCs/>
          <w:i/>
          <w:sz w:val="22"/>
          <w:szCs w:val="26"/>
        </w:rPr>
      </w:pPr>
      <w:bookmarkStart w:id="59" w:name="_Toc411421894"/>
      <w:bookmarkStart w:id="60" w:name="_Toc412626205"/>
      <w:bookmarkStart w:id="61" w:name="_Toc498090914"/>
      <w:r w:rsidRPr="006516B6">
        <w:rPr>
          <w:rFonts w:ascii="Calibri" w:eastAsiaTheme="majorEastAsia" w:hAnsi="Calibri" w:cs="Arial"/>
          <w:b/>
          <w:bCs/>
          <w:i/>
          <w:sz w:val="22"/>
          <w:szCs w:val="26"/>
        </w:rPr>
        <w:t>Limits on the release</w:t>
      </w:r>
      <w:bookmarkEnd w:id="59"/>
      <w:bookmarkEnd w:id="60"/>
      <w:bookmarkEnd w:id="61"/>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The following licence conditions maintain the risk assessment context within which the application was assessed, by imposing limits on where and when the GMOs may be grown, and on other activities that can be undertaken.</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only plants that may be intentionally grown at a Planting Area are:</w:t>
      </w:r>
    </w:p>
    <w:p w:rsidR="006516B6" w:rsidRPr="006516B6" w:rsidRDefault="006516B6" w:rsidP="006516B6">
      <w:pPr>
        <w:numPr>
          <w:ilvl w:val="0"/>
          <w:numId w:val="9"/>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the GMOs covered by this licence as described in Attachment A of the licence;</w:t>
      </w:r>
    </w:p>
    <w:p w:rsidR="006516B6" w:rsidRPr="006516B6" w:rsidRDefault="006516B6" w:rsidP="006516B6">
      <w:pPr>
        <w:numPr>
          <w:ilvl w:val="0"/>
          <w:numId w:val="9"/>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non-GM Perennial Ryegrass plants; and</w:t>
      </w:r>
    </w:p>
    <w:p w:rsidR="006516B6" w:rsidRPr="006516B6" w:rsidRDefault="006516B6" w:rsidP="006516B6">
      <w:pPr>
        <w:numPr>
          <w:ilvl w:val="0"/>
          <w:numId w:val="9"/>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plants approved in writing by the Regulator.</w:t>
      </w:r>
    </w:p>
    <w:p w:rsidR="006516B6" w:rsidRPr="006516B6" w:rsidRDefault="006516B6" w:rsidP="006516B6">
      <w:pPr>
        <w:keepNext/>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Planting and growing of the GMOs may only occur within the following limits:</w:t>
      </w:r>
    </w:p>
    <w:tbl>
      <w:tblPr>
        <w:tblStyle w:val="TableGrid1"/>
        <w:tblW w:w="9292" w:type="dxa"/>
        <w:tblInd w:w="108" w:type="dxa"/>
        <w:tblLook w:val="01E0" w:firstRow="1" w:lastRow="1" w:firstColumn="1" w:lastColumn="1" w:noHBand="0" w:noVBand="0"/>
        <w:tblDescription w:val="This table specifies limits on duration, area and location for the proposed field trial. The table has four columns, one each for Period, Maximum number of Planting Areas, Maximum combined size of Planting Areas, and Local Government Areas in which Planting Areas may be located."/>
      </w:tblPr>
      <w:tblGrid>
        <w:gridCol w:w="2410"/>
        <w:gridCol w:w="1985"/>
        <w:gridCol w:w="2126"/>
        <w:gridCol w:w="2771"/>
      </w:tblGrid>
      <w:tr w:rsidR="006516B6" w:rsidRPr="006516B6" w:rsidTr="001B3706">
        <w:trPr>
          <w:trHeight w:val="680"/>
          <w:tblHeader/>
        </w:trPr>
        <w:tc>
          <w:tcPr>
            <w:tcW w:w="2410" w:type="dxa"/>
            <w:shd w:val="clear" w:color="auto" w:fill="D9D9D9" w:themeFill="background1" w:themeFillShade="D9"/>
          </w:tcPr>
          <w:p w:rsidR="006516B6" w:rsidRPr="006516B6" w:rsidRDefault="006516B6" w:rsidP="006516B6">
            <w:pPr>
              <w:tabs>
                <w:tab w:val="left" w:pos="540"/>
              </w:tabs>
              <w:spacing w:before="120" w:after="120"/>
              <w:jc w:val="center"/>
              <w:rPr>
                <w:rFonts w:asciiTheme="minorHAnsi" w:eastAsia="Times New Roman" w:hAnsiTheme="minorHAnsi"/>
                <w:b/>
                <w:szCs w:val="22"/>
              </w:rPr>
            </w:pPr>
            <w:r w:rsidRPr="006516B6">
              <w:rPr>
                <w:rFonts w:asciiTheme="minorHAnsi" w:eastAsia="Times New Roman" w:hAnsiTheme="minorHAnsi"/>
                <w:b/>
                <w:szCs w:val="22"/>
              </w:rPr>
              <w:t>Period</w:t>
            </w:r>
          </w:p>
        </w:tc>
        <w:tc>
          <w:tcPr>
            <w:tcW w:w="1985" w:type="dxa"/>
            <w:shd w:val="clear" w:color="auto" w:fill="D9D9D9" w:themeFill="background1" w:themeFillShade="D9"/>
          </w:tcPr>
          <w:p w:rsidR="006516B6" w:rsidRPr="006516B6" w:rsidRDefault="006516B6" w:rsidP="006516B6">
            <w:pPr>
              <w:tabs>
                <w:tab w:val="left" w:pos="540"/>
              </w:tabs>
              <w:spacing w:before="120" w:after="120"/>
              <w:jc w:val="center"/>
              <w:rPr>
                <w:rFonts w:asciiTheme="minorHAnsi" w:eastAsia="Times New Roman" w:hAnsiTheme="minorHAnsi"/>
                <w:b/>
                <w:szCs w:val="22"/>
              </w:rPr>
            </w:pPr>
            <w:r w:rsidRPr="006516B6">
              <w:rPr>
                <w:rFonts w:asciiTheme="minorHAnsi" w:eastAsia="Times New Roman" w:hAnsiTheme="minorHAnsi"/>
                <w:b/>
                <w:szCs w:val="22"/>
              </w:rPr>
              <w:t>Maximum number of Planting Areas per year</w:t>
            </w:r>
          </w:p>
        </w:tc>
        <w:tc>
          <w:tcPr>
            <w:tcW w:w="2126" w:type="dxa"/>
            <w:shd w:val="clear" w:color="auto" w:fill="D9D9D9" w:themeFill="background1" w:themeFillShade="D9"/>
          </w:tcPr>
          <w:p w:rsidR="006516B6" w:rsidRPr="006516B6" w:rsidRDefault="006516B6" w:rsidP="006516B6">
            <w:pPr>
              <w:tabs>
                <w:tab w:val="left" w:pos="540"/>
              </w:tabs>
              <w:spacing w:before="120" w:after="120"/>
              <w:jc w:val="center"/>
              <w:rPr>
                <w:rFonts w:asciiTheme="minorHAnsi" w:eastAsia="Times New Roman" w:hAnsiTheme="minorHAnsi"/>
                <w:szCs w:val="22"/>
              </w:rPr>
            </w:pPr>
            <w:r w:rsidRPr="006516B6">
              <w:rPr>
                <w:rFonts w:asciiTheme="minorHAnsi" w:eastAsia="Times New Roman" w:hAnsiTheme="minorHAnsi"/>
                <w:b/>
                <w:szCs w:val="22"/>
              </w:rPr>
              <w:t>Maximum size of Planting Area</w:t>
            </w:r>
          </w:p>
        </w:tc>
        <w:tc>
          <w:tcPr>
            <w:tcW w:w="2771" w:type="dxa"/>
            <w:shd w:val="clear" w:color="auto" w:fill="D9D9D9" w:themeFill="background1" w:themeFillShade="D9"/>
          </w:tcPr>
          <w:p w:rsidR="006516B6" w:rsidRPr="006516B6" w:rsidRDefault="006516B6" w:rsidP="006516B6">
            <w:pPr>
              <w:tabs>
                <w:tab w:val="left" w:pos="540"/>
              </w:tabs>
              <w:spacing w:before="120" w:after="120"/>
              <w:jc w:val="center"/>
              <w:rPr>
                <w:rFonts w:asciiTheme="minorHAnsi" w:eastAsia="Times New Roman" w:hAnsiTheme="minorHAnsi"/>
                <w:b/>
                <w:szCs w:val="22"/>
              </w:rPr>
            </w:pPr>
            <w:r w:rsidRPr="006516B6">
              <w:rPr>
                <w:rFonts w:asciiTheme="minorHAnsi" w:eastAsia="Times New Roman" w:hAnsiTheme="minorHAnsi"/>
                <w:b/>
                <w:szCs w:val="22"/>
              </w:rPr>
              <w:t>Local Government Area in which Planting Area may be located</w:t>
            </w:r>
          </w:p>
        </w:tc>
      </w:tr>
      <w:tr w:rsidR="006516B6" w:rsidRPr="006516B6" w:rsidTr="001B3706">
        <w:trPr>
          <w:trHeight w:val="397"/>
        </w:trPr>
        <w:tc>
          <w:tcPr>
            <w:tcW w:w="2410" w:type="dxa"/>
          </w:tcPr>
          <w:p w:rsidR="006516B6" w:rsidRPr="006516B6" w:rsidRDefault="006516B6" w:rsidP="006516B6">
            <w:pPr>
              <w:tabs>
                <w:tab w:val="left" w:pos="540"/>
              </w:tabs>
              <w:spacing w:before="120" w:after="120"/>
              <w:jc w:val="center"/>
              <w:rPr>
                <w:rFonts w:asciiTheme="minorHAnsi" w:eastAsia="Times New Roman" w:hAnsiTheme="minorHAnsi"/>
                <w:sz w:val="20"/>
                <w:szCs w:val="20"/>
              </w:rPr>
            </w:pPr>
            <w:r w:rsidRPr="006516B6">
              <w:rPr>
                <w:rFonts w:asciiTheme="minorHAnsi" w:eastAsia="Times New Roman" w:hAnsiTheme="minorHAnsi"/>
                <w:sz w:val="20"/>
                <w:szCs w:val="20"/>
              </w:rPr>
              <w:t>May 2018 – June 2020</w:t>
            </w:r>
          </w:p>
        </w:tc>
        <w:tc>
          <w:tcPr>
            <w:tcW w:w="1985" w:type="dxa"/>
          </w:tcPr>
          <w:p w:rsidR="006516B6" w:rsidRPr="006516B6" w:rsidRDefault="006516B6" w:rsidP="006516B6">
            <w:pPr>
              <w:tabs>
                <w:tab w:val="left" w:pos="540"/>
              </w:tabs>
              <w:spacing w:before="120" w:after="120"/>
              <w:jc w:val="center"/>
              <w:rPr>
                <w:rFonts w:asciiTheme="minorHAnsi" w:eastAsia="Times New Roman" w:hAnsiTheme="minorHAnsi"/>
                <w:sz w:val="20"/>
                <w:szCs w:val="20"/>
              </w:rPr>
            </w:pPr>
            <w:r w:rsidRPr="006516B6">
              <w:rPr>
                <w:rFonts w:asciiTheme="minorHAnsi" w:eastAsia="Times New Roman" w:hAnsiTheme="minorHAnsi"/>
                <w:sz w:val="20"/>
                <w:szCs w:val="20"/>
              </w:rPr>
              <w:t>1</w:t>
            </w:r>
          </w:p>
        </w:tc>
        <w:tc>
          <w:tcPr>
            <w:tcW w:w="2126" w:type="dxa"/>
          </w:tcPr>
          <w:p w:rsidR="006516B6" w:rsidRPr="006516B6" w:rsidRDefault="006516B6" w:rsidP="006516B6">
            <w:pPr>
              <w:tabs>
                <w:tab w:val="left" w:pos="540"/>
              </w:tabs>
              <w:spacing w:before="120" w:after="120"/>
              <w:jc w:val="center"/>
              <w:rPr>
                <w:rFonts w:asciiTheme="minorHAnsi" w:eastAsia="Times New Roman" w:hAnsiTheme="minorHAnsi"/>
                <w:sz w:val="20"/>
                <w:szCs w:val="20"/>
                <w:vertAlign w:val="superscript"/>
              </w:rPr>
            </w:pPr>
            <w:r w:rsidRPr="006516B6">
              <w:rPr>
                <w:rFonts w:asciiTheme="minorHAnsi" w:eastAsia="Times New Roman" w:hAnsiTheme="minorHAnsi"/>
                <w:sz w:val="20"/>
                <w:szCs w:val="20"/>
              </w:rPr>
              <w:t>160 m</w:t>
            </w:r>
            <w:r w:rsidRPr="006516B6">
              <w:rPr>
                <w:rFonts w:asciiTheme="minorHAnsi" w:eastAsia="Times New Roman" w:hAnsiTheme="minorHAnsi"/>
                <w:sz w:val="20"/>
                <w:szCs w:val="20"/>
                <w:vertAlign w:val="superscript"/>
              </w:rPr>
              <w:t>2</w:t>
            </w:r>
          </w:p>
        </w:tc>
        <w:tc>
          <w:tcPr>
            <w:tcW w:w="2771" w:type="dxa"/>
            <w:vAlign w:val="center"/>
          </w:tcPr>
          <w:p w:rsidR="006516B6" w:rsidRPr="006516B6" w:rsidRDefault="006516B6" w:rsidP="006516B6">
            <w:pPr>
              <w:tabs>
                <w:tab w:val="left" w:pos="540"/>
              </w:tabs>
              <w:spacing w:before="120" w:after="120"/>
              <w:jc w:val="center"/>
              <w:rPr>
                <w:rFonts w:asciiTheme="minorHAnsi" w:eastAsia="Times New Roman" w:hAnsiTheme="minorHAnsi"/>
                <w:sz w:val="20"/>
                <w:szCs w:val="20"/>
              </w:rPr>
            </w:pPr>
            <w:r w:rsidRPr="006516B6">
              <w:rPr>
                <w:rFonts w:asciiTheme="minorHAnsi" w:eastAsia="Times New Roman" w:hAnsiTheme="minorHAnsi"/>
                <w:sz w:val="20"/>
                <w:szCs w:val="20"/>
              </w:rPr>
              <w:t>Southern Grampians Shire</w:t>
            </w:r>
          </w:p>
        </w:tc>
      </w:tr>
    </w:tbl>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Plant Material must not be used, sold or otherwise disposed of for any purpose which would involve or result in its use as food for humans or feed for animals.</w:t>
      </w:r>
    </w:p>
    <w:p w:rsidR="006516B6" w:rsidRPr="006516B6" w:rsidRDefault="006516B6" w:rsidP="006516B6">
      <w:pPr>
        <w:keepNext/>
        <w:spacing w:before="240" w:after="60"/>
        <w:outlineLvl w:val="2"/>
        <w:rPr>
          <w:rFonts w:ascii="Calibri" w:eastAsiaTheme="majorEastAsia" w:hAnsi="Calibri" w:cs="Arial"/>
          <w:b/>
          <w:bCs/>
          <w:i/>
          <w:sz w:val="22"/>
          <w:szCs w:val="26"/>
        </w:rPr>
      </w:pPr>
      <w:bookmarkStart w:id="62" w:name="_Toc411421895"/>
      <w:bookmarkStart w:id="63" w:name="_Toc412626206"/>
      <w:bookmarkStart w:id="64" w:name="_Toc498090915"/>
      <w:r w:rsidRPr="006516B6">
        <w:rPr>
          <w:rFonts w:ascii="Calibri" w:eastAsiaTheme="majorEastAsia" w:hAnsi="Calibri" w:cs="Arial"/>
          <w:b/>
          <w:bCs/>
          <w:i/>
          <w:sz w:val="22"/>
          <w:szCs w:val="26"/>
        </w:rPr>
        <w:t>Containment measures</w:t>
      </w:r>
      <w:bookmarkEnd w:id="62"/>
      <w:bookmarkEnd w:id="63"/>
      <w:bookmarkEnd w:id="64"/>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The following licence conditions maintain the risk assessment context within which the application was assessed by restricting spread and persistence of the GMOs.</w:t>
      </w:r>
    </w:p>
    <w:p w:rsidR="006516B6" w:rsidRPr="006516B6" w:rsidRDefault="006516B6" w:rsidP="006516B6">
      <w:pPr>
        <w:keepNext/>
        <w:tabs>
          <w:tab w:val="left" w:pos="540"/>
        </w:tabs>
        <w:spacing w:before="120" w:after="120"/>
        <w:outlineLvl w:val="3"/>
        <w:rPr>
          <w:rFonts w:ascii="Calibri" w:eastAsiaTheme="minorEastAsia" w:hAnsi="Calibri"/>
          <w:b/>
          <w:sz w:val="22"/>
          <w:lang w:eastAsia="en-AU"/>
        </w:rPr>
      </w:pPr>
      <w:r w:rsidRPr="006516B6">
        <w:rPr>
          <w:rFonts w:ascii="Calibri" w:eastAsiaTheme="minorEastAsia" w:hAnsi="Calibri"/>
          <w:b/>
          <w:sz w:val="22"/>
          <w:lang w:eastAsia="en-AU"/>
        </w:rPr>
        <w:t>Pollen and seed dispersal during cultivation</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 xml:space="preserve">The outer edge of any Planting Area must be at least 100 m away from Waterways. </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65" w:name="_Ref438641643"/>
      <w:r w:rsidRPr="006516B6">
        <w:rPr>
          <w:rFonts w:ascii="Calibri" w:eastAsiaTheme="minorEastAsia" w:hAnsi="Calibri"/>
          <w:sz w:val="22"/>
        </w:rPr>
        <w:t>Any extreme weather event that is expected to affect or has already affected a Planting Area or associated areas, while the GMOs are growing or while the Planting Area is subject to inspection requirements, must be notified in writing to the Regulator as soon as practically and reasonably possible.</w:t>
      </w:r>
      <w:bookmarkEnd w:id="65"/>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Note: The Contingency Plan must be implemented if the GMOs are detected outside areas under inspection (Condition 48).</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 xml:space="preserve">Non-GM Perennial Ryegrass plants grown in a Planting Area must be handled as if they were the GMOs. </w:t>
      </w:r>
    </w:p>
    <w:p w:rsidR="006516B6" w:rsidRPr="006516B6" w:rsidRDefault="006516B6" w:rsidP="006516B6">
      <w:pPr>
        <w:numPr>
          <w:ilvl w:val="0"/>
          <w:numId w:val="21"/>
        </w:numPr>
        <w:tabs>
          <w:tab w:val="num" w:pos="709"/>
        </w:tabs>
        <w:spacing w:before="120" w:after="120"/>
        <w:rPr>
          <w:rFonts w:ascii="Calibri" w:eastAsiaTheme="minorEastAsia" w:hAnsi="Calibri"/>
          <w:sz w:val="22"/>
        </w:rPr>
      </w:pPr>
      <w:r w:rsidRPr="006516B6">
        <w:rPr>
          <w:rFonts w:ascii="Calibri" w:eastAsiaTheme="minorEastAsia" w:hAnsi="Calibri"/>
          <w:sz w:val="22"/>
        </w:rPr>
        <w:lastRenderedPageBreak/>
        <w:t>Rodents within the Planting Area and Adjacent Area must be controlled by trapping and/or baiting from planting the GMOs until at least 60 days after the GMOs are harvested or Destroyed.</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rPr>
        <w:t xml:space="preserve">The Planting Area must be enclosed within a Polyhouse Enclosure from planting the GMOs until at least 60 days after the GMOs are harvested or Destroyed. </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rPr>
        <w:t>Entry and exit to the Polyhouse Enclosure must be through an anteroom with an inner and an outer door.</w:t>
      </w:r>
    </w:p>
    <w:p w:rsidR="00F70030" w:rsidRDefault="006516B6" w:rsidP="00F70030">
      <w:pPr>
        <w:numPr>
          <w:ilvl w:val="0"/>
          <w:numId w:val="21"/>
        </w:numPr>
        <w:tabs>
          <w:tab w:val="num" w:pos="709"/>
        </w:tabs>
        <w:spacing w:before="120" w:after="120"/>
        <w:rPr>
          <w:rFonts w:ascii="Calibri" w:eastAsiaTheme="minorEastAsia" w:hAnsi="Calibri"/>
          <w:sz w:val="22"/>
        </w:rPr>
      </w:pPr>
      <w:r w:rsidRPr="006516B6">
        <w:rPr>
          <w:rFonts w:ascii="Calibri" w:eastAsiaTheme="minorEastAsia" w:hAnsi="Calibri"/>
          <w:sz w:val="22"/>
          <w:lang w:eastAsia="en-AU"/>
        </w:rPr>
        <w:t>People</w:t>
      </w:r>
      <w:r w:rsidRPr="006516B6">
        <w:rPr>
          <w:rFonts w:ascii="Calibri" w:eastAsiaTheme="minorEastAsia" w:hAnsi="Calibri"/>
          <w:sz w:val="22"/>
        </w:rPr>
        <w:t xml:space="preserve"> entering the Polyhouse Enclosure must wear dedicated outer clothing and footwear, and must remove this clothing and footwear in the anteroom when exiting the Polyhouse Enclosure. The used clothing and footwear must be Cleaned before use for any other purpose. </w:t>
      </w:r>
    </w:p>
    <w:p w:rsidR="00F70030" w:rsidRPr="00671957" w:rsidRDefault="00F70030" w:rsidP="00F70030">
      <w:pPr>
        <w:tabs>
          <w:tab w:val="num" w:pos="709"/>
        </w:tabs>
        <w:spacing w:before="120" w:after="120"/>
        <w:rPr>
          <w:rFonts w:ascii="Calibri" w:eastAsiaTheme="minorEastAsia" w:hAnsi="Calibri"/>
          <w:i/>
          <w:sz w:val="22"/>
          <w:lang w:eastAsia="en-AU"/>
        </w:rPr>
      </w:pPr>
      <w:r w:rsidRPr="00671957">
        <w:rPr>
          <w:rFonts w:ascii="Calibri" w:eastAsiaTheme="minorEastAsia" w:hAnsi="Calibri"/>
          <w:i/>
          <w:sz w:val="22"/>
          <w:lang w:eastAsia="en-AU"/>
        </w:rPr>
        <w:t xml:space="preserve">Note: </w:t>
      </w:r>
      <w:r>
        <w:rPr>
          <w:rFonts w:ascii="Calibri" w:eastAsiaTheme="minorEastAsia" w:hAnsi="Calibri"/>
          <w:i/>
          <w:sz w:val="22"/>
          <w:lang w:eastAsia="en-AU"/>
        </w:rPr>
        <w:t xml:space="preserve">Clothing and footwear may be transported </w:t>
      </w:r>
      <w:r w:rsidR="000208C7">
        <w:rPr>
          <w:rFonts w:ascii="Calibri" w:eastAsiaTheme="minorEastAsia" w:hAnsi="Calibri"/>
          <w:i/>
          <w:sz w:val="22"/>
          <w:lang w:eastAsia="en-AU"/>
        </w:rPr>
        <w:t>for Cleaning</w:t>
      </w:r>
      <w:r>
        <w:rPr>
          <w:rFonts w:ascii="Calibri" w:eastAsiaTheme="minorEastAsia" w:hAnsi="Calibri"/>
          <w:i/>
          <w:sz w:val="22"/>
          <w:lang w:eastAsia="en-AU"/>
        </w:rPr>
        <w:t xml:space="preserve"> in accordance with</w:t>
      </w:r>
      <w:r w:rsidRPr="00671957">
        <w:rPr>
          <w:rFonts w:ascii="Calibri" w:eastAsiaTheme="minorEastAsia" w:hAnsi="Calibri"/>
          <w:i/>
          <w:sz w:val="22"/>
          <w:lang w:eastAsia="en-AU"/>
        </w:rPr>
        <w:t xml:space="preserve"> </w:t>
      </w:r>
      <w:r>
        <w:rPr>
          <w:rFonts w:ascii="Calibri" w:eastAsiaTheme="minorEastAsia" w:hAnsi="Calibri"/>
          <w:i/>
          <w:sz w:val="22"/>
          <w:lang w:eastAsia="en-AU"/>
        </w:rPr>
        <w:t xml:space="preserve">the conditions of </w:t>
      </w:r>
      <w:r w:rsidRPr="00671957">
        <w:rPr>
          <w:rFonts w:ascii="Calibri" w:eastAsiaTheme="minorEastAsia" w:hAnsi="Calibri"/>
          <w:i/>
          <w:sz w:val="22"/>
          <w:lang w:eastAsia="en-AU"/>
        </w:rPr>
        <w:t>this licence.</w:t>
      </w:r>
    </w:p>
    <w:p w:rsidR="006516B6" w:rsidRPr="00A32308" w:rsidRDefault="006516B6" w:rsidP="006516B6">
      <w:pPr>
        <w:numPr>
          <w:ilvl w:val="0"/>
          <w:numId w:val="21"/>
        </w:numPr>
        <w:tabs>
          <w:tab w:val="num" w:pos="709"/>
        </w:tabs>
        <w:spacing w:before="120" w:after="120"/>
        <w:rPr>
          <w:rFonts w:ascii="Calibri" w:eastAsiaTheme="minorEastAsia" w:hAnsi="Calibri"/>
          <w:sz w:val="22"/>
          <w:lang w:eastAsia="en-AU"/>
        </w:rPr>
      </w:pPr>
      <w:r w:rsidRPr="00A32308">
        <w:rPr>
          <w:rFonts w:ascii="Calibri" w:eastAsiaTheme="minorEastAsia" w:hAnsi="Calibri"/>
          <w:sz w:val="22"/>
          <w:lang w:eastAsia="en-AU"/>
        </w:rPr>
        <w:t xml:space="preserve">Equipment used in connection with the GMOs must be Cleaned as soon as practicable and before use for any other purpose. </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66" w:name="_Ref438641527"/>
      <w:r w:rsidRPr="006516B6">
        <w:rPr>
          <w:rFonts w:ascii="Calibri" w:eastAsiaTheme="minorEastAsia" w:hAnsi="Calibri"/>
          <w:sz w:val="22"/>
          <w:lang w:eastAsia="en-AU"/>
        </w:rPr>
        <w:t>The Polyhouse Enclosure must be enclosed within a fence capable of excluding livestock and rabbits from planting the GMOs until at least 60 days after the GMOs are harvested or Destroyed.</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Adjacent Area must be maintained as Bare Fallow from planting the GMOs until the GMOs are harvested or Destroyed.</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Polyhouse Enclosure must be surrounded by a Monitoring Zone that is maintained as Bare Fallow from planting the GMOs until the GMOs are harvested or Destroyed.</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The Monitoring Zone must be surrounded by an Isolation Zone that is maintained in a manner that does not permit Flowering of Perennial Ryegrass or Related Species, from 14 days prior to the expected Flowering of any GMOs until all GMOs in the Planting Area have finished Flowering.</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Note: Examples of methods to prevent Flowering of Perennial Ryegrass or Related Species include mowing, heavy grazing, or application of herbicide effective in killing these grass species.</w:t>
      </w:r>
    </w:p>
    <w:p w:rsidR="006516B6" w:rsidRPr="006516B6" w:rsidRDefault="00F4381A" w:rsidP="006516B6">
      <w:pPr>
        <w:numPr>
          <w:ilvl w:val="0"/>
          <w:numId w:val="21"/>
        </w:numPr>
        <w:tabs>
          <w:tab w:val="num" w:pos="709"/>
        </w:tabs>
        <w:spacing w:before="120" w:after="120"/>
        <w:rPr>
          <w:rFonts w:ascii="Calibri" w:eastAsiaTheme="minorEastAsia" w:hAnsi="Calibri"/>
          <w:sz w:val="22"/>
          <w:lang w:eastAsia="en-AU"/>
        </w:rPr>
      </w:pPr>
      <w:r>
        <w:rPr>
          <w:rFonts w:ascii="Calibri" w:eastAsiaTheme="minorEastAsia" w:hAnsi="Calibri"/>
          <w:sz w:val="22"/>
          <w:lang w:eastAsia="en-AU"/>
        </w:rPr>
        <w:t>I</w:t>
      </w:r>
      <w:r w:rsidR="006516B6" w:rsidRPr="006516B6">
        <w:rPr>
          <w:rFonts w:ascii="Calibri" w:eastAsiaTheme="minorEastAsia" w:hAnsi="Calibri"/>
          <w:sz w:val="22"/>
          <w:lang w:eastAsia="en-AU"/>
        </w:rPr>
        <w:t>nspections must be conducted by people trained to recognise Perennial Ryegrass and Related Species, and actions taken as follows:</w:t>
      </w:r>
      <w:bookmarkEnd w:id="66"/>
    </w:p>
    <w:tbl>
      <w:tblPr>
        <w:tblStyle w:val="TableGrid"/>
        <w:tblW w:w="9180" w:type="dxa"/>
        <w:tblLayout w:type="fixed"/>
        <w:tblLook w:val="01E0" w:firstRow="1" w:lastRow="1" w:firstColumn="1" w:lastColumn="1" w:noHBand="0" w:noVBand="0"/>
        <w:tblDescription w:val="This table specifies the inspection requirements while the GMOs are growing in a Planting Area. The table has five columns, one each for Area, Period of inspection, Inspection frequency, Inspect for, and Action."/>
      </w:tblPr>
      <w:tblGrid>
        <w:gridCol w:w="1384"/>
        <w:gridCol w:w="2977"/>
        <w:gridCol w:w="1276"/>
        <w:gridCol w:w="1559"/>
        <w:gridCol w:w="1984"/>
      </w:tblGrid>
      <w:tr w:rsidR="006516B6" w:rsidRPr="006516B6" w:rsidTr="001B3706">
        <w:trPr>
          <w:cantSplit/>
          <w:trHeight w:val="803"/>
          <w:tblHeader/>
        </w:trPr>
        <w:tc>
          <w:tcPr>
            <w:tcW w:w="1384" w:type="dxa"/>
            <w:tcBorders>
              <w:bottom w:val="single" w:sz="4" w:space="0" w:color="auto"/>
            </w:tcBorders>
            <w:shd w:val="clear" w:color="auto" w:fill="D9D9D9"/>
          </w:tcPr>
          <w:p w:rsidR="006516B6" w:rsidRPr="006516B6" w:rsidRDefault="006516B6" w:rsidP="006516B6">
            <w:pPr>
              <w:keepNext/>
              <w:spacing w:before="60" w:after="60"/>
              <w:jc w:val="center"/>
              <w:rPr>
                <w:rFonts w:ascii="Arial Narrow" w:hAnsi="Arial Narrow"/>
                <w:b/>
                <w:sz w:val="20"/>
                <w:szCs w:val="20"/>
              </w:rPr>
            </w:pPr>
            <w:r w:rsidRPr="006516B6">
              <w:rPr>
                <w:rFonts w:ascii="Arial Narrow" w:hAnsi="Arial Narrow"/>
                <w:b/>
                <w:sz w:val="20"/>
                <w:szCs w:val="20"/>
              </w:rPr>
              <w:t>Area</w:t>
            </w:r>
          </w:p>
        </w:tc>
        <w:tc>
          <w:tcPr>
            <w:tcW w:w="2977" w:type="dxa"/>
            <w:tcBorders>
              <w:bottom w:val="single" w:sz="4" w:space="0" w:color="auto"/>
            </w:tcBorders>
            <w:shd w:val="clear" w:color="auto" w:fill="D9D9D9"/>
          </w:tcPr>
          <w:p w:rsidR="006516B6" w:rsidRPr="006516B6" w:rsidRDefault="006516B6" w:rsidP="006516B6">
            <w:pPr>
              <w:keepNext/>
              <w:spacing w:before="60" w:after="60"/>
              <w:jc w:val="center"/>
              <w:rPr>
                <w:rFonts w:ascii="Arial Narrow" w:hAnsi="Arial Narrow"/>
                <w:b/>
                <w:sz w:val="20"/>
                <w:szCs w:val="20"/>
              </w:rPr>
            </w:pPr>
            <w:r w:rsidRPr="006516B6">
              <w:rPr>
                <w:rFonts w:ascii="Arial Narrow" w:hAnsi="Arial Narrow"/>
                <w:b/>
                <w:sz w:val="20"/>
                <w:szCs w:val="20"/>
              </w:rPr>
              <w:t>Period of inspection</w:t>
            </w:r>
          </w:p>
        </w:tc>
        <w:tc>
          <w:tcPr>
            <w:tcW w:w="1276" w:type="dxa"/>
            <w:tcBorders>
              <w:bottom w:val="single" w:sz="4" w:space="0" w:color="auto"/>
            </w:tcBorders>
            <w:shd w:val="clear" w:color="auto" w:fill="D9D9D9"/>
          </w:tcPr>
          <w:p w:rsidR="006516B6" w:rsidRPr="006516B6" w:rsidRDefault="006516B6" w:rsidP="006516B6">
            <w:pPr>
              <w:keepNext/>
              <w:spacing w:before="60" w:after="60"/>
              <w:jc w:val="center"/>
              <w:rPr>
                <w:rFonts w:ascii="Arial Narrow" w:hAnsi="Arial Narrow"/>
                <w:b/>
                <w:sz w:val="20"/>
                <w:szCs w:val="20"/>
              </w:rPr>
            </w:pPr>
            <w:r w:rsidRPr="006516B6">
              <w:rPr>
                <w:rFonts w:ascii="Arial Narrow" w:hAnsi="Arial Narrow"/>
                <w:b/>
                <w:sz w:val="20"/>
                <w:szCs w:val="20"/>
              </w:rPr>
              <w:t>Inspection frequency</w:t>
            </w:r>
          </w:p>
        </w:tc>
        <w:tc>
          <w:tcPr>
            <w:tcW w:w="1559" w:type="dxa"/>
            <w:tcBorders>
              <w:bottom w:val="single" w:sz="4" w:space="0" w:color="auto"/>
            </w:tcBorders>
            <w:shd w:val="clear" w:color="auto" w:fill="D9D9D9"/>
          </w:tcPr>
          <w:p w:rsidR="006516B6" w:rsidRPr="006516B6" w:rsidRDefault="006516B6" w:rsidP="006516B6">
            <w:pPr>
              <w:keepNext/>
              <w:spacing w:before="60" w:after="60"/>
              <w:jc w:val="center"/>
              <w:rPr>
                <w:rFonts w:ascii="Arial Narrow" w:hAnsi="Arial Narrow"/>
                <w:b/>
                <w:sz w:val="20"/>
                <w:szCs w:val="20"/>
              </w:rPr>
            </w:pPr>
            <w:r w:rsidRPr="006516B6">
              <w:rPr>
                <w:rFonts w:ascii="Arial Narrow" w:hAnsi="Arial Narrow"/>
                <w:b/>
                <w:sz w:val="20"/>
                <w:szCs w:val="20"/>
              </w:rPr>
              <w:t>Inspect for</w:t>
            </w:r>
          </w:p>
        </w:tc>
        <w:tc>
          <w:tcPr>
            <w:tcW w:w="1984" w:type="dxa"/>
            <w:tcBorders>
              <w:bottom w:val="single" w:sz="4" w:space="0" w:color="auto"/>
            </w:tcBorders>
            <w:shd w:val="clear" w:color="auto" w:fill="D9D9D9"/>
          </w:tcPr>
          <w:p w:rsidR="006516B6" w:rsidRPr="006516B6" w:rsidRDefault="006516B6" w:rsidP="006516B6">
            <w:pPr>
              <w:keepNext/>
              <w:spacing w:before="60" w:after="60"/>
              <w:jc w:val="center"/>
              <w:rPr>
                <w:rFonts w:ascii="Arial Narrow" w:hAnsi="Arial Narrow"/>
                <w:b/>
                <w:sz w:val="20"/>
                <w:szCs w:val="20"/>
              </w:rPr>
            </w:pPr>
            <w:r w:rsidRPr="006516B6">
              <w:rPr>
                <w:rFonts w:ascii="Arial Narrow" w:hAnsi="Arial Narrow"/>
                <w:b/>
                <w:sz w:val="20"/>
                <w:szCs w:val="20"/>
              </w:rPr>
              <w:t>Action</w:t>
            </w:r>
          </w:p>
        </w:tc>
      </w:tr>
      <w:tr w:rsidR="006516B6" w:rsidRPr="006516B6" w:rsidTr="001B3706">
        <w:trPr>
          <w:cantSplit/>
          <w:trHeight w:val="803"/>
        </w:trPr>
        <w:tc>
          <w:tcPr>
            <w:tcW w:w="1384" w:type="dxa"/>
            <w:shd w:val="clear" w:color="auto" w:fill="auto"/>
            <w:vAlign w:val="center"/>
          </w:tcPr>
          <w:p w:rsidR="006516B6" w:rsidRPr="006516B6" w:rsidRDefault="006516B6" w:rsidP="006516B6">
            <w:pPr>
              <w:keepNext/>
              <w:numPr>
                <w:ilvl w:val="0"/>
                <w:numId w:val="25"/>
              </w:numPr>
              <w:spacing w:before="60" w:after="60"/>
              <w:ind w:left="284" w:hanging="284"/>
              <w:rPr>
                <w:rFonts w:ascii="Arial Narrow" w:hAnsi="Arial Narrow"/>
                <w:sz w:val="20"/>
                <w:szCs w:val="20"/>
              </w:rPr>
            </w:pPr>
            <w:r w:rsidRPr="006516B6">
              <w:rPr>
                <w:rFonts w:ascii="Arial Narrow" w:hAnsi="Arial Narrow"/>
                <w:sz w:val="20"/>
                <w:szCs w:val="20"/>
              </w:rPr>
              <w:t>Planting Area</w:t>
            </w:r>
          </w:p>
        </w:tc>
        <w:tc>
          <w:tcPr>
            <w:tcW w:w="2977" w:type="dxa"/>
            <w:shd w:val="clear" w:color="auto" w:fill="auto"/>
            <w:vAlign w:val="center"/>
          </w:tcPr>
          <w:p w:rsidR="006516B6" w:rsidRPr="006516B6" w:rsidRDefault="006516B6" w:rsidP="006516B6">
            <w:pPr>
              <w:spacing w:before="120" w:after="60"/>
              <w:rPr>
                <w:rFonts w:ascii="Arial Narrow" w:hAnsi="Arial Narrow"/>
                <w:sz w:val="20"/>
                <w:szCs w:val="20"/>
              </w:rPr>
            </w:pPr>
            <w:r w:rsidRPr="006516B6">
              <w:rPr>
                <w:rFonts w:ascii="Arial Narrow" w:hAnsi="Arial Narrow"/>
                <w:sz w:val="20"/>
                <w:szCs w:val="20"/>
              </w:rPr>
              <w:t>First inspection must occur at least 14 days prior to the expected commencement of Flowering of any GMOs*, and inspections must continue until all GMOs in the Planting Area have finished Flowering</w:t>
            </w:r>
          </w:p>
        </w:tc>
        <w:tc>
          <w:tcPr>
            <w:tcW w:w="1276" w:type="dxa"/>
            <w:shd w:val="clear" w:color="auto" w:fill="auto"/>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At least once every 14 days</w:t>
            </w:r>
          </w:p>
        </w:tc>
        <w:tc>
          <w:tcPr>
            <w:tcW w:w="1559" w:type="dxa"/>
            <w:shd w:val="clear" w:color="auto" w:fill="auto"/>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Related Species</w:t>
            </w:r>
          </w:p>
        </w:tc>
        <w:tc>
          <w:tcPr>
            <w:tcW w:w="1984" w:type="dxa"/>
            <w:shd w:val="clear" w:color="auto" w:fill="auto"/>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Destroy before Flowering or prevent from Flowering simultaneously with the GMOs</w:t>
            </w:r>
          </w:p>
        </w:tc>
      </w:tr>
      <w:tr w:rsidR="006516B6" w:rsidRPr="006516B6" w:rsidTr="001B3706">
        <w:trPr>
          <w:cantSplit/>
          <w:trHeight w:val="803"/>
        </w:trPr>
        <w:tc>
          <w:tcPr>
            <w:tcW w:w="1384" w:type="dxa"/>
            <w:vAlign w:val="center"/>
          </w:tcPr>
          <w:p w:rsidR="006516B6" w:rsidRPr="006516B6" w:rsidRDefault="006516B6" w:rsidP="006516B6">
            <w:pPr>
              <w:numPr>
                <w:ilvl w:val="0"/>
                <w:numId w:val="25"/>
              </w:numPr>
              <w:spacing w:before="60" w:after="60"/>
              <w:ind w:left="284" w:hanging="284"/>
              <w:rPr>
                <w:rFonts w:ascii="Arial Narrow" w:hAnsi="Arial Narrow"/>
                <w:sz w:val="20"/>
                <w:szCs w:val="20"/>
              </w:rPr>
            </w:pPr>
            <w:r w:rsidRPr="006516B6">
              <w:rPr>
                <w:rFonts w:ascii="Arial Narrow" w:hAnsi="Arial Narrow"/>
                <w:sz w:val="20"/>
                <w:szCs w:val="20"/>
              </w:rPr>
              <w:t>Adjacent Area and Monitoring Zone</w:t>
            </w:r>
          </w:p>
        </w:tc>
        <w:tc>
          <w:tcPr>
            <w:tcW w:w="2977" w:type="dxa"/>
            <w:vAlign w:val="center"/>
          </w:tcPr>
          <w:p w:rsidR="006516B6" w:rsidRPr="006516B6" w:rsidRDefault="006516B6" w:rsidP="006516B6">
            <w:pPr>
              <w:spacing w:before="60" w:after="60"/>
              <w:rPr>
                <w:rFonts w:ascii="Arial Narrow" w:hAnsi="Arial Narrow"/>
                <w:sz w:val="20"/>
                <w:szCs w:val="20"/>
              </w:rPr>
            </w:pPr>
            <w:r w:rsidRPr="006516B6">
              <w:rPr>
                <w:rFonts w:ascii="Arial Narrow" w:hAnsi="Arial Narrow"/>
                <w:sz w:val="20"/>
                <w:szCs w:val="20"/>
              </w:rPr>
              <w:t>First inspection must occur at least 14 days prior to the expected commencement of Flowering of any GMOs*, and inspections must continue until all GMOs in the Planting Area have finished Flowering</w:t>
            </w:r>
          </w:p>
        </w:tc>
        <w:tc>
          <w:tcPr>
            <w:tcW w:w="1276" w:type="dxa"/>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At least once every 14 days</w:t>
            </w:r>
          </w:p>
        </w:tc>
        <w:tc>
          <w:tcPr>
            <w:tcW w:w="1559" w:type="dxa"/>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Perennial Ryegrass and Related Species</w:t>
            </w:r>
          </w:p>
        </w:tc>
        <w:tc>
          <w:tcPr>
            <w:tcW w:w="1984" w:type="dxa"/>
            <w:shd w:val="clear" w:color="auto" w:fill="auto"/>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Destroy before Flowering or prevent from Flowering simultaneously with the GMOs</w:t>
            </w:r>
          </w:p>
        </w:tc>
      </w:tr>
      <w:tr w:rsidR="006516B6" w:rsidRPr="006516B6" w:rsidTr="001B3706">
        <w:trPr>
          <w:cantSplit/>
          <w:trHeight w:val="803"/>
        </w:trPr>
        <w:tc>
          <w:tcPr>
            <w:tcW w:w="1384" w:type="dxa"/>
            <w:vAlign w:val="center"/>
          </w:tcPr>
          <w:p w:rsidR="006516B6" w:rsidRPr="006516B6" w:rsidRDefault="006516B6" w:rsidP="006516B6">
            <w:pPr>
              <w:numPr>
                <w:ilvl w:val="0"/>
                <w:numId w:val="25"/>
              </w:numPr>
              <w:spacing w:before="60" w:after="60"/>
              <w:ind w:left="284" w:hanging="284"/>
              <w:rPr>
                <w:rFonts w:ascii="Arial Narrow" w:hAnsi="Arial Narrow"/>
                <w:sz w:val="20"/>
                <w:szCs w:val="20"/>
              </w:rPr>
            </w:pPr>
            <w:r w:rsidRPr="006516B6">
              <w:rPr>
                <w:rFonts w:ascii="Arial Narrow" w:hAnsi="Arial Narrow"/>
                <w:sz w:val="20"/>
                <w:szCs w:val="20"/>
              </w:rPr>
              <w:lastRenderedPageBreak/>
              <w:t>Polyhouse Enclosure</w:t>
            </w:r>
          </w:p>
        </w:tc>
        <w:tc>
          <w:tcPr>
            <w:tcW w:w="2977" w:type="dxa"/>
            <w:vAlign w:val="center"/>
          </w:tcPr>
          <w:p w:rsidR="006516B6" w:rsidRPr="006516B6" w:rsidRDefault="006516B6" w:rsidP="006516B6">
            <w:pPr>
              <w:spacing w:before="60" w:after="60"/>
              <w:rPr>
                <w:rFonts w:ascii="Arial Narrow" w:hAnsi="Arial Narrow"/>
                <w:sz w:val="20"/>
                <w:szCs w:val="20"/>
              </w:rPr>
            </w:pPr>
            <w:r w:rsidRPr="006516B6">
              <w:rPr>
                <w:rFonts w:ascii="Arial Narrow" w:hAnsi="Arial Narrow"/>
                <w:sz w:val="20"/>
                <w:szCs w:val="20"/>
              </w:rPr>
              <w:t xml:space="preserve">i. From 14 days prior to the expected commencement of Flowering of any GMOs*, and until all GMOs in the Planting Area have finished Flowering </w:t>
            </w:r>
          </w:p>
          <w:p w:rsidR="006516B6" w:rsidRPr="006516B6" w:rsidRDefault="006516B6" w:rsidP="006516B6">
            <w:pPr>
              <w:spacing w:before="60" w:after="60"/>
              <w:rPr>
                <w:rFonts w:ascii="Arial Narrow" w:hAnsi="Arial Narrow"/>
                <w:sz w:val="20"/>
                <w:szCs w:val="20"/>
              </w:rPr>
            </w:pPr>
          </w:p>
          <w:p w:rsidR="006516B6" w:rsidRPr="006516B6" w:rsidRDefault="006516B6" w:rsidP="006516B6">
            <w:pPr>
              <w:spacing w:before="60" w:after="60"/>
              <w:rPr>
                <w:rFonts w:ascii="Arial Narrow" w:hAnsi="Arial Narrow"/>
                <w:sz w:val="20"/>
                <w:szCs w:val="20"/>
              </w:rPr>
            </w:pPr>
            <w:r w:rsidRPr="006516B6">
              <w:rPr>
                <w:rFonts w:ascii="Arial Narrow" w:hAnsi="Arial Narrow"/>
                <w:sz w:val="20"/>
                <w:szCs w:val="20"/>
              </w:rPr>
              <w:t>ii. At all other times while Polyhouse Enclosure is required under Condition 29.</w:t>
            </w:r>
          </w:p>
        </w:tc>
        <w:tc>
          <w:tcPr>
            <w:tcW w:w="1276" w:type="dxa"/>
            <w:vAlign w:val="center"/>
          </w:tcPr>
          <w:p w:rsidR="006516B6" w:rsidRPr="006516B6" w:rsidRDefault="006516B6" w:rsidP="006516B6">
            <w:pPr>
              <w:spacing w:before="60" w:after="180"/>
              <w:jc w:val="center"/>
              <w:rPr>
                <w:rFonts w:ascii="Arial Narrow" w:hAnsi="Arial Narrow"/>
                <w:sz w:val="20"/>
                <w:szCs w:val="20"/>
              </w:rPr>
            </w:pPr>
            <w:r w:rsidRPr="006516B6">
              <w:rPr>
                <w:rFonts w:ascii="Arial Narrow" w:hAnsi="Arial Narrow"/>
                <w:sz w:val="20"/>
                <w:szCs w:val="20"/>
              </w:rPr>
              <w:t>i. At least once every three days</w:t>
            </w:r>
          </w:p>
          <w:p w:rsidR="006516B6" w:rsidRPr="006516B6" w:rsidRDefault="006516B6" w:rsidP="006516B6">
            <w:pPr>
              <w:spacing w:before="60" w:after="180"/>
              <w:jc w:val="center"/>
              <w:rPr>
                <w:rFonts w:ascii="Arial Narrow" w:hAnsi="Arial Narrow"/>
                <w:sz w:val="20"/>
                <w:szCs w:val="20"/>
              </w:rPr>
            </w:pPr>
          </w:p>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ii. At least once every 14 days.</w:t>
            </w:r>
          </w:p>
        </w:tc>
        <w:tc>
          <w:tcPr>
            <w:tcW w:w="1559" w:type="dxa"/>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Damage that may reduce containment</w:t>
            </w:r>
          </w:p>
        </w:tc>
        <w:tc>
          <w:tcPr>
            <w:tcW w:w="1984" w:type="dxa"/>
            <w:shd w:val="clear" w:color="auto" w:fill="auto"/>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Repair</w:t>
            </w:r>
            <w:r w:rsidR="00003BF3">
              <w:rPr>
                <w:rFonts w:ascii="Arial Narrow" w:hAnsi="Arial Narrow"/>
                <w:sz w:val="20"/>
                <w:szCs w:val="20"/>
              </w:rPr>
              <w:t xml:space="preserve"> and notify</w:t>
            </w:r>
            <w:r w:rsidRPr="006516B6">
              <w:rPr>
                <w:rFonts w:ascii="Arial Narrow" w:hAnsi="Arial Narrow"/>
                <w:sz w:val="20"/>
                <w:szCs w:val="20"/>
              </w:rPr>
              <w:t xml:space="preserve"> as soon as practicable </w:t>
            </w:r>
          </w:p>
        </w:tc>
      </w:tr>
      <w:tr w:rsidR="006516B6" w:rsidRPr="006516B6" w:rsidTr="001B3706">
        <w:trPr>
          <w:cantSplit/>
          <w:trHeight w:val="803"/>
        </w:trPr>
        <w:tc>
          <w:tcPr>
            <w:tcW w:w="1384" w:type="dxa"/>
            <w:vAlign w:val="center"/>
          </w:tcPr>
          <w:p w:rsidR="006516B6" w:rsidRPr="006516B6" w:rsidRDefault="006516B6" w:rsidP="006516B6">
            <w:pPr>
              <w:numPr>
                <w:ilvl w:val="0"/>
                <w:numId w:val="25"/>
              </w:numPr>
              <w:spacing w:before="60" w:after="60"/>
              <w:ind w:left="284" w:hanging="284"/>
              <w:rPr>
                <w:rFonts w:ascii="Arial Narrow" w:hAnsi="Arial Narrow"/>
                <w:sz w:val="20"/>
                <w:szCs w:val="20"/>
              </w:rPr>
            </w:pPr>
            <w:r w:rsidRPr="006516B6">
              <w:rPr>
                <w:rFonts w:ascii="Arial Narrow" w:hAnsi="Arial Narrow"/>
                <w:sz w:val="20"/>
                <w:szCs w:val="20"/>
              </w:rPr>
              <w:t>Fence</w:t>
            </w:r>
          </w:p>
        </w:tc>
        <w:tc>
          <w:tcPr>
            <w:tcW w:w="2977" w:type="dxa"/>
            <w:vAlign w:val="center"/>
          </w:tcPr>
          <w:p w:rsidR="006516B6" w:rsidRPr="006516B6" w:rsidRDefault="008951A8" w:rsidP="008951A8">
            <w:pPr>
              <w:spacing w:before="120" w:after="60"/>
              <w:rPr>
                <w:rFonts w:ascii="Arial Narrow" w:hAnsi="Arial Narrow"/>
                <w:sz w:val="20"/>
                <w:szCs w:val="20"/>
              </w:rPr>
            </w:pPr>
            <w:r>
              <w:rPr>
                <w:rFonts w:ascii="Arial Narrow" w:hAnsi="Arial Narrow"/>
                <w:sz w:val="20"/>
                <w:szCs w:val="20"/>
              </w:rPr>
              <w:t>F</w:t>
            </w:r>
            <w:r w:rsidRPr="008951A8">
              <w:rPr>
                <w:rFonts w:ascii="Arial Narrow" w:hAnsi="Arial Narrow"/>
                <w:sz w:val="20"/>
                <w:szCs w:val="20"/>
              </w:rPr>
              <w:t>rom planting the GMOs until at least 60 days after the GMOs are harvested or Destroyed.</w:t>
            </w:r>
            <w:r w:rsidR="006516B6" w:rsidRPr="006516B6">
              <w:rPr>
                <w:rFonts w:ascii="Arial Narrow" w:hAnsi="Arial Narrow"/>
                <w:sz w:val="20"/>
                <w:szCs w:val="20"/>
              </w:rPr>
              <w:t>.</w:t>
            </w:r>
          </w:p>
        </w:tc>
        <w:tc>
          <w:tcPr>
            <w:tcW w:w="1276" w:type="dxa"/>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At least once every 14 days</w:t>
            </w:r>
          </w:p>
        </w:tc>
        <w:tc>
          <w:tcPr>
            <w:tcW w:w="1559" w:type="dxa"/>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Damage that may permit animals to enter</w:t>
            </w:r>
          </w:p>
        </w:tc>
        <w:tc>
          <w:tcPr>
            <w:tcW w:w="1984" w:type="dxa"/>
            <w:shd w:val="clear" w:color="auto" w:fill="auto"/>
            <w:vAlign w:val="center"/>
          </w:tcPr>
          <w:p w:rsidR="006516B6" w:rsidRPr="006516B6" w:rsidRDefault="006516B6" w:rsidP="006516B6">
            <w:pPr>
              <w:spacing w:before="60" w:after="60"/>
              <w:jc w:val="center"/>
              <w:rPr>
                <w:rFonts w:ascii="Arial Narrow" w:hAnsi="Arial Narrow"/>
                <w:sz w:val="20"/>
                <w:szCs w:val="20"/>
              </w:rPr>
            </w:pPr>
            <w:r w:rsidRPr="006516B6">
              <w:rPr>
                <w:rFonts w:ascii="Arial Narrow" w:hAnsi="Arial Narrow"/>
                <w:sz w:val="20"/>
                <w:szCs w:val="20"/>
              </w:rPr>
              <w:t xml:space="preserve">Repair as soon as practicable </w:t>
            </w:r>
          </w:p>
        </w:tc>
      </w:tr>
    </w:tbl>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 xml:space="preserve">*Condition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_Ref321303236 \r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51</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_Ref323571387 \r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(a)</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 xml:space="preserve"> requires the licence holder to provide information to the Regulator on the expected Flowering period, however the inspection period should be based on the observed development of the GMOs, so that inspections commence prior to Flowering of any GMOs.</w:t>
      </w:r>
    </w:p>
    <w:p w:rsidR="006516B6" w:rsidRPr="006516B6" w:rsidRDefault="006516B6" w:rsidP="006516B6">
      <w:pPr>
        <w:spacing w:before="120" w:after="120"/>
        <w:rPr>
          <w:rFonts w:ascii="Calibri" w:eastAsiaTheme="minorEastAsia" w:hAnsi="Calibri"/>
          <w:sz w:val="22"/>
          <w:lang w:eastAsia="en-AU"/>
        </w:rPr>
      </w:pPr>
      <w:r w:rsidRPr="006516B6">
        <w:rPr>
          <w:rFonts w:ascii="Calibri" w:eastAsiaTheme="minorEastAsia" w:hAnsi="Calibri"/>
          <w:i/>
          <w:sz w:val="22"/>
          <w:lang w:eastAsia="en-AU"/>
        </w:rPr>
        <w:t xml:space="preserve">Note: Details of any inspection activity must be recorded in a Logbook as detailed in Condition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_Ref321303236 \r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51</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(e).</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GMOs planted in the Planting Area must be harvested or Destroyed within 10 months of planting.</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67" w:name="_Ref323636630"/>
      <w:r w:rsidRPr="006516B6">
        <w:rPr>
          <w:rFonts w:ascii="Calibri" w:eastAsiaTheme="minorEastAsia" w:hAnsi="Calibri"/>
          <w:sz w:val="22"/>
          <w:lang w:eastAsia="en-AU"/>
        </w:rPr>
        <w:t>If the GMOs planted in the Planting Area are Destroyed, they are taken to have been harvested for the purposes of this licence and all conditions applying to post-harvest apply equally to post-destruction.</w:t>
      </w:r>
    </w:p>
    <w:bookmarkEnd w:id="67"/>
    <w:p w:rsidR="006516B6" w:rsidRPr="006516B6" w:rsidRDefault="006516B6" w:rsidP="006516B6">
      <w:pPr>
        <w:keepNext/>
        <w:spacing w:before="120" w:after="120"/>
        <w:outlineLvl w:val="3"/>
        <w:rPr>
          <w:rFonts w:ascii="Calibri" w:eastAsiaTheme="minorEastAsia" w:hAnsi="Calibri"/>
          <w:b/>
          <w:sz w:val="22"/>
          <w:lang w:eastAsia="en-AU"/>
        </w:rPr>
      </w:pPr>
      <w:r w:rsidRPr="006516B6">
        <w:rPr>
          <w:rFonts w:ascii="Calibri" w:eastAsiaTheme="minorEastAsia" w:hAnsi="Calibri"/>
          <w:b/>
          <w:sz w:val="22"/>
          <w:lang w:eastAsia="en-AU"/>
        </w:rPr>
        <w:t>Processing or experimentation with GMOs</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If processing of GM seed is not conducted under a Notifiable Low Risk Dealings (NLRD) authorisation, such activities may only be undertaken within:</w:t>
      </w:r>
    </w:p>
    <w:p w:rsidR="006516B6" w:rsidRPr="006516B6" w:rsidRDefault="006516B6" w:rsidP="006516B6">
      <w:pPr>
        <w:numPr>
          <w:ilvl w:val="0"/>
          <w:numId w:val="10"/>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a Planting Area before Cleaning; or</w:t>
      </w:r>
    </w:p>
    <w:p w:rsidR="006516B6" w:rsidRPr="006516B6" w:rsidRDefault="006516B6" w:rsidP="006516B6">
      <w:pPr>
        <w:numPr>
          <w:ilvl w:val="0"/>
          <w:numId w:val="10"/>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a facility approved in writing by the Regulator.</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Note: Dealings conducted under a NLRD authorisation must be assessed by an Institutional Biosafety Committee before commencement, must comply with the requirements of the Regulations, and are not subject to the conditions of this licence.</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If experimentation or analysis with the GMOs is not conducted under a NLRD authorisation, such activities may only be undertaken within:</w:t>
      </w:r>
    </w:p>
    <w:p w:rsidR="006516B6" w:rsidRPr="006516B6" w:rsidRDefault="006516B6" w:rsidP="006516B6">
      <w:pPr>
        <w:numPr>
          <w:ilvl w:val="0"/>
          <w:numId w:val="37"/>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a Planting Area before Cleaning; or</w:t>
      </w:r>
    </w:p>
    <w:p w:rsidR="006516B6" w:rsidRPr="006516B6" w:rsidRDefault="006516B6" w:rsidP="006516B6">
      <w:pPr>
        <w:numPr>
          <w:ilvl w:val="0"/>
          <w:numId w:val="37"/>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a facility approved in writing by the Regulator.</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Within a facility approved under either of the two immediately preceding conditions, any area that is used for processing, experimentation or analysis of the GMOs must be Cleaned as soon as practicable and before use for any other purpose.</w:t>
      </w:r>
    </w:p>
    <w:p w:rsidR="006516B6" w:rsidRPr="006516B6" w:rsidRDefault="006516B6" w:rsidP="006516B6">
      <w:pPr>
        <w:keepNext/>
        <w:spacing w:before="120" w:after="120"/>
        <w:outlineLvl w:val="3"/>
        <w:rPr>
          <w:rFonts w:ascii="Calibri" w:eastAsiaTheme="minorEastAsia" w:hAnsi="Calibri"/>
          <w:b/>
          <w:sz w:val="22"/>
          <w:lang w:eastAsia="en-AU"/>
        </w:rPr>
      </w:pPr>
      <w:r w:rsidRPr="006516B6">
        <w:rPr>
          <w:rFonts w:ascii="Calibri" w:eastAsiaTheme="minorEastAsia" w:hAnsi="Calibri"/>
          <w:b/>
          <w:sz w:val="22"/>
          <w:lang w:eastAsia="en-AU"/>
        </w:rPr>
        <w:t>Transport or storage of the GMOs</w:t>
      </w:r>
    </w:p>
    <w:p w:rsidR="006516B6" w:rsidRPr="006516B6" w:rsidRDefault="006516B6" w:rsidP="006516B6">
      <w:pPr>
        <w:numPr>
          <w:ilvl w:val="0"/>
          <w:numId w:val="21"/>
        </w:numPr>
        <w:tabs>
          <w:tab w:val="num" w:pos="709"/>
        </w:tabs>
        <w:spacing w:before="120" w:after="120"/>
        <w:rPr>
          <w:rFonts w:ascii="Calibri" w:eastAsiaTheme="minorEastAsia" w:hAnsi="Calibri"/>
          <w:sz w:val="22"/>
        </w:rPr>
      </w:pPr>
      <w:r w:rsidRPr="006516B6">
        <w:rPr>
          <w:rFonts w:ascii="Calibri" w:eastAsiaTheme="minorEastAsia" w:hAnsi="Calibri"/>
          <w:sz w:val="22"/>
        </w:rPr>
        <w:t xml:space="preserve">If transport or storage of the GMOs is not conducted under a NLRD authorisation, </w:t>
      </w:r>
      <w:bookmarkStart w:id="68" w:name="_Ref422261163"/>
      <w:r w:rsidRPr="006516B6">
        <w:rPr>
          <w:rFonts w:ascii="Calibri" w:eastAsiaTheme="minorEastAsia" w:hAnsi="Calibri"/>
          <w:sz w:val="22"/>
        </w:rPr>
        <w:t>such activities must:</w:t>
      </w:r>
      <w:bookmarkEnd w:id="68"/>
    </w:p>
    <w:p w:rsidR="006516B6" w:rsidRPr="006516B6" w:rsidRDefault="006516B6" w:rsidP="006516B6">
      <w:pPr>
        <w:numPr>
          <w:ilvl w:val="0"/>
          <w:numId w:val="11"/>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only occur to the extent necessary to conduct the dealings permitted by this licence or other valid authorisation; and</w:t>
      </w:r>
    </w:p>
    <w:p w:rsidR="006516B6" w:rsidRPr="006516B6" w:rsidRDefault="006516B6" w:rsidP="006516B6">
      <w:pPr>
        <w:numPr>
          <w:ilvl w:val="0"/>
          <w:numId w:val="11"/>
        </w:numPr>
        <w:tabs>
          <w:tab w:val="num" w:pos="851"/>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 xml:space="preserve">be in accordance with the Regulator’s </w:t>
      </w:r>
      <w:r w:rsidRPr="006516B6">
        <w:rPr>
          <w:rFonts w:ascii="Calibri" w:eastAsiaTheme="minorEastAsia" w:hAnsi="Calibri"/>
          <w:i/>
          <w:sz w:val="22"/>
          <w:lang w:eastAsia="en-AU"/>
        </w:rPr>
        <w:t>Guidelines for the Transport, Storage and Disposal of GMOs</w:t>
      </w:r>
      <w:r w:rsidRPr="006516B6">
        <w:rPr>
          <w:rFonts w:ascii="Calibri" w:eastAsiaTheme="minorEastAsia" w:hAnsi="Calibri"/>
          <w:sz w:val="22"/>
          <w:lang w:eastAsia="en-AU"/>
        </w:rPr>
        <w:t xml:space="preserve"> for PC2 GM plants as current at the time of transportation or storage; and</w:t>
      </w:r>
    </w:p>
    <w:p w:rsidR="006516B6" w:rsidRPr="006516B6" w:rsidRDefault="006516B6" w:rsidP="006516B6">
      <w:pPr>
        <w:numPr>
          <w:ilvl w:val="0"/>
          <w:numId w:val="11"/>
        </w:numPr>
        <w:tabs>
          <w:tab w:val="num" w:pos="851"/>
          <w:tab w:val="num" w:pos="1134"/>
        </w:tabs>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lastRenderedPageBreak/>
        <w:t>comply with all other conditions of this licence.</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 xml:space="preserve">Note: Condition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_Ref438641248 \r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15</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 xml:space="preserve"> requires signed statements for persons transporting or disposing of the GMOs.</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69" w:name="_Ref323915163"/>
      <w:r w:rsidRPr="006516B6">
        <w:rPr>
          <w:rFonts w:ascii="Calibri" w:eastAsiaTheme="minorEastAsia" w:hAnsi="Calibri"/>
          <w:sz w:val="22"/>
          <w:lang w:eastAsia="en-AU"/>
        </w:rPr>
        <w:t>Methods and procedures used to transport GMOs must be recorded, and must be provided to the Regulator, if requested.</w:t>
      </w:r>
      <w:bookmarkEnd w:id="69"/>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Note: The Contingency Plan must be implemented if the GMOs are detected outside areas under inspection (Condition 49).</w:t>
      </w:r>
    </w:p>
    <w:p w:rsidR="006516B6" w:rsidRPr="006516B6" w:rsidRDefault="006516B6" w:rsidP="006516B6">
      <w:pPr>
        <w:keepNext/>
        <w:spacing w:before="120" w:after="120"/>
        <w:outlineLvl w:val="3"/>
        <w:rPr>
          <w:rFonts w:ascii="Calibri" w:eastAsiaTheme="minorEastAsia" w:hAnsi="Calibri"/>
          <w:b/>
          <w:sz w:val="22"/>
          <w:lang w:eastAsia="en-AU"/>
        </w:rPr>
      </w:pPr>
      <w:r w:rsidRPr="006516B6">
        <w:rPr>
          <w:rFonts w:ascii="Calibri" w:eastAsiaTheme="minorEastAsia" w:hAnsi="Calibri"/>
          <w:b/>
          <w:sz w:val="22"/>
          <w:lang w:eastAsia="en-AU"/>
        </w:rPr>
        <w:t>Persistence of the GMOs</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70" w:name="_Ref321302554"/>
      <w:bookmarkStart w:id="71" w:name="_Ref352245916"/>
      <w:r w:rsidRPr="006516B6">
        <w:rPr>
          <w:rFonts w:ascii="Calibri" w:eastAsiaTheme="minorEastAsia" w:hAnsi="Calibri"/>
          <w:sz w:val="22"/>
          <w:lang w:eastAsia="en-AU"/>
        </w:rPr>
        <w:t>The Planting Area and Adjacent Area must be Cleaned within 14 days after completion of harvest of the GMOs.</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After Cleaning, the Planting Area and associated areas of land must be inspected by people trained to recognise Perennial Ryegrass. Inspections must cover the entirety of areas to be inspected. Actions must be taken as follows:</w:t>
      </w:r>
      <w:bookmarkEnd w:id="70"/>
      <w:bookmarkEnd w:id="71"/>
    </w:p>
    <w:tbl>
      <w:tblPr>
        <w:tblStyle w:val="TableGrid"/>
        <w:tblW w:w="9356" w:type="dxa"/>
        <w:tblInd w:w="108" w:type="dxa"/>
        <w:tblLayout w:type="fixed"/>
        <w:tblLook w:val="01E0" w:firstRow="1" w:lastRow="1" w:firstColumn="1" w:lastColumn="1" w:noHBand="0" w:noVBand="0"/>
        <w:tblDescription w:val="This table specifies the inspection requirements for areas of land post-harvest. The table has five columns, one each for Area, Period of inspection, Inspection frequency, Inspect for, and Action."/>
      </w:tblPr>
      <w:tblGrid>
        <w:gridCol w:w="2410"/>
        <w:gridCol w:w="2835"/>
        <w:gridCol w:w="1276"/>
        <w:gridCol w:w="1417"/>
        <w:gridCol w:w="1418"/>
      </w:tblGrid>
      <w:tr w:rsidR="006516B6" w:rsidRPr="006516B6" w:rsidTr="001B3706">
        <w:trPr>
          <w:cantSplit/>
          <w:trHeight w:val="800"/>
          <w:tblHeader/>
        </w:trPr>
        <w:tc>
          <w:tcPr>
            <w:tcW w:w="2410" w:type="dxa"/>
            <w:tcBorders>
              <w:bottom w:val="single" w:sz="4" w:space="0" w:color="auto"/>
            </w:tcBorders>
            <w:shd w:val="clear" w:color="auto" w:fill="D9D9D9"/>
          </w:tcPr>
          <w:p w:rsidR="006516B6" w:rsidRPr="006516B6" w:rsidRDefault="006516B6" w:rsidP="006516B6">
            <w:pPr>
              <w:spacing w:before="120" w:after="120"/>
              <w:rPr>
                <w:rFonts w:ascii="Arial Narrow" w:hAnsi="Arial Narrow"/>
                <w:b/>
                <w:sz w:val="20"/>
                <w:szCs w:val="20"/>
              </w:rPr>
            </w:pPr>
            <w:r w:rsidRPr="006516B6">
              <w:rPr>
                <w:rFonts w:ascii="Arial Narrow" w:hAnsi="Arial Narrow"/>
                <w:b/>
                <w:sz w:val="20"/>
                <w:szCs w:val="20"/>
              </w:rPr>
              <w:t>Area of land</w:t>
            </w:r>
          </w:p>
        </w:tc>
        <w:tc>
          <w:tcPr>
            <w:tcW w:w="2835" w:type="dxa"/>
            <w:tcBorders>
              <w:bottom w:val="single" w:sz="4" w:space="0" w:color="auto"/>
            </w:tcBorders>
            <w:shd w:val="clear" w:color="auto" w:fill="D9D9D9"/>
          </w:tcPr>
          <w:p w:rsidR="006516B6" w:rsidRPr="006516B6" w:rsidRDefault="006516B6" w:rsidP="006516B6">
            <w:pPr>
              <w:spacing w:before="120" w:after="120"/>
              <w:rPr>
                <w:rFonts w:ascii="Arial Narrow" w:hAnsi="Arial Narrow"/>
                <w:b/>
                <w:sz w:val="20"/>
                <w:szCs w:val="20"/>
              </w:rPr>
            </w:pPr>
            <w:r w:rsidRPr="006516B6">
              <w:rPr>
                <w:rFonts w:ascii="Arial Narrow" w:hAnsi="Arial Narrow"/>
                <w:b/>
                <w:sz w:val="20"/>
                <w:szCs w:val="20"/>
              </w:rPr>
              <w:t>Period of inspection</w:t>
            </w:r>
          </w:p>
        </w:tc>
        <w:tc>
          <w:tcPr>
            <w:tcW w:w="1276" w:type="dxa"/>
            <w:tcBorders>
              <w:bottom w:val="single" w:sz="4" w:space="0" w:color="auto"/>
            </w:tcBorders>
            <w:shd w:val="clear" w:color="auto" w:fill="D9D9D9"/>
          </w:tcPr>
          <w:p w:rsidR="006516B6" w:rsidRPr="006516B6" w:rsidRDefault="006516B6" w:rsidP="006516B6">
            <w:pPr>
              <w:spacing w:before="120" w:after="120"/>
              <w:rPr>
                <w:rFonts w:ascii="Arial Narrow" w:hAnsi="Arial Narrow"/>
                <w:b/>
                <w:sz w:val="20"/>
                <w:szCs w:val="20"/>
              </w:rPr>
            </w:pPr>
            <w:r w:rsidRPr="006516B6">
              <w:rPr>
                <w:rFonts w:ascii="Arial Narrow" w:hAnsi="Arial Narrow"/>
                <w:b/>
                <w:sz w:val="20"/>
                <w:szCs w:val="20"/>
              </w:rPr>
              <w:t xml:space="preserve">Inspection frequency </w:t>
            </w:r>
          </w:p>
        </w:tc>
        <w:tc>
          <w:tcPr>
            <w:tcW w:w="1417" w:type="dxa"/>
            <w:tcBorders>
              <w:bottom w:val="single" w:sz="4" w:space="0" w:color="auto"/>
            </w:tcBorders>
            <w:shd w:val="clear" w:color="auto" w:fill="D9D9D9"/>
          </w:tcPr>
          <w:p w:rsidR="006516B6" w:rsidRPr="006516B6" w:rsidRDefault="006516B6" w:rsidP="006516B6">
            <w:pPr>
              <w:spacing w:before="120" w:after="120"/>
              <w:rPr>
                <w:rFonts w:ascii="Arial Narrow" w:hAnsi="Arial Narrow"/>
                <w:b/>
                <w:sz w:val="20"/>
                <w:szCs w:val="20"/>
              </w:rPr>
            </w:pPr>
            <w:r w:rsidRPr="006516B6">
              <w:rPr>
                <w:rFonts w:ascii="Arial Narrow" w:hAnsi="Arial Narrow"/>
                <w:b/>
                <w:sz w:val="20"/>
                <w:szCs w:val="20"/>
              </w:rPr>
              <w:t>Inspect for</w:t>
            </w:r>
          </w:p>
        </w:tc>
        <w:tc>
          <w:tcPr>
            <w:tcW w:w="1418" w:type="dxa"/>
            <w:tcBorders>
              <w:bottom w:val="single" w:sz="4" w:space="0" w:color="auto"/>
            </w:tcBorders>
            <w:shd w:val="clear" w:color="auto" w:fill="D9D9D9"/>
          </w:tcPr>
          <w:p w:rsidR="006516B6" w:rsidRPr="006516B6" w:rsidRDefault="006516B6" w:rsidP="006516B6">
            <w:pPr>
              <w:spacing w:before="120" w:after="120"/>
              <w:rPr>
                <w:rFonts w:ascii="Arial Narrow" w:hAnsi="Arial Narrow"/>
                <w:b/>
                <w:sz w:val="20"/>
                <w:szCs w:val="20"/>
              </w:rPr>
            </w:pPr>
            <w:r w:rsidRPr="006516B6">
              <w:rPr>
                <w:rFonts w:ascii="Arial Narrow" w:hAnsi="Arial Narrow"/>
                <w:b/>
                <w:sz w:val="20"/>
                <w:szCs w:val="20"/>
              </w:rPr>
              <w:t>Action</w:t>
            </w:r>
          </w:p>
        </w:tc>
      </w:tr>
      <w:tr w:rsidR="006516B6" w:rsidRPr="006516B6" w:rsidTr="001B3706">
        <w:trPr>
          <w:cantSplit/>
          <w:trHeight w:val="800"/>
        </w:trPr>
        <w:tc>
          <w:tcPr>
            <w:tcW w:w="2410" w:type="dxa"/>
            <w:shd w:val="clear" w:color="auto" w:fill="auto"/>
          </w:tcPr>
          <w:p w:rsidR="006516B6" w:rsidRPr="006516B6" w:rsidRDefault="006516B6" w:rsidP="006516B6">
            <w:pPr>
              <w:numPr>
                <w:ilvl w:val="0"/>
                <w:numId w:val="26"/>
              </w:numPr>
              <w:spacing w:before="120" w:after="120"/>
              <w:ind w:left="318" w:hanging="284"/>
              <w:rPr>
                <w:rFonts w:ascii="Arial Narrow" w:hAnsi="Arial Narrow"/>
                <w:sz w:val="20"/>
                <w:szCs w:val="20"/>
              </w:rPr>
            </w:pPr>
            <w:r w:rsidRPr="006516B6">
              <w:rPr>
                <w:rFonts w:ascii="Arial Narrow" w:hAnsi="Arial Narrow"/>
                <w:sz w:val="20"/>
                <w:szCs w:val="20"/>
              </w:rPr>
              <w:t>Planting Area</w:t>
            </w:r>
          </w:p>
          <w:p w:rsidR="006516B6" w:rsidRPr="006516B6" w:rsidRDefault="006516B6" w:rsidP="006516B6">
            <w:pPr>
              <w:numPr>
                <w:ilvl w:val="0"/>
                <w:numId w:val="26"/>
              </w:numPr>
              <w:spacing w:before="120" w:after="120"/>
              <w:ind w:left="318" w:hanging="284"/>
              <w:rPr>
                <w:rFonts w:ascii="Arial Narrow" w:hAnsi="Arial Narrow"/>
                <w:sz w:val="20"/>
                <w:szCs w:val="20"/>
              </w:rPr>
            </w:pPr>
            <w:r w:rsidRPr="006516B6">
              <w:rPr>
                <w:rFonts w:ascii="Arial Narrow" w:hAnsi="Arial Narrow"/>
                <w:sz w:val="20"/>
                <w:szCs w:val="20"/>
              </w:rPr>
              <w:t>Adjacent Area</w:t>
            </w:r>
          </w:p>
          <w:p w:rsidR="006516B6" w:rsidRPr="006516B6" w:rsidRDefault="006516B6" w:rsidP="006516B6">
            <w:pPr>
              <w:numPr>
                <w:ilvl w:val="0"/>
                <w:numId w:val="26"/>
              </w:numPr>
              <w:spacing w:before="120" w:after="120"/>
              <w:ind w:left="318" w:hanging="284"/>
              <w:rPr>
                <w:rFonts w:ascii="Arial Narrow" w:hAnsi="Arial Narrow"/>
                <w:sz w:val="20"/>
                <w:szCs w:val="20"/>
              </w:rPr>
            </w:pPr>
            <w:r w:rsidRPr="006516B6">
              <w:rPr>
                <w:rFonts w:ascii="Arial Narrow" w:hAnsi="Arial Narrow"/>
                <w:sz w:val="20"/>
                <w:szCs w:val="20"/>
              </w:rPr>
              <w:t>Monitoring Zone</w:t>
            </w:r>
          </w:p>
          <w:p w:rsidR="006516B6" w:rsidRPr="006516B6" w:rsidRDefault="006516B6" w:rsidP="006516B6">
            <w:pPr>
              <w:numPr>
                <w:ilvl w:val="0"/>
                <w:numId w:val="26"/>
              </w:numPr>
              <w:spacing w:before="120" w:after="120"/>
              <w:ind w:left="318" w:hanging="284"/>
              <w:rPr>
                <w:rFonts w:ascii="Arial Narrow" w:hAnsi="Arial Narrow"/>
                <w:sz w:val="20"/>
                <w:szCs w:val="20"/>
              </w:rPr>
            </w:pPr>
            <w:r w:rsidRPr="006516B6">
              <w:rPr>
                <w:rFonts w:ascii="Arial Narrow" w:hAnsi="Arial Narrow"/>
                <w:sz w:val="20"/>
                <w:szCs w:val="20"/>
              </w:rPr>
              <w:t>Any other area where GMOs have dispersed during planting, growing or harvesting</w:t>
            </w:r>
          </w:p>
          <w:p w:rsidR="006516B6" w:rsidRPr="006516B6" w:rsidRDefault="006516B6" w:rsidP="006516B6">
            <w:pPr>
              <w:numPr>
                <w:ilvl w:val="0"/>
                <w:numId w:val="26"/>
              </w:numPr>
              <w:spacing w:before="120" w:after="120"/>
              <w:ind w:left="318" w:hanging="284"/>
              <w:rPr>
                <w:rFonts w:ascii="Arial Narrow" w:hAnsi="Arial Narrow"/>
                <w:sz w:val="20"/>
                <w:szCs w:val="20"/>
              </w:rPr>
            </w:pPr>
            <w:r w:rsidRPr="006516B6">
              <w:rPr>
                <w:rFonts w:ascii="Arial Narrow" w:hAnsi="Arial Narrow"/>
                <w:sz w:val="20"/>
                <w:szCs w:val="20"/>
              </w:rPr>
              <w:t>Any other area used to Clean Equipment used in connection with the GMOs</w:t>
            </w:r>
          </w:p>
          <w:p w:rsidR="006516B6" w:rsidRPr="006516B6" w:rsidRDefault="006516B6" w:rsidP="006516B6">
            <w:pPr>
              <w:numPr>
                <w:ilvl w:val="0"/>
                <w:numId w:val="26"/>
              </w:numPr>
              <w:spacing w:before="120" w:after="120"/>
              <w:ind w:left="318" w:hanging="284"/>
              <w:rPr>
                <w:rFonts w:ascii="Arial Narrow" w:hAnsi="Arial Narrow"/>
                <w:sz w:val="20"/>
                <w:szCs w:val="20"/>
              </w:rPr>
            </w:pPr>
            <w:r w:rsidRPr="006516B6">
              <w:rPr>
                <w:rFonts w:ascii="Arial Narrow" w:hAnsi="Arial Narrow"/>
                <w:sz w:val="20"/>
                <w:szCs w:val="20"/>
              </w:rPr>
              <w:t>Any other area used to Destroy GMOs</w:t>
            </w:r>
          </w:p>
        </w:tc>
        <w:tc>
          <w:tcPr>
            <w:tcW w:w="2835" w:type="dxa"/>
            <w:shd w:val="clear" w:color="auto" w:fill="auto"/>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From the day of completion of Cleaning of the Planting Area and Adjacent Area, until:</w:t>
            </w:r>
          </w:p>
          <w:p w:rsidR="006516B6" w:rsidRPr="006516B6" w:rsidRDefault="006516B6" w:rsidP="006516B6">
            <w:pPr>
              <w:numPr>
                <w:ilvl w:val="0"/>
                <w:numId w:val="19"/>
              </w:numPr>
              <w:tabs>
                <w:tab w:val="num" w:pos="278"/>
              </w:tabs>
              <w:spacing w:before="120" w:after="120"/>
              <w:ind w:left="278" w:hanging="142"/>
              <w:rPr>
                <w:rFonts w:ascii="Arial Narrow" w:hAnsi="Arial Narrow"/>
                <w:sz w:val="20"/>
                <w:szCs w:val="20"/>
              </w:rPr>
            </w:pPr>
            <w:r w:rsidRPr="006516B6">
              <w:rPr>
                <w:rFonts w:ascii="Arial Narrow" w:hAnsi="Arial Narrow"/>
                <w:sz w:val="20"/>
                <w:szCs w:val="20"/>
              </w:rPr>
              <w:t>an area becomes a new Planting Area under this licence*; or</w:t>
            </w:r>
          </w:p>
          <w:p w:rsidR="006516B6" w:rsidRPr="006516B6" w:rsidRDefault="006516B6" w:rsidP="006516B6">
            <w:pPr>
              <w:numPr>
                <w:ilvl w:val="0"/>
                <w:numId w:val="19"/>
              </w:numPr>
              <w:tabs>
                <w:tab w:val="num" w:pos="278"/>
              </w:tabs>
              <w:spacing w:before="120" w:after="120"/>
              <w:ind w:left="278" w:hanging="142"/>
              <w:rPr>
                <w:rFonts w:ascii="Arial Narrow" w:hAnsi="Arial Narrow"/>
                <w:sz w:val="20"/>
                <w:szCs w:val="20"/>
              </w:rPr>
            </w:pPr>
            <w:r w:rsidRPr="006516B6">
              <w:rPr>
                <w:rFonts w:ascii="Arial Narrow" w:hAnsi="Arial Narrow"/>
                <w:sz w:val="20"/>
                <w:szCs w:val="20"/>
              </w:rPr>
              <w:t>the Regulator has issued a Sign</w:t>
            </w:r>
            <w:r w:rsidRPr="006516B6">
              <w:rPr>
                <w:rFonts w:ascii="Arial Narrow" w:hAnsi="Arial Narrow"/>
                <w:sz w:val="20"/>
                <w:szCs w:val="20"/>
              </w:rPr>
              <w:noBreakHyphen/>
              <w:t>off for the area.</w:t>
            </w:r>
          </w:p>
        </w:tc>
        <w:tc>
          <w:tcPr>
            <w:tcW w:w="1276" w:type="dxa"/>
            <w:shd w:val="clear" w:color="auto" w:fill="auto"/>
          </w:tcPr>
          <w:p w:rsidR="006516B6" w:rsidRPr="006516B6" w:rsidRDefault="006516B6" w:rsidP="006516B6">
            <w:pPr>
              <w:spacing w:before="120" w:after="120"/>
              <w:rPr>
                <w:rFonts w:ascii="Arial Narrow" w:hAnsi="Arial Narrow"/>
                <w:b/>
                <w:sz w:val="20"/>
                <w:szCs w:val="20"/>
                <w:highlight w:val="yellow"/>
              </w:rPr>
            </w:pPr>
            <w:r w:rsidRPr="006516B6">
              <w:rPr>
                <w:rFonts w:ascii="Arial Narrow" w:hAnsi="Arial Narrow"/>
                <w:sz w:val="20"/>
                <w:szCs w:val="20"/>
              </w:rPr>
              <w:t>At least once every 35 days</w:t>
            </w:r>
          </w:p>
        </w:tc>
        <w:tc>
          <w:tcPr>
            <w:tcW w:w="1417" w:type="dxa"/>
            <w:shd w:val="clear" w:color="auto" w:fill="auto"/>
          </w:tcPr>
          <w:p w:rsidR="006516B6" w:rsidRPr="006516B6" w:rsidRDefault="006516B6" w:rsidP="006516B6">
            <w:pPr>
              <w:spacing w:before="120" w:after="120"/>
              <w:rPr>
                <w:rFonts w:ascii="Arial Narrow" w:hAnsi="Arial Narrow"/>
                <w:b/>
                <w:sz w:val="20"/>
                <w:szCs w:val="20"/>
              </w:rPr>
            </w:pPr>
            <w:r w:rsidRPr="006516B6">
              <w:rPr>
                <w:rFonts w:ascii="Arial Narrow" w:hAnsi="Arial Narrow"/>
                <w:sz w:val="20"/>
                <w:szCs w:val="20"/>
              </w:rPr>
              <w:t>Volunteers</w:t>
            </w:r>
          </w:p>
        </w:tc>
        <w:tc>
          <w:tcPr>
            <w:tcW w:w="1418" w:type="dxa"/>
            <w:shd w:val="clear" w:color="auto" w:fill="auto"/>
          </w:tcPr>
          <w:p w:rsidR="006516B6" w:rsidRPr="006516B6" w:rsidRDefault="006516B6" w:rsidP="006516B6">
            <w:pPr>
              <w:spacing w:before="120" w:after="120"/>
              <w:rPr>
                <w:rFonts w:ascii="Arial Narrow" w:hAnsi="Arial Narrow"/>
                <w:b/>
                <w:sz w:val="20"/>
                <w:szCs w:val="20"/>
              </w:rPr>
            </w:pPr>
            <w:r w:rsidRPr="006516B6">
              <w:rPr>
                <w:rFonts w:ascii="Arial Narrow" w:hAnsi="Arial Narrow"/>
                <w:sz w:val="20"/>
                <w:szCs w:val="20"/>
              </w:rPr>
              <w:t>Destroy before Flowering</w:t>
            </w:r>
          </w:p>
        </w:tc>
      </w:tr>
    </w:tbl>
    <w:p w:rsidR="006516B6" w:rsidRPr="006516B6" w:rsidRDefault="006516B6" w:rsidP="006516B6">
      <w:pPr>
        <w:spacing w:before="120" w:after="120"/>
        <w:rPr>
          <w:rFonts w:ascii="Calibri" w:eastAsiaTheme="minorEastAsia" w:hAnsi="Calibri"/>
          <w:i/>
          <w:sz w:val="22"/>
          <w:lang w:eastAsia="en-AU"/>
        </w:rPr>
      </w:pPr>
      <w:bookmarkStart w:id="72" w:name="_Ref352245861"/>
      <w:r w:rsidRPr="006516B6">
        <w:rPr>
          <w:rFonts w:ascii="Calibri" w:eastAsiaTheme="minorEastAsia" w:hAnsi="Calibri"/>
          <w:i/>
          <w:sz w:val="22"/>
          <w:lang w:eastAsia="en-AU"/>
        </w:rPr>
        <w:t>* If an area subject to post-harvest inspection requirements under Condition 46 is replanted with GMOs, the new Planting Area no longer requires post-harvest inspections, but surrounding areas do still require post-harvest inspections. In this case, some areas would be subject to inspection requirements under both Condition 46 and Condition 37.</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r w:rsidRPr="006516B6">
        <w:rPr>
          <w:rFonts w:ascii="Calibri" w:eastAsiaTheme="minorEastAsia" w:hAnsi="Calibri"/>
          <w:sz w:val="22"/>
          <w:lang w:eastAsia="en-AU"/>
        </w:rPr>
        <w:t>Details of any inspection activity must be recorded in a Logbook and must include:</w:t>
      </w:r>
      <w:bookmarkEnd w:id="72"/>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date of the inspections;</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name of the person(s) conducting the inspections;</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the experience, training or qualification that enables the person(s) to recognise Perennial Ryegrass and/or Related Species, if not already recorded in the Logbook;</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areas inspected including current land use;</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the developmental stage of the GMOs while they are being grown;</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any post-harvest rainfall events, including measurements at or near the area, or any irrigation events including the amount of water applied;</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for post-harvest areas, details of any post-harvest crops and any recent management practices applied (including Tillage events)</w:t>
      </w:r>
    </w:p>
    <w:p w:rsidR="006516B6" w:rsidRPr="006516B6" w:rsidRDefault="006516B6" w:rsidP="006516B6">
      <w:pPr>
        <w:spacing w:before="120" w:after="120"/>
        <w:ind w:left="284"/>
        <w:rPr>
          <w:rFonts w:ascii="Calibri" w:eastAsiaTheme="minorEastAsia" w:hAnsi="Calibri"/>
          <w:i/>
          <w:sz w:val="22"/>
          <w:lang w:eastAsia="en-AU"/>
        </w:rPr>
      </w:pPr>
      <w:r w:rsidRPr="006516B6">
        <w:rPr>
          <w:rFonts w:ascii="Calibri" w:eastAsiaTheme="minorEastAsia" w:hAnsi="Calibri"/>
          <w:i/>
          <w:sz w:val="22"/>
          <w:lang w:eastAsia="en-AU"/>
        </w:rPr>
        <w:lastRenderedPageBreak/>
        <w:t>Note: this may include spraying or maintenance measures used to facilitate inspections for Volunteers</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any Volunteers observed during post-harvest inspections or land-management activities, including number, developmental stage and approximate position of the Volunteers within each area inspected</w:t>
      </w:r>
      <w:r w:rsidRPr="006516B6">
        <w:rPr>
          <w:rFonts w:ascii="Calibri" w:eastAsiaTheme="minorEastAsia" w:hAnsi="Calibri"/>
          <w:sz w:val="22"/>
          <w:vertAlign w:val="superscript"/>
          <w:lang w:eastAsia="en-AU"/>
        </w:rPr>
        <w:t xml:space="preserve"> </w:t>
      </w:r>
      <w:r w:rsidRPr="006516B6">
        <w:rPr>
          <w:rFonts w:ascii="Calibri" w:eastAsiaTheme="minorEastAsia" w:hAnsi="Calibri"/>
          <w:sz w:val="22"/>
          <w:vertAlign w:val="superscript"/>
          <w:lang w:eastAsia="en-AU"/>
        </w:rPr>
        <w:sym w:font="Wingdings" w:char="F07A"/>
      </w:r>
      <w:r w:rsidRPr="006516B6">
        <w:rPr>
          <w:rFonts w:ascii="Calibri" w:eastAsiaTheme="minorEastAsia" w:hAnsi="Calibri"/>
          <w:sz w:val="22"/>
          <w:lang w:eastAsia="en-AU"/>
        </w:rPr>
        <w:t xml:space="preserve">; </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date(s) and method(s) of Destruction or of preventing Flowering simultaneously with the GMOs of any Perennial Ryegrass, Related Species or Volunteers;</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any damage and any repairs to the Polyhouse Enclosure surrounding the Planting Area, while the Polyhouse Enclosure is required;</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any damage and any repairs to the fence surrounding the Polyhouse Enclosure, while the fence is required;  and</w:t>
      </w:r>
    </w:p>
    <w:p w:rsidR="006516B6" w:rsidRPr="006516B6" w:rsidRDefault="006516B6" w:rsidP="006516B6">
      <w:pPr>
        <w:numPr>
          <w:ilvl w:val="0"/>
          <w:numId w:val="18"/>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details of rodent control methods used and any evidence of rodent activity, while rodent control methods are required.</w:t>
      </w:r>
    </w:p>
    <w:p w:rsidR="006516B6" w:rsidRPr="006516B6" w:rsidRDefault="006516B6" w:rsidP="006516B6">
      <w:pPr>
        <w:tabs>
          <w:tab w:val="left" w:pos="540"/>
        </w:tabs>
        <w:spacing w:before="120" w:after="120"/>
        <w:rPr>
          <w:rFonts w:ascii="Calibri" w:eastAsiaTheme="minorEastAsia" w:hAnsi="Calibri"/>
          <w:i/>
          <w:sz w:val="22"/>
          <w:lang w:eastAsia="en-AU"/>
        </w:rPr>
      </w:pPr>
      <w:r w:rsidRPr="006516B6">
        <w:rPr>
          <w:rFonts w:ascii="Calibri" w:eastAsiaTheme="minorEastAsia" w:hAnsi="Calibri"/>
          <w:sz w:val="22"/>
          <w:vertAlign w:val="superscript"/>
          <w:lang w:eastAsia="en-AU"/>
        </w:rPr>
        <w:sym w:font="Wingdings" w:char="F07A"/>
      </w:r>
      <w:r w:rsidRPr="006516B6">
        <w:rPr>
          <w:rFonts w:ascii="Calibri" w:eastAsiaTheme="minorEastAsia" w:hAnsi="Calibri"/>
          <w:sz w:val="22"/>
          <w:lang w:eastAsia="en-AU"/>
        </w:rPr>
        <w:t xml:space="preserve"> </w:t>
      </w:r>
      <w:r w:rsidRPr="006516B6">
        <w:rPr>
          <w:rFonts w:ascii="Calibri" w:eastAsiaTheme="minorEastAsia" w:hAnsi="Calibri"/>
          <w:i/>
          <w:sz w:val="22"/>
          <w:lang w:eastAsia="en-AU"/>
        </w:rPr>
        <w:t xml:space="preserve">Examples of acceptable ways to record the positional information for Volunteers in the Logbook include: </w:t>
      </w:r>
    </w:p>
    <w:p w:rsidR="006516B6" w:rsidRPr="006516B6" w:rsidRDefault="006516B6" w:rsidP="006516B6">
      <w:pPr>
        <w:tabs>
          <w:tab w:val="left" w:pos="540"/>
        </w:tabs>
        <w:spacing w:before="120" w:after="120"/>
        <w:rPr>
          <w:rFonts w:ascii="Calibri" w:eastAsiaTheme="minorEastAsia" w:hAnsi="Calibri"/>
          <w:i/>
          <w:sz w:val="22"/>
          <w:lang w:eastAsia="en-AU"/>
        </w:rPr>
      </w:pPr>
      <w:r w:rsidRPr="006516B6">
        <w:rPr>
          <w:rFonts w:ascii="Calibri" w:eastAsiaTheme="minorEastAsia" w:hAnsi="Calibri"/>
          <w:i/>
          <w:sz w:val="22"/>
          <w:lang w:eastAsia="en-AU"/>
        </w:rPr>
        <w:t xml:space="preserve">- descriptive text </w:t>
      </w:r>
    </w:p>
    <w:p w:rsidR="006516B6" w:rsidRPr="006516B6" w:rsidRDefault="006516B6" w:rsidP="006516B6">
      <w:pPr>
        <w:tabs>
          <w:tab w:val="left" w:pos="540"/>
        </w:tabs>
        <w:spacing w:before="120" w:after="120"/>
        <w:rPr>
          <w:rFonts w:ascii="Calibri" w:eastAsiaTheme="minorEastAsia" w:hAnsi="Calibri"/>
          <w:i/>
          <w:sz w:val="22"/>
          <w:lang w:eastAsia="en-AU"/>
        </w:rPr>
      </w:pPr>
      <w:r w:rsidRPr="006516B6">
        <w:rPr>
          <w:rFonts w:ascii="Calibri" w:eastAsiaTheme="minorEastAsia" w:hAnsi="Calibri"/>
          <w:i/>
          <w:sz w:val="22"/>
          <w:lang w:eastAsia="en-AU"/>
        </w:rPr>
        <w:t xml:space="preserve">- marking on a diagram </w:t>
      </w:r>
    </w:p>
    <w:p w:rsidR="006516B6" w:rsidRPr="006516B6" w:rsidRDefault="006516B6" w:rsidP="006516B6">
      <w:pPr>
        <w:tabs>
          <w:tab w:val="left" w:pos="540"/>
        </w:tabs>
        <w:spacing w:before="120" w:after="120"/>
        <w:rPr>
          <w:rFonts w:ascii="Calibri" w:eastAsiaTheme="minorEastAsia" w:hAnsi="Calibri"/>
          <w:i/>
          <w:sz w:val="22"/>
          <w:lang w:eastAsia="en-AU"/>
        </w:rPr>
      </w:pPr>
      <w:r w:rsidRPr="006516B6">
        <w:rPr>
          <w:rFonts w:ascii="Calibri" w:eastAsiaTheme="minorEastAsia" w:hAnsi="Calibri"/>
          <w:i/>
          <w:sz w:val="22"/>
          <w:lang w:eastAsia="en-AU"/>
        </w:rPr>
        <w:t>- indicating grid references on corresponding map/sketch</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 xml:space="preserve">Note: Details of Inspection activities must be provided to the Regulator (Condition </w:t>
      </w:r>
      <w:r w:rsidRPr="006516B6">
        <w:rPr>
          <w:rFonts w:ascii="Calibri" w:eastAsiaTheme="minorEastAsia" w:hAnsi="Calibri"/>
          <w:i/>
          <w:sz w:val="22"/>
          <w:lang w:eastAsia="en-AU"/>
        </w:rPr>
        <w:fldChar w:fldCharType="begin"/>
      </w:r>
      <w:r w:rsidRPr="006516B6">
        <w:rPr>
          <w:rFonts w:ascii="Calibri" w:eastAsiaTheme="minorEastAsia" w:hAnsi="Calibri"/>
          <w:i/>
          <w:sz w:val="22"/>
          <w:lang w:eastAsia="en-AU"/>
        </w:rPr>
        <w:instrText xml:space="preserve"> REF _Ref321303236 \r \h </w:instrText>
      </w:r>
      <w:r w:rsidRPr="006516B6">
        <w:rPr>
          <w:rFonts w:ascii="Calibri" w:eastAsiaTheme="minorEastAsia" w:hAnsi="Calibri"/>
          <w:i/>
          <w:sz w:val="22"/>
          <w:lang w:eastAsia="en-AU"/>
        </w:rPr>
      </w:r>
      <w:r w:rsidRPr="006516B6">
        <w:rPr>
          <w:rFonts w:ascii="Calibri" w:eastAsiaTheme="minorEastAsia" w:hAnsi="Calibri"/>
          <w:i/>
          <w:sz w:val="22"/>
          <w:lang w:eastAsia="en-AU"/>
        </w:rPr>
        <w:fldChar w:fldCharType="separate"/>
      </w:r>
      <w:r w:rsidRPr="006516B6">
        <w:rPr>
          <w:rFonts w:ascii="Calibri" w:eastAsiaTheme="minorEastAsia" w:hAnsi="Calibri"/>
          <w:i/>
          <w:sz w:val="22"/>
          <w:lang w:eastAsia="en-AU"/>
        </w:rPr>
        <w:t>51</w:t>
      </w:r>
      <w:r w:rsidRPr="006516B6">
        <w:rPr>
          <w:rFonts w:ascii="Calibri" w:eastAsiaTheme="minorEastAsia" w:hAnsi="Calibri"/>
          <w:i/>
          <w:sz w:val="22"/>
          <w:lang w:eastAsia="en-AU"/>
        </w:rPr>
        <w:fldChar w:fldCharType="end"/>
      </w:r>
      <w:r w:rsidRPr="006516B6">
        <w:rPr>
          <w:rFonts w:ascii="Calibri" w:eastAsiaTheme="minorEastAsia" w:hAnsi="Calibri"/>
          <w:i/>
          <w:sz w:val="22"/>
          <w:lang w:eastAsia="en-AU"/>
        </w:rPr>
        <w:t>(e)).</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73" w:name="_Ref323570541"/>
      <w:bookmarkStart w:id="74" w:name="_Ref352676417"/>
      <w:r w:rsidRPr="006516B6">
        <w:rPr>
          <w:rFonts w:ascii="Calibri" w:eastAsiaTheme="minorEastAsia" w:hAnsi="Calibri"/>
          <w:sz w:val="22"/>
          <w:lang w:eastAsia="en-AU"/>
        </w:rPr>
        <w:t>While post-harvest inspection requirements apply</w:t>
      </w:r>
      <w:bookmarkEnd w:id="73"/>
      <w:r w:rsidRPr="006516B6">
        <w:rPr>
          <w:rFonts w:ascii="Calibri" w:eastAsiaTheme="minorEastAsia" w:hAnsi="Calibri"/>
          <w:sz w:val="22"/>
          <w:lang w:eastAsia="en-AU"/>
        </w:rPr>
        <w:t xml:space="preserve"> to the Planting Area, Adjacent Area, Monitoring Zone and any associated areas:</w:t>
      </w:r>
      <w:bookmarkEnd w:id="74"/>
    </w:p>
    <w:p w:rsidR="006516B6" w:rsidRPr="006516B6" w:rsidRDefault="006516B6" w:rsidP="006516B6">
      <w:pPr>
        <w:numPr>
          <w:ilvl w:val="0"/>
          <w:numId w:val="24"/>
        </w:numPr>
        <w:spacing w:before="120" w:after="120"/>
        <w:ind w:left="851" w:hanging="567"/>
        <w:rPr>
          <w:rFonts w:ascii="Calibri" w:eastAsiaTheme="minorEastAsia" w:hAnsi="Calibri"/>
          <w:sz w:val="22"/>
          <w:lang w:eastAsia="en-AU"/>
        </w:rPr>
      </w:pPr>
      <w:bookmarkStart w:id="75" w:name="_Ref321308720"/>
      <w:r w:rsidRPr="006516B6">
        <w:rPr>
          <w:rFonts w:ascii="Calibri" w:eastAsiaTheme="minorEastAsia" w:hAnsi="Calibri"/>
          <w:sz w:val="22"/>
          <w:lang w:eastAsia="en-AU"/>
        </w:rPr>
        <w:t xml:space="preserve">the </w:t>
      </w:r>
      <w:bookmarkEnd w:id="75"/>
      <w:r w:rsidRPr="006516B6">
        <w:rPr>
          <w:rFonts w:ascii="Calibri" w:eastAsiaTheme="minorEastAsia" w:hAnsi="Calibri"/>
          <w:sz w:val="22"/>
          <w:lang w:eastAsia="en-AU"/>
        </w:rPr>
        <w:t xml:space="preserve">area must be maintained in a manner appropriate to allow identification of Volunteers; </w:t>
      </w:r>
    </w:p>
    <w:p w:rsidR="006516B6" w:rsidRPr="006516B6" w:rsidRDefault="006516B6" w:rsidP="006516B6">
      <w:pPr>
        <w:numPr>
          <w:ilvl w:val="0"/>
          <w:numId w:val="24"/>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the area may not be grazed by livestock; and</w:t>
      </w:r>
    </w:p>
    <w:p w:rsidR="006516B6" w:rsidRPr="006516B6" w:rsidRDefault="006516B6" w:rsidP="006516B6">
      <w:pPr>
        <w:numPr>
          <w:ilvl w:val="0"/>
          <w:numId w:val="24"/>
        </w:numPr>
        <w:spacing w:before="120" w:after="120"/>
        <w:ind w:left="851" w:hanging="567"/>
        <w:rPr>
          <w:rFonts w:ascii="Calibri" w:eastAsiaTheme="minorEastAsia" w:hAnsi="Calibri"/>
          <w:sz w:val="22"/>
          <w:lang w:eastAsia="en-AU"/>
        </w:rPr>
      </w:pPr>
      <w:r w:rsidRPr="006516B6">
        <w:rPr>
          <w:rFonts w:ascii="Calibri" w:eastAsiaTheme="minorEastAsia" w:hAnsi="Calibri"/>
          <w:sz w:val="22"/>
          <w:lang w:eastAsia="en-AU"/>
        </w:rPr>
        <w:t>no plants may intentionally be grown in the area unless the plants are:</w:t>
      </w:r>
    </w:p>
    <w:p w:rsidR="006516B6" w:rsidRPr="006516B6" w:rsidRDefault="006516B6" w:rsidP="006516B6">
      <w:pPr>
        <w:keepLines/>
        <w:numPr>
          <w:ilvl w:val="0"/>
          <w:numId w:val="22"/>
        </w:numPr>
        <w:spacing w:before="120" w:after="120"/>
        <w:ind w:hanging="447"/>
        <w:rPr>
          <w:rFonts w:ascii="Calibri" w:eastAsiaTheme="minorEastAsia" w:hAnsi="Calibri"/>
          <w:sz w:val="22"/>
          <w:lang w:eastAsia="en-AU"/>
        </w:rPr>
      </w:pPr>
      <w:r w:rsidRPr="006516B6">
        <w:rPr>
          <w:rFonts w:ascii="Calibri" w:eastAsiaTheme="minorEastAsia" w:hAnsi="Calibri"/>
          <w:sz w:val="22"/>
          <w:lang w:eastAsia="en-AU"/>
        </w:rPr>
        <w:t>the GMOs or non-GM Perennial Ryegrass, planted in accordance with the conditions of this licence; or</w:t>
      </w:r>
    </w:p>
    <w:p w:rsidR="006516B6" w:rsidRPr="006516B6" w:rsidRDefault="006516B6" w:rsidP="006516B6">
      <w:pPr>
        <w:keepLines/>
        <w:numPr>
          <w:ilvl w:val="0"/>
          <w:numId w:val="22"/>
        </w:numPr>
        <w:spacing w:before="120" w:after="120"/>
        <w:ind w:hanging="447"/>
        <w:rPr>
          <w:rFonts w:ascii="Calibri" w:eastAsiaTheme="minorEastAsia" w:hAnsi="Calibri"/>
          <w:sz w:val="22"/>
          <w:lang w:eastAsia="en-AU"/>
        </w:rPr>
      </w:pPr>
      <w:r w:rsidRPr="006516B6">
        <w:rPr>
          <w:rFonts w:ascii="Calibri" w:eastAsiaTheme="minorEastAsia" w:hAnsi="Calibri"/>
          <w:sz w:val="22"/>
          <w:lang w:eastAsia="en-AU"/>
        </w:rPr>
        <w:t>agreed to in writing by the Regulator.</w:t>
      </w:r>
    </w:p>
    <w:p w:rsidR="006516B6" w:rsidRPr="006516B6" w:rsidRDefault="006516B6" w:rsidP="006516B6">
      <w:pPr>
        <w:tabs>
          <w:tab w:val="left" w:pos="540"/>
        </w:tabs>
        <w:spacing w:before="120" w:after="120"/>
        <w:outlineLvl w:val="3"/>
        <w:rPr>
          <w:rFonts w:ascii="Calibri" w:eastAsiaTheme="minorEastAsia" w:hAnsi="Calibri"/>
          <w:b/>
          <w:sz w:val="22"/>
          <w:lang w:eastAsia="en-AU"/>
        </w:rPr>
      </w:pPr>
      <w:r w:rsidRPr="006516B6">
        <w:rPr>
          <w:rFonts w:ascii="Calibri" w:eastAsiaTheme="minorEastAsia" w:hAnsi="Calibri"/>
          <w:b/>
          <w:sz w:val="22"/>
          <w:lang w:eastAsia="en-AU"/>
        </w:rPr>
        <w:t>Contingency plan</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76" w:name="_Ref323628997"/>
      <w:r w:rsidRPr="006516B6">
        <w:rPr>
          <w:rFonts w:ascii="Calibri" w:eastAsiaTheme="minorEastAsia" w:hAnsi="Calibri"/>
          <w:sz w:val="22"/>
          <w:lang w:eastAsia="en-AU"/>
        </w:rPr>
        <w:t>If any unintentional presence of the GMOs is detected outside the areas requiring inspection, the contingency plan must be implemented.</w:t>
      </w:r>
      <w:bookmarkEnd w:id="76"/>
    </w:p>
    <w:p w:rsidR="006516B6" w:rsidRPr="006516B6" w:rsidRDefault="006516B6" w:rsidP="006516B6">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77" w:name="_Toc324322083"/>
      <w:bookmarkStart w:id="78" w:name="_Toc351560946"/>
      <w:bookmarkStart w:id="79" w:name="_Toc352933853"/>
      <w:bookmarkStart w:id="80" w:name="_Toc359232708"/>
      <w:bookmarkStart w:id="81" w:name="_Toc416348202"/>
      <w:bookmarkStart w:id="82" w:name="_Toc498090916"/>
      <w:r w:rsidRPr="006516B6">
        <w:rPr>
          <w:rFonts w:ascii="Calibri" w:eastAsiaTheme="minorEastAsia" w:hAnsi="Calibri" w:cs="Arial"/>
          <w:b/>
          <w:sz w:val="28"/>
          <w:szCs w:val="28"/>
          <w:lang w:eastAsia="en-AU"/>
        </w:rPr>
        <w:t>Sign off</w:t>
      </w:r>
      <w:bookmarkEnd w:id="77"/>
      <w:bookmarkEnd w:id="78"/>
      <w:bookmarkEnd w:id="79"/>
      <w:bookmarkEnd w:id="80"/>
      <w:bookmarkEnd w:id="81"/>
      <w:bookmarkEnd w:id="82"/>
    </w:p>
    <w:p w:rsidR="006516B6" w:rsidRPr="006516B6" w:rsidRDefault="006516B6" w:rsidP="006516B6">
      <w:pPr>
        <w:numPr>
          <w:ilvl w:val="0"/>
          <w:numId w:val="21"/>
        </w:numPr>
        <w:tabs>
          <w:tab w:val="left" w:pos="540"/>
          <w:tab w:val="num" w:pos="709"/>
        </w:tabs>
        <w:spacing w:before="120" w:after="120"/>
        <w:rPr>
          <w:rFonts w:ascii="Calibri" w:eastAsiaTheme="minorEastAsia" w:hAnsi="Calibri"/>
          <w:sz w:val="22"/>
          <w:lang w:eastAsia="en-AU"/>
        </w:rPr>
      </w:pPr>
      <w:bookmarkStart w:id="83" w:name="_Ref323571371"/>
      <w:r w:rsidRPr="006516B6">
        <w:rPr>
          <w:rFonts w:ascii="Calibri" w:eastAsiaTheme="minorEastAsia" w:hAnsi="Calibri"/>
          <w:sz w:val="22"/>
          <w:lang w:eastAsia="en-AU"/>
        </w:rPr>
        <w:t>The licence holder may make written application to the Regulator that planting restrictions and inspection requirements no longer apply to a Planting Area and associated areas if:</w:t>
      </w:r>
      <w:bookmarkEnd w:id="83"/>
    </w:p>
    <w:p w:rsidR="006516B6" w:rsidRPr="006516B6" w:rsidRDefault="006516B6" w:rsidP="006516B6">
      <w:pPr>
        <w:numPr>
          <w:ilvl w:val="0"/>
          <w:numId w:val="12"/>
        </w:numPr>
        <w:spacing w:before="120" w:after="120"/>
        <w:ind w:left="851" w:hanging="425"/>
        <w:rPr>
          <w:rFonts w:ascii="Calibri" w:eastAsiaTheme="minorEastAsia" w:hAnsi="Calibri"/>
          <w:sz w:val="22"/>
          <w:lang w:eastAsia="en-AU"/>
        </w:rPr>
      </w:pPr>
      <w:r w:rsidRPr="006516B6">
        <w:rPr>
          <w:rFonts w:ascii="Calibri" w:eastAsiaTheme="minorEastAsia" w:hAnsi="Calibri"/>
          <w:sz w:val="22"/>
          <w:lang w:eastAsia="en-AU"/>
        </w:rPr>
        <w:t xml:space="preserve">all post-harvest inspection activities have been conducted for at least 12 months on these areas; </w:t>
      </w:r>
    </w:p>
    <w:p w:rsidR="006516B6" w:rsidRPr="006516B6" w:rsidRDefault="006516B6" w:rsidP="006516B6">
      <w:pPr>
        <w:numPr>
          <w:ilvl w:val="0"/>
          <w:numId w:val="12"/>
        </w:numPr>
        <w:spacing w:before="120" w:after="120"/>
        <w:ind w:left="851" w:hanging="425"/>
        <w:rPr>
          <w:rFonts w:ascii="Calibri" w:eastAsiaTheme="minorEastAsia" w:hAnsi="Calibri"/>
          <w:sz w:val="22"/>
          <w:lang w:eastAsia="en-AU"/>
        </w:rPr>
      </w:pPr>
      <w:r w:rsidRPr="006516B6">
        <w:rPr>
          <w:rFonts w:ascii="Calibri" w:eastAsiaTheme="minorEastAsia" w:hAnsi="Calibri"/>
          <w:sz w:val="22"/>
          <w:lang w:eastAsia="en-AU"/>
        </w:rPr>
        <w:t>conditions have been conducive for germination and detection;</w:t>
      </w:r>
    </w:p>
    <w:p w:rsidR="006516B6" w:rsidRPr="006516B6" w:rsidRDefault="006516B6" w:rsidP="006516B6">
      <w:pPr>
        <w:numPr>
          <w:ilvl w:val="0"/>
          <w:numId w:val="12"/>
        </w:numPr>
        <w:spacing w:before="120" w:after="120"/>
        <w:ind w:left="851" w:hanging="425"/>
        <w:rPr>
          <w:rFonts w:ascii="Calibri" w:eastAsiaTheme="minorEastAsia" w:hAnsi="Calibri"/>
          <w:sz w:val="22"/>
          <w:lang w:eastAsia="en-AU"/>
        </w:rPr>
      </w:pPr>
      <w:r w:rsidRPr="006516B6">
        <w:rPr>
          <w:rFonts w:ascii="Calibri" w:eastAsiaTheme="minorEastAsia" w:hAnsi="Calibri"/>
          <w:sz w:val="22"/>
          <w:lang w:eastAsia="en-AU"/>
        </w:rPr>
        <w:t>the Planting Area</w:t>
      </w:r>
      <w:r w:rsidR="00A32308">
        <w:rPr>
          <w:rFonts w:ascii="Calibri" w:eastAsiaTheme="minorEastAsia" w:hAnsi="Calibri"/>
          <w:sz w:val="22"/>
          <w:lang w:eastAsia="en-AU"/>
        </w:rPr>
        <w:t>,</w:t>
      </w:r>
      <w:r w:rsidRPr="006516B6">
        <w:rPr>
          <w:rFonts w:ascii="Calibri" w:eastAsiaTheme="minorEastAsia" w:hAnsi="Calibri"/>
          <w:sz w:val="22"/>
          <w:lang w:eastAsia="en-AU"/>
        </w:rPr>
        <w:t xml:space="preserve"> Adjacent Area </w:t>
      </w:r>
      <w:r w:rsidR="00A32308">
        <w:rPr>
          <w:rFonts w:ascii="Calibri" w:eastAsiaTheme="minorEastAsia" w:hAnsi="Calibri"/>
          <w:sz w:val="22"/>
          <w:lang w:eastAsia="en-AU"/>
        </w:rPr>
        <w:t xml:space="preserve">and any area </w:t>
      </w:r>
      <w:r w:rsidR="00720885">
        <w:rPr>
          <w:rFonts w:ascii="Calibri" w:eastAsiaTheme="minorEastAsia" w:hAnsi="Calibri"/>
          <w:sz w:val="22"/>
          <w:lang w:eastAsia="en-AU"/>
        </w:rPr>
        <w:t xml:space="preserve">where seed may have been dispersed </w:t>
      </w:r>
      <w:r w:rsidRPr="006516B6">
        <w:rPr>
          <w:rFonts w:ascii="Calibri" w:eastAsiaTheme="minorEastAsia" w:hAnsi="Calibri"/>
          <w:sz w:val="22"/>
          <w:lang w:eastAsia="en-AU"/>
        </w:rPr>
        <w:t xml:space="preserve">have undergone at least one Tillage and irrigation event, where Tillage and irrigation both occur within a period of 14 days; </w:t>
      </w:r>
    </w:p>
    <w:p w:rsidR="006516B6" w:rsidRPr="006516B6" w:rsidRDefault="006516B6" w:rsidP="006516B6">
      <w:pPr>
        <w:numPr>
          <w:ilvl w:val="0"/>
          <w:numId w:val="12"/>
        </w:numPr>
        <w:spacing w:before="120" w:after="120"/>
        <w:ind w:left="851" w:hanging="425"/>
        <w:rPr>
          <w:rFonts w:ascii="Calibri" w:eastAsiaTheme="minorEastAsia" w:hAnsi="Calibri"/>
          <w:sz w:val="22"/>
          <w:lang w:eastAsia="en-AU"/>
        </w:rPr>
      </w:pPr>
      <w:r w:rsidRPr="006516B6">
        <w:rPr>
          <w:rFonts w:ascii="Calibri" w:eastAsiaTheme="minorEastAsia" w:hAnsi="Calibri"/>
          <w:sz w:val="22"/>
          <w:lang w:eastAsia="en-AU"/>
        </w:rPr>
        <w:t>no Volunteers that are GMOs have occurred after the most recent Tillage and irrigation event, as described in the previous clause; and</w:t>
      </w:r>
    </w:p>
    <w:p w:rsidR="006516B6" w:rsidRPr="006516B6" w:rsidRDefault="006516B6" w:rsidP="006516B6">
      <w:pPr>
        <w:numPr>
          <w:ilvl w:val="0"/>
          <w:numId w:val="12"/>
        </w:numPr>
        <w:spacing w:before="120" w:after="120"/>
        <w:ind w:left="851" w:hanging="425"/>
        <w:rPr>
          <w:rFonts w:ascii="Calibri" w:eastAsiaTheme="minorEastAsia" w:hAnsi="Calibri"/>
          <w:sz w:val="22"/>
          <w:lang w:eastAsia="en-AU"/>
        </w:rPr>
      </w:pPr>
      <w:r w:rsidRPr="006516B6">
        <w:rPr>
          <w:rFonts w:ascii="Calibri" w:eastAsiaTheme="minorEastAsia" w:hAnsi="Calibri"/>
          <w:sz w:val="22"/>
          <w:lang w:eastAsia="en-AU"/>
        </w:rPr>
        <w:lastRenderedPageBreak/>
        <w:t>no Volunteers that are GMOs have occurred in the most recent 6 month period.</w:t>
      </w:r>
    </w:p>
    <w:p w:rsidR="006516B6" w:rsidRPr="006516B6" w:rsidRDefault="006516B6" w:rsidP="006516B6">
      <w:pPr>
        <w:spacing w:before="120" w:after="120"/>
        <w:rPr>
          <w:rFonts w:ascii="Calibri" w:eastAsiaTheme="minorEastAsia" w:hAnsi="Calibri"/>
          <w:i/>
          <w:sz w:val="22"/>
          <w:lang w:eastAsia="en-AU"/>
        </w:rPr>
      </w:pPr>
      <w:r w:rsidRPr="006516B6">
        <w:rPr>
          <w:rFonts w:ascii="Calibri" w:eastAsiaTheme="minorEastAsia" w:hAnsi="Calibri"/>
          <w:i/>
          <w:sz w:val="22"/>
          <w:lang w:eastAsia="en-AU"/>
        </w:rPr>
        <w:t>Note: A period of natural rainfall may be taken as irrigation only with the agreement of the Regulator. Evidence (such as rainfall measurements, photos etc.) that the rainfall has been sufficient to promote germination should be provided.</w:t>
      </w:r>
    </w:p>
    <w:p w:rsidR="006516B6" w:rsidRPr="006516B6" w:rsidRDefault="006516B6" w:rsidP="006516B6">
      <w:pPr>
        <w:tabs>
          <w:tab w:val="left" w:pos="540"/>
        </w:tabs>
        <w:spacing w:before="120" w:after="120"/>
        <w:rPr>
          <w:rFonts w:ascii="Calibri" w:eastAsiaTheme="minorEastAsia" w:hAnsi="Calibri"/>
          <w:sz w:val="22"/>
          <w:lang w:eastAsia="en-AU"/>
        </w:rPr>
      </w:pPr>
      <w:r w:rsidRPr="006516B6">
        <w:rPr>
          <w:rFonts w:ascii="Calibri" w:eastAsiaTheme="minorEastAsia" w:hAnsi="Calibri"/>
          <w:i/>
          <w:sz w:val="22"/>
          <w:lang w:eastAsia="en-AU"/>
        </w:rPr>
        <w:t xml:space="preserve">Note: </w:t>
      </w:r>
      <w:r w:rsidRPr="006516B6">
        <w:rPr>
          <w:rFonts w:ascii="Calibri" w:eastAsiaTheme="minorEastAsia" w:hAnsi="Calibri"/>
          <w:i/>
          <w:sz w:val="22"/>
        </w:rPr>
        <w:t>The Regulator will take into account the management and inspection history for the Planting Area and associated areas, including post-harvest Tillage, irrigation, rainfall, application of herbicide and occurrence of Volunteers, in deciding whether or not further inspections are required to manage persistence of the GMOs.</w:t>
      </w:r>
    </w:p>
    <w:p w:rsidR="006516B6" w:rsidRPr="006516B6" w:rsidRDefault="006516B6" w:rsidP="006516B6">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84" w:name="_Toc324322084"/>
      <w:bookmarkStart w:id="85" w:name="_Toc351560947"/>
      <w:bookmarkStart w:id="86" w:name="_Toc352933854"/>
      <w:bookmarkStart w:id="87" w:name="_Toc359232709"/>
      <w:bookmarkStart w:id="88" w:name="_Toc416348203"/>
      <w:bookmarkStart w:id="89" w:name="_Toc498090917"/>
      <w:r w:rsidRPr="006516B6">
        <w:rPr>
          <w:rFonts w:ascii="Calibri" w:eastAsiaTheme="minorEastAsia" w:hAnsi="Calibri" w:cs="Arial"/>
          <w:b/>
          <w:sz w:val="28"/>
          <w:szCs w:val="28"/>
          <w:lang w:eastAsia="en-AU"/>
        </w:rPr>
        <w:t>Reporting and documentation</w:t>
      </w:r>
      <w:bookmarkEnd w:id="84"/>
      <w:bookmarkEnd w:id="85"/>
      <w:bookmarkEnd w:id="86"/>
      <w:bookmarkEnd w:id="87"/>
      <w:bookmarkEnd w:id="88"/>
      <w:bookmarkEnd w:id="89"/>
    </w:p>
    <w:p w:rsidR="006516B6" w:rsidRPr="006516B6" w:rsidRDefault="006516B6" w:rsidP="006516B6">
      <w:pPr>
        <w:tabs>
          <w:tab w:val="left" w:pos="540"/>
        </w:tabs>
        <w:spacing w:before="120" w:after="120"/>
        <w:rPr>
          <w:rFonts w:ascii="Calibri" w:eastAsiaTheme="minorEastAsia" w:hAnsi="Calibri"/>
          <w:i/>
          <w:sz w:val="22"/>
          <w:lang w:eastAsia="en-AU"/>
        </w:rPr>
      </w:pPr>
      <w:r w:rsidRPr="006516B6">
        <w:rPr>
          <w:rFonts w:ascii="Calibri" w:eastAsiaTheme="minorEastAsia" w:hAnsi="Calibri"/>
          <w:i/>
          <w:sz w:val="22"/>
          <w:lang w:eastAsia="en-AU"/>
        </w:rPr>
        <w:t xml:space="preserve">The following licence conditions are imposed to </w:t>
      </w:r>
      <w:r w:rsidRPr="006516B6">
        <w:rPr>
          <w:rFonts w:ascii="Calibri" w:eastAsiaTheme="minorEastAsia" w:hAnsi="Calibri"/>
          <w:i/>
          <w:iCs/>
          <w:sz w:val="22"/>
          <w:lang w:eastAsia="en-AU"/>
        </w:rPr>
        <w:t xml:space="preserve">demonstrate </w:t>
      </w:r>
      <w:r w:rsidRPr="006516B6">
        <w:rPr>
          <w:rFonts w:ascii="Calibri" w:eastAsiaTheme="minorEastAsia" w:hAnsi="Calibri"/>
          <w:i/>
          <w:sz w:val="22"/>
          <w:lang w:eastAsia="en-AU"/>
        </w:rPr>
        <w:t>compliance with other conditions, facilitate monitoring of compliance by staff of the OGTR, and emphasise appropriate selection of the planting area.</w:t>
      </w:r>
    </w:p>
    <w:p w:rsidR="006516B6" w:rsidRPr="006516B6" w:rsidRDefault="006516B6" w:rsidP="006516B6">
      <w:pPr>
        <w:numPr>
          <w:ilvl w:val="0"/>
          <w:numId w:val="21"/>
        </w:numPr>
        <w:tabs>
          <w:tab w:val="num" w:pos="709"/>
        </w:tabs>
        <w:spacing w:before="120" w:after="120"/>
        <w:rPr>
          <w:rFonts w:ascii="Calibri" w:eastAsiaTheme="minorEastAsia" w:hAnsi="Calibri"/>
          <w:sz w:val="22"/>
          <w:lang w:eastAsia="en-AU"/>
        </w:rPr>
      </w:pPr>
      <w:bookmarkStart w:id="90" w:name="_Ref321303236"/>
      <w:bookmarkStart w:id="91" w:name="_Ref323570151"/>
      <w:bookmarkStart w:id="92" w:name="_Ref323653445"/>
      <w:r w:rsidRPr="006516B6">
        <w:rPr>
          <w:rFonts w:ascii="Calibri" w:eastAsiaTheme="minorEastAsia" w:hAnsi="Calibri"/>
          <w:sz w:val="22"/>
          <w:lang w:eastAsia="en-AU"/>
        </w:rPr>
        <w:t>Notifications must be sent to the Regulator as follows:</w:t>
      </w:r>
      <w:bookmarkEnd w:id="90"/>
      <w:bookmarkEnd w:id="91"/>
      <w:bookmarkEnd w:id="92"/>
    </w:p>
    <w:tbl>
      <w:tblPr>
        <w:tblStyle w:val="TableGrid"/>
        <w:tblW w:w="9781" w:type="dxa"/>
        <w:tblInd w:w="108" w:type="dxa"/>
        <w:tblLook w:val="01E0" w:firstRow="1" w:lastRow="1" w:firstColumn="1" w:lastColumn="1" w:noHBand="0" w:noVBand="0"/>
        <w:tblDescription w:val="This table describes notifications that must be sent to the Regulator. The table has three columns, one each for Notice, Content of notice and Timeframe."/>
      </w:tblPr>
      <w:tblGrid>
        <w:gridCol w:w="1761"/>
        <w:gridCol w:w="5259"/>
        <w:gridCol w:w="2761"/>
      </w:tblGrid>
      <w:tr w:rsidR="006516B6" w:rsidRPr="006516B6" w:rsidTr="001B3706">
        <w:trPr>
          <w:cantSplit/>
          <w:tblHeader/>
        </w:trPr>
        <w:tc>
          <w:tcPr>
            <w:tcW w:w="1761" w:type="dxa"/>
            <w:shd w:val="clear" w:color="auto" w:fill="D9D9D9"/>
          </w:tcPr>
          <w:p w:rsidR="006516B6" w:rsidRPr="006516B6" w:rsidRDefault="006516B6" w:rsidP="006516B6">
            <w:pPr>
              <w:keepNext/>
              <w:spacing w:before="120" w:after="120"/>
              <w:rPr>
                <w:rFonts w:ascii="Arial Narrow" w:hAnsi="Arial Narrow"/>
                <w:b/>
                <w:sz w:val="20"/>
                <w:szCs w:val="20"/>
              </w:rPr>
            </w:pPr>
            <w:r w:rsidRPr="006516B6">
              <w:rPr>
                <w:rFonts w:ascii="Arial Narrow" w:hAnsi="Arial Narrow"/>
                <w:b/>
                <w:sz w:val="20"/>
                <w:szCs w:val="20"/>
              </w:rPr>
              <w:t>Notice</w:t>
            </w:r>
          </w:p>
        </w:tc>
        <w:tc>
          <w:tcPr>
            <w:tcW w:w="5259" w:type="dxa"/>
            <w:tcBorders>
              <w:bottom w:val="single" w:sz="4" w:space="0" w:color="auto"/>
            </w:tcBorders>
            <w:shd w:val="clear" w:color="auto" w:fill="D9D9D9"/>
          </w:tcPr>
          <w:p w:rsidR="006516B6" w:rsidRPr="006516B6" w:rsidRDefault="006516B6" w:rsidP="006516B6">
            <w:pPr>
              <w:keepNext/>
              <w:spacing w:before="120" w:after="120"/>
              <w:rPr>
                <w:rFonts w:ascii="Arial Narrow" w:hAnsi="Arial Narrow"/>
                <w:b/>
                <w:sz w:val="20"/>
                <w:szCs w:val="20"/>
              </w:rPr>
            </w:pPr>
            <w:r w:rsidRPr="006516B6">
              <w:rPr>
                <w:rFonts w:ascii="Arial Narrow" w:hAnsi="Arial Narrow"/>
                <w:b/>
                <w:sz w:val="20"/>
                <w:szCs w:val="20"/>
              </w:rPr>
              <w:t>Content of notice</w:t>
            </w:r>
          </w:p>
        </w:tc>
        <w:tc>
          <w:tcPr>
            <w:tcW w:w="2761" w:type="dxa"/>
            <w:shd w:val="clear" w:color="auto" w:fill="D9D9D9"/>
          </w:tcPr>
          <w:p w:rsidR="006516B6" w:rsidRPr="006516B6" w:rsidRDefault="00EA7CBD" w:rsidP="006516B6">
            <w:pPr>
              <w:keepNext/>
              <w:spacing w:before="120" w:after="120"/>
              <w:rPr>
                <w:rFonts w:ascii="Arial Narrow" w:hAnsi="Arial Narrow"/>
                <w:b/>
                <w:sz w:val="20"/>
                <w:szCs w:val="20"/>
              </w:rPr>
            </w:pPr>
            <w:r>
              <w:rPr>
                <w:rFonts w:ascii="Arial Narrow" w:hAnsi="Arial Narrow"/>
                <w:b/>
                <w:sz w:val="20"/>
                <w:szCs w:val="20"/>
              </w:rPr>
              <w:t xml:space="preserve">Reporting </w:t>
            </w:r>
            <w:r w:rsidR="006516B6" w:rsidRPr="006516B6">
              <w:rPr>
                <w:rFonts w:ascii="Arial Narrow" w:hAnsi="Arial Narrow"/>
                <w:b/>
                <w:sz w:val="20"/>
                <w:szCs w:val="20"/>
              </w:rPr>
              <w:t xml:space="preserve">Timeframe </w:t>
            </w:r>
          </w:p>
        </w:tc>
      </w:tr>
      <w:tr w:rsidR="006516B6" w:rsidRPr="006516B6" w:rsidTr="001B3706">
        <w:trPr>
          <w:cantSplit/>
          <w:trHeight w:val="1100"/>
        </w:trPr>
        <w:tc>
          <w:tcPr>
            <w:tcW w:w="1761" w:type="dxa"/>
          </w:tcPr>
          <w:p w:rsidR="006516B6" w:rsidRPr="006516B6" w:rsidRDefault="006516B6" w:rsidP="006516B6">
            <w:pPr>
              <w:numPr>
                <w:ilvl w:val="0"/>
                <w:numId w:val="8"/>
              </w:numPr>
              <w:tabs>
                <w:tab w:val="clear" w:pos="1440"/>
                <w:tab w:val="num" w:pos="318"/>
              </w:tabs>
              <w:spacing w:before="120" w:after="120"/>
              <w:ind w:left="318" w:hanging="318"/>
              <w:rPr>
                <w:rFonts w:ascii="Arial Narrow" w:hAnsi="Arial Narrow"/>
                <w:sz w:val="20"/>
                <w:szCs w:val="20"/>
              </w:rPr>
            </w:pPr>
            <w:bookmarkStart w:id="93" w:name="_Ref323571387"/>
            <w:r w:rsidRPr="006516B6">
              <w:rPr>
                <w:rFonts w:ascii="Arial Narrow" w:hAnsi="Arial Narrow"/>
                <w:sz w:val="20"/>
                <w:szCs w:val="20"/>
              </w:rPr>
              <w:t>Intention to Plant</w:t>
            </w:r>
            <w:bookmarkEnd w:id="93"/>
            <w:r w:rsidRPr="006516B6">
              <w:rPr>
                <w:rFonts w:ascii="Arial Narrow" w:hAnsi="Arial Narrow"/>
                <w:sz w:val="20"/>
                <w:szCs w:val="20"/>
              </w:rPr>
              <w:t xml:space="preserve"> </w:t>
            </w:r>
          </w:p>
        </w:tc>
        <w:tc>
          <w:tcPr>
            <w:tcW w:w="5259" w:type="dxa"/>
            <w:tcBorders>
              <w:bottom w:val="single" w:sz="4" w:space="0" w:color="auto"/>
            </w:tcBorders>
            <w:shd w:val="clear" w:color="auto" w:fill="auto"/>
          </w:tcPr>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Details of the Planting Area including size, the Local Government Area, GPS coordinates, a street address or other directions and a diagrammatical representation of the site (e.g. Google Maps)</w:t>
            </w:r>
          </w:p>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Identity of the GMOs to be planted at the Planting Area (e.g. lines or construct details)</w:t>
            </w:r>
          </w:p>
          <w:p w:rsidR="003C662B"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Date on which the GMOs will be planted</w:t>
            </w:r>
          </w:p>
          <w:p w:rsidR="006516B6" w:rsidRPr="006516B6" w:rsidRDefault="003C662B" w:rsidP="006516B6">
            <w:pPr>
              <w:numPr>
                <w:ilvl w:val="0"/>
                <w:numId w:val="38"/>
              </w:numPr>
              <w:spacing w:before="120" w:after="120"/>
              <w:ind w:left="399" w:hanging="283"/>
              <w:rPr>
                <w:rFonts w:ascii="Arial Narrow" w:hAnsi="Arial Narrow"/>
                <w:sz w:val="20"/>
                <w:szCs w:val="20"/>
              </w:rPr>
            </w:pPr>
            <w:r>
              <w:rPr>
                <w:rFonts w:ascii="Arial Narrow" w:hAnsi="Arial Narrow"/>
                <w:sz w:val="20"/>
                <w:szCs w:val="20"/>
              </w:rPr>
              <w:t>Dates on which</w:t>
            </w:r>
            <w:r w:rsidR="008971FB">
              <w:rPr>
                <w:rFonts w:ascii="Arial Narrow" w:hAnsi="Arial Narrow"/>
                <w:sz w:val="20"/>
                <w:szCs w:val="20"/>
              </w:rPr>
              <w:t xml:space="preserve"> the rodent control, Polyhouse Enclosure, Fence, Adjacent Area and Monitoring Zone will be put in place</w:t>
            </w:r>
          </w:p>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Period when the GMOs are expected to Flower</w:t>
            </w:r>
          </w:p>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Period when harvesting is expected to commence</w:t>
            </w:r>
          </w:p>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How all areas requiring post-harvest inspections are intended to be used until Sign-off, including the proposed post-harvest crop(s), if any</w:t>
            </w:r>
          </w:p>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Details on how inspection activities will be managed, including strategies for the detection and Destruction of Volunteers, Perennial Ryegrass or Related Species</w:t>
            </w:r>
          </w:p>
          <w:p w:rsidR="006516B6" w:rsidRPr="006516B6" w:rsidRDefault="006516B6" w:rsidP="006516B6">
            <w:pPr>
              <w:numPr>
                <w:ilvl w:val="0"/>
                <w:numId w:val="38"/>
              </w:numPr>
              <w:spacing w:before="120" w:after="120"/>
              <w:ind w:left="399" w:hanging="283"/>
              <w:rPr>
                <w:rFonts w:ascii="Arial Narrow" w:hAnsi="Arial Narrow"/>
                <w:sz w:val="20"/>
                <w:szCs w:val="20"/>
              </w:rPr>
            </w:pPr>
            <w:r w:rsidRPr="006516B6">
              <w:rPr>
                <w:rFonts w:ascii="Arial Narrow" w:hAnsi="Arial Narrow"/>
                <w:sz w:val="20"/>
                <w:szCs w:val="20"/>
              </w:rPr>
              <w:t>History of how the site has been used for the previous two years</w:t>
            </w:r>
          </w:p>
        </w:tc>
        <w:tc>
          <w:tcPr>
            <w:tcW w:w="2761" w:type="dxa"/>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At least 7 days prior to each planting (to be updated immediately if the notified details change)</w:t>
            </w:r>
          </w:p>
        </w:tc>
      </w:tr>
      <w:tr w:rsidR="006516B6" w:rsidRPr="006516B6" w:rsidTr="001B3706">
        <w:trPr>
          <w:cantSplit/>
        </w:trPr>
        <w:tc>
          <w:tcPr>
            <w:tcW w:w="1761" w:type="dxa"/>
          </w:tcPr>
          <w:p w:rsidR="006516B6" w:rsidRPr="006516B6" w:rsidRDefault="006516B6" w:rsidP="006516B6">
            <w:pPr>
              <w:numPr>
                <w:ilvl w:val="0"/>
                <w:numId w:val="8"/>
              </w:numPr>
              <w:tabs>
                <w:tab w:val="clear" w:pos="1440"/>
                <w:tab w:val="num" w:pos="318"/>
              </w:tabs>
              <w:spacing w:before="120" w:after="120"/>
              <w:ind w:left="318" w:hanging="318"/>
              <w:rPr>
                <w:rFonts w:ascii="Arial Narrow" w:hAnsi="Arial Narrow"/>
                <w:sz w:val="20"/>
                <w:szCs w:val="20"/>
              </w:rPr>
            </w:pPr>
            <w:bookmarkStart w:id="94" w:name="_Ref323914807"/>
            <w:r w:rsidRPr="006516B6">
              <w:rPr>
                <w:rFonts w:ascii="Arial Narrow" w:hAnsi="Arial Narrow"/>
                <w:sz w:val="20"/>
                <w:szCs w:val="20"/>
              </w:rPr>
              <w:t>Planting</w:t>
            </w:r>
            <w:bookmarkEnd w:id="94"/>
          </w:p>
        </w:tc>
        <w:tc>
          <w:tcPr>
            <w:tcW w:w="5259" w:type="dxa"/>
            <w:shd w:val="clear" w:color="auto" w:fill="auto"/>
          </w:tcPr>
          <w:p w:rsidR="006516B6" w:rsidRPr="006516B6" w:rsidRDefault="006516B6" w:rsidP="006516B6">
            <w:pPr>
              <w:numPr>
                <w:ilvl w:val="0"/>
                <w:numId w:val="20"/>
              </w:numPr>
              <w:spacing w:before="120" w:after="120"/>
              <w:ind w:left="399" w:hanging="283"/>
              <w:rPr>
                <w:rFonts w:ascii="Arial Narrow" w:hAnsi="Arial Narrow"/>
                <w:sz w:val="20"/>
                <w:szCs w:val="20"/>
              </w:rPr>
            </w:pPr>
            <w:r w:rsidRPr="006516B6">
              <w:rPr>
                <w:rFonts w:ascii="Arial Narrow" w:hAnsi="Arial Narrow"/>
                <w:sz w:val="20"/>
                <w:szCs w:val="20"/>
              </w:rPr>
              <w:t>Actual date(s) of planting the GMOs</w:t>
            </w:r>
          </w:p>
          <w:p w:rsidR="006516B6" w:rsidRPr="006516B6" w:rsidRDefault="006516B6" w:rsidP="006516B6">
            <w:pPr>
              <w:numPr>
                <w:ilvl w:val="0"/>
                <w:numId w:val="20"/>
              </w:numPr>
              <w:spacing w:before="120" w:after="120"/>
              <w:ind w:left="399" w:hanging="283"/>
              <w:rPr>
                <w:rFonts w:ascii="Arial Narrow" w:hAnsi="Arial Narrow"/>
                <w:sz w:val="20"/>
                <w:szCs w:val="20"/>
              </w:rPr>
            </w:pPr>
            <w:r w:rsidRPr="006516B6">
              <w:rPr>
                <w:rFonts w:ascii="Arial Narrow" w:hAnsi="Arial Narrow"/>
                <w:sz w:val="20"/>
                <w:szCs w:val="20"/>
              </w:rPr>
              <w:t>Any changes to the details provided under</w:t>
            </w:r>
            <w:r w:rsidRPr="006516B6">
              <w:rPr>
                <w:rFonts w:ascii="Arial Narrow" w:hAnsi="Arial Narrow"/>
                <w:sz w:val="20"/>
                <w:szCs w:val="20"/>
                <w:lang w:eastAsia="ja-JP"/>
              </w:rPr>
              <w:t xml:space="preserve"> part</w:t>
            </w:r>
            <w:r w:rsidRPr="006516B6">
              <w:rPr>
                <w:rFonts w:ascii="Arial Narrow" w:hAnsi="Arial Narrow"/>
                <w:sz w:val="20"/>
                <w:szCs w:val="20"/>
              </w:rPr>
              <w:t> </w:t>
            </w:r>
            <w:r w:rsidRPr="006516B6">
              <w:rPr>
                <w:rFonts w:ascii="Arial Narrow" w:hAnsi="Arial Narrow"/>
                <w:sz w:val="20"/>
                <w:szCs w:val="20"/>
              </w:rPr>
              <w:fldChar w:fldCharType="begin"/>
            </w:r>
            <w:r w:rsidRPr="006516B6">
              <w:rPr>
                <w:rFonts w:ascii="Arial Narrow" w:hAnsi="Arial Narrow"/>
                <w:sz w:val="20"/>
                <w:szCs w:val="20"/>
              </w:rPr>
              <w:instrText xml:space="preserve"> REF _Ref323571387 \r \h  \* MERGEFORMAT </w:instrText>
            </w:r>
            <w:r w:rsidRPr="006516B6">
              <w:rPr>
                <w:rFonts w:ascii="Arial Narrow" w:hAnsi="Arial Narrow"/>
                <w:sz w:val="20"/>
                <w:szCs w:val="20"/>
              </w:rPr>
            </w:r>
            <w:r w:rsidRPr="006516B6">
              <w:rPr>
                <w:rFonts w:ascii="Arial Narrow" w:hAnsi="Arial Narrow"/>
                <w:sz w:val="20"/>
                <w:szCs w:val="20"/>
              </w:rPr>
              <w:fldChar w:fldCharType="separate"/>
            </w:r>
            <w:r w:rsidRPr="006516B6">
              <w:rPr>
                <w:rFonts w:ascii="Arial Narrow" w:hAnsi="Arial Narrow"/>
                <w:sz w:val="20"/>
                <w:szCs w:val="20"/>
              </w:rPr>
              <w:t>(a)</w:t>
            </w:r>
            <w:r w:rsidRPr="006516B6">
              <w:rPr>
                <w:rFonts w:ascii="Arial Narrow" w:hAnsi="Arial Narrow"/>
                <w:sz w:val="20"/>
                <w:szCs w:val="20"/>
              </w:rPr>
              <w:fldChar w:fldCharType="end"/>
            </w:r>
            <w:r w:rsidRPr="006516B6">
              <w:rPr>
                <w:rFonts w:ascii="Arial Narrow" w:hAnsi="Arial Narrow"/>
                <w:sz w:val="20"/>
                <w:szCs w:val="20"/>
                <w:lang w:eastAsia="ja-JP"/>
              </w:rPr>
              <w:t xml:space="preserve"> of this condition.</w:t>
            </w:r>
          </w:p>
        </w:tc>
        <w:tc>
          <w:tcPr>
            <w:tcW w:w="2761" w:type="dxa"/>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 xml:space="preserve">Within 7 days of any planting </w:t>
            </w:r>
          </w:p>
        </w:tc>
      </w:tr>
      <w:tr w:rsidR="006516B6" w:rsidRPr="006516B6" w:rsidTr="001B3706">
        <w:trPr>
          <w:cantSplit/>
          <w:trHeight w:val="709"/>
        </w:trPr>
        <w:tc>
          <w:tcPr>
            <w:tcW w:w="1761" w:type="dxa"/>
          </w:tcPr>
          <w:p w:rsidR="006516B6" w:rsidRPr="006516B6" w:rsidRDefault="006516B6" w:rsidP="006516B6">
            <w:pPr>
              <w:numPr>
                <w:ilvl w:val="0"/>
                <w:numId w:val="8"/>
              </w:numPr>
              <w:tabs>
                <w:tab w:val="clear" w:pos="1440"/>
                <w:tab w:val="num" w:pos="318"/>
              </w:tabs>
              <w:spacing w:before="120" w:after="120"/>
              <w:ind w:left="318" w:hanging="318"/>
              <w:rPr>
                <w:rFonts w:ascii="Arial Narrow" w:hAnsi="Arial Narrow"/>
                <w:sz w:val="20"/>
                <w:szCs w:val="20"/>
              </w:rPr>
            </w:pPr>
            <w:bookmarkStart w:id="95" w:name="_Ref323914815"/>
            <w:r w:rsidRPr="006516B6">
              <w:rPr>
                <w:rFonts w:ascii="Arial Narrow" w:hAnsi="Arial Narrow"/>
                <w:sz w:val="20"/>
                <w:szCs w:val="20"/>
              </w:rPr>
              <w:t>Harvest</w:t>
            </w:r>
            <w:bookmarkEnd w:id="95"/>
          </w:p>
        </w:tc>
        <w:tc>
          <w:tcPr>
            <w:tcW w:w="5259" w:type="dxa"/>
            <w:tcBorders>
              <w:bottom w:val="single" w:sz="4" w:space="0" w:color="auto"/>
            </w:tcBorders>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Actual date(s) of harvesting or Destroying the GMOs.</w:t>
            </w:r>
          </w:p>
        </w:tc>
        <w:tc>
          <w:tcPr>
            <w:tcW w:w="2761" w:type="dxa"/>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 xml:space="preserve">Within 7 days of commencement of any harvesting. </w:t>
            </w:r>
          </w:p>
        </w:tc>
      </w:tr>
      <w:tr w:rsidR="006516B6" w:rsidRPr="006516B6" w:rsidTr="001B3706">
        <w:trPr>
          <w:cantSplit/>
          <w:trHeight w:val="709"/>
        </w:trPr>
        <w:tc>
          <w:tcPr>
            <w:tcW w:w="1761" w:type="dxa"/>
          </w:tcPr>
          <w:p w:rsidR="006516B6" w:rsidRPr="006516B6" w:rsidRDefault="006516B6" w:rsidP="006516B6">
            <w:pPr>
              <w:numPr>
                <w:ilvl w:val="0"/>
                <w:numId w:val="8"/>
              </w:numPr>
              <w:tabs>
                <w:tab w:val="clear" w:pos="1440"/>
                <w:tab w:val="num" w:pos="318"/>
              </w:tabs>
              <w:spacing w:before="120" w:after="120"/>
              <w:ind w:left="318" w:hanging="318"/>
              <w:rPr>
                <w:rFonts w:ascii="Arial Narrow" w:hAnsi="Arial Narrow"/>
                <w:sz w:val="20"/>
                <w:szCs w:val="20"/>
              </w:rPr>
            </w:pPr>
            <w:r w:rsidRPr="006516B6">
              <w:rPr>
                <w:rFonts w:ascii="Arial Narrow" w:hAnsi="Arial Narrow"/>
                <w:sz w:val="20"/>
                <w:szCs w:val="20"/>
              </w:rPr>
              <w:t>Cleaning</w:t>
            </w:r>
          </w:p>
        </w:tc>
        <w:tc>
          <w:tcPr>
            <w:tcW w:w="5259" w:type="dxa"/>
            <w:tcBorders>
              <w:bottom w:val="single" w:sz="4" w:space="0" w:color="auto"/>
            </w:tcBorders>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i. Actual date(s) on which any areas needing Cleaning were Cleaned.</w:t>
            </w:r>
          </w:p>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ii. Method of Cleaning</w:t>
            </w:r>
          </w:p>
        </w:tc>
        <w:tc>
          <w:tcPr>
            <w:tcW w:w="2761" w:type="dxa"/>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Within 7 days of completion of any Cleaning</w:t>
            </w:r>
          </w:p>
        </w:tc>
      </w:tr>
      <w:tr w:rsidR="006516B6" w:rsidRPr="006516B6" w:rsidTr="001B3706">
        <w:trPr>
          <w:cantSplit/>
        </w:trPr>
        <w:tc>
          <w:tcPr>
            <w:tcW w:w="1761" w:type="dxa"/>
          </w:tcPr>
          <w:p w:rsidR="006516B6" w:rsidRPr="006516B6" w:rsidRDefault="006516B6" w:rsidP="006516B6">
            <w:pPr>
              <w:numPr>
                <w:ilvl w:val="0"/>
                <w:numId w:val="8"/>
              </w:numPr>
              <w:tabs>
                <w:tab w:val="clear" w:pos="1440"/>
                <w:tab w:val="num" w:pos="318"/>
              </w:tabs>
              <w:spacing w:before="120" w:after="120"/>
              <w:ind w:left="318" w:hanging="318"/>
              <w:rPr>
                <w:rFonts w:ascii="Arial Narrow" w:hAnsi="Arial Narrow"/>
                <w:sz w:val="20"/>
                <w:szCs w:val="20"/>
              </w:rPr>
            </w:pPr>
            <w:bookmarkStart w:id="96" w:name="_Ref323570269"/>
            <w:r w:rsidRPr="006516B6">
              <w:rPr>
                <w:rFonts w:ascii="Arial Narrow" w:hAnsi="Arial Narrow"/>
                <w:sz w:val="20"/>
                <w:szCs w:val="20"/>
              </w:rPr>
              <w:t>Inspection activities</w:t>
            </w:r>
            <w:bookmarkEnd w:id="96"/>
            <w:r w:rsidRPr="006516B6">
              <w:rPr>
                <w:rFonts w:ascii="Arial Narrow" w:hAnsi="Arial Narrow"/>
                <w:sz w:val="20"/>
                <w:szCs w:val="20"/>
              </w:rPr>
              <w:t xml:space="preserve"> </w:t>
            </w:r>
          </w:p>
        </w:tc>
        <w:tc>
          <w:tcPr>
            <w:tcW w:w="5259" w:type="dxa"/>
            <w:shd w:val="clear" w:color="auto" w:fill="auto"/>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Information recorded in a Logbook as per the inspection requirements (Conditions 37, 46 and 47).</w:t>
            </w:r>
          </w:p>
        </w:tc>
        <w:tc>
          <w:tcPr>
            <w:tcW w:w="2761" w:type="dxa"/>
          </w:tcPr>
          <w:p w:rsidR="006516B6" w:rsidRPr="006516B6" w:rsidRDefault="006516B6" w:rsidP="006516B6">
            <w:pPr>
              <w:spacing w:before="120" w:after="120"/>
              <w:rPr>
                <w:rFonts w:ascii="Arial Narrow" w:hAnsi="Arial Narrow"/>
                <w:sz w:val="20"/>
                <w:szCs w:val="20"/>
              </w:rPr>
            </w:pPr>
            <w:r w:rsidRPr="006516B6">
              <w:rPr>
                <w:rFonts w:ascii="Arial Narrow" w:hAnsi="Arial Narrow"/>
                <w:sz w:val="20"/>
                <w:szCs w:val="20"/>
              </w:rPr>
              <w:t>Within 35 days of inspection</w:t>
            </w:r>
          </w:p>
        </w:tc>
      </w:tr>
    </w:tbl>
    <w:p w:rsidR="00972B16" w:rsidRPr="00947221" w:rsidRDefault="00972B16" w:rsidP="00972B16">
      <w:pPr>
        <w:tabs>
          <w:tab w:val="left" w:pos="540"/>
        </w:tabs>
        <w:spacing w:before="120" w:after="120"/>
        <w:rPr>
          <w:rFonts w:asciiTheme="minorHAnsi" w:hAnsiTheme="minorHAnsi"/>
          <w:sz w:val="22"/>
          <w:szCs w:val="22"/>
        </w:rPr>
        <w:sectPr w:rsidR="00972B16" w:rsidRPr="00947221" w:rsidSect="00CC046B">
          <w:footerReference w:type="default" r:id="rId15"/>
          <w:pgSz w:w="11906" w:h="16838" w:code="9"/>
          <w:pgMar w:top="1247" w:right="1361" w:bottom="1247" w:left="1361" w:header="680" w:footer="567" w:gutter="0"/>
          <w:cols w:space="708"/>
          <w:docGrid w:linePitch="360"/>
        </w:sectPr>
      </w:pPr>
      <w:r w:rsidRPr="002976F6">
        <w:rPr>
          <w:rFonts w:asciiTheme="minorHAnsi" w:hAnsiTheme="minorHAnsi"/>
          <w:i/>
          <w:sz w:val="22"/>
          <w:szCs w:val="22"/>
          <w:lang w:eastAsia="en-AU"/>
        </w:rPr>
        <w:lastRenderedPageBreak/>
        <w:t xml:space="preserve">Note: </w:t>
      </w:r>
      <w:r w:rsidRPr="002976F6">
        <w:rPr>
          <w:rFonts w:asciiTheme="minorHAnsi" w:hAnsiTheme="minorHAnsi"/>
          <w:i/>
          <w:sz w:val="22"/>
          <w:szCs w:val="22"/>
        </w:rPr>
        <w:t xml:space="preserve">Other reports and documents that may need to be sent to the Regulator are </w:t>
      </w:r>
      <w:r w:rsidR="00A54AA1">
        <w:rPr>
          <w:rFonts w:asciiTheme="minorHAnsi" w:hAnsiTheme="minorHAnsi"/>
          <w:i/>
          <w:sz w:val="22"/>
          <w:szCs w:val="22"/>
        </w:rPr>
        <w:t>listed in Attachment</w:t>
      </w:r>
      <w:r w:rsidR="00CC046B">
        <w:rPr>
          <w:rFonts w:asciiTheme="minorHAnsi" w:hAnsiTheme="minorHAnsi"/>
          <w:i/>
          <w:sz w:val="22"/>
          <w:szCs w:val="22"/>
        </w:rPr>
        <w:t> </w:t>
      </w:r>
      <w:r w:rsidR="00A54AA1">
        <w:rPr>
          <w:rFonts w:asciiTheme="minorHAnsi" w:hAnsiTheme="minorHAnsi"/>
          <w:i/>
          <w:sz w:val="22"/>
          <w:szCs w:val="22"/>
        </w:rPr>
        <w:t>B</w:t>
      </w:r>
      <w:r w:rsidR="00CC046B">
        <w:rPr>
          <w:rFonts w:asciiTheme="minorHAnsi" w:hAnsiTheme="minorHAnsi"/>
          <w:i/>
          <w:sz w:val="22"/>
          <w:szCs w:val="22"/>
        </w:rPr>
        <w:t>.</w:t>
      </w:r>
    </w:p>
    <w:p w:rsidR="00EA7F27" w:rsidRPr="004174EC" w:rsidRDefault="00EA7F27" w:rsidP="00EA7F27">
      <w:pPr>
        <w:tabs>
          <w:tab w:val="num" w:pos="851"/>
        </w:tabs>
        <w:jc w:val="right"/>
        <w:outlineLvl w:val="1"/>
        <w:rPr>
          <w:rFonts w:ascii="Calibri" w:eastAsia="Times New Roman" w:hAnsi="Calibri"/>
          <w:b/>
          <w:bCs/>
          <w:sz w:val="28"/>
          <w:szCs w:val="28"/>
          <w:lang w:eastAsia="en-AU"/>
        </w:rPr>
      </w:pPr>
      <w:r w:rsidRPr="004174EC">
        <w:rPr>
          <w:rFonts w:ascii="Calibri" w:eastAsia="Times New Roman" w:hAnsi="Calibri"/>
          <w:b/>
          <w:bCs/>
          <w:sz w:val="28"/>
          <w:szCs w:val="28"/>
          <w:lang w:eastAsia="en-AU"/>
        </w:rPr>
        <w:lastRenderedPageBreak/>
        <w:t>ATTACHMENT A</w:t>
      </w:r>
    </w:p>
    <w:p w:rsidR="00EA7F27" w:rsidRPr="004174EC" w:rsidRDefault="00EA7F27" w:rsidP="00EA7F27">
      <w:pPr>
        <w:tabs>
          <w:tab w:val="left" w:pos="90"/>
          <w:tab w:val="left" w:pos="2040"/>
          <w:tab w:val="left" w:pos="4975"/>
          <w:tab w:val="left" w:pos="6812"/>
        </w:tabs>
        <w:spacing w:after="120"/>
        <w:rPr>
          <w:rFonts w:ascii="Calibri" w:eastAsia="Times New Roman" w:hAnsi="Calibri"/>
          <w:b/>
          <w:bCs/>
          <w:sz w:val="22"/>
          <w:szCs w:val="22"/>
          <w:lang w:eastAsia="en-AU"/>
        </w:rPr>
      </w:pPr>
      <w:r w:rsidRPr="001D732D">
        <w:rPr>
          <w:rFonts w:ascii="Calibri" w:eastAsia="Times New Roman" w:hAnsi="Calibri"/>
          <w:b/>
          <w:bCs/>
          <w:sz w:val="22"/>
          <w:szCs w:val="22"/>
          <w:lang w:eastAsia="en-AU"/>
        </w:rPr>
        <w:t>DIR No: 1</w:t>
      </w:r>
      <w:r w:rsidR="001D732D" w:rsidRPr="001D732D">
        <w:rPr>
          <w:rFonts w:ascii="Calibri" w:eastAsia="Times New Roman" w:hAnsi="Calibri"/>
          <w:b/>
          <w:bCs/>
          <w:sz w:val="22"/>
          <w:szCs w:val="22"/>
          <w:lang w:eastAsia="en-AU"/>
        </w:rPr>
        <w:t>60</w:t>
      </w:r>
    </w:p>
    <w:p w:rsidR="00972B16" w:rsidRDefault="00EA7F27" w:rsidP="00972B16">
      <w:pPr>
        <w:spacing w:before="120"/>
        <w:ind w:left="2835" w:hanging="2835"/>
        <w:rPr>
          <w:rFonts w:ascii="Calibri" w:eastAsia="Times New Roman" w:hAnsi="Calibri"/>
          <w:bCs/>
          <w:sz w:val="22"/>
          <w:szCs w:val="22"/>
          <w:lang w:eastAsia="en-AU"/>
        </w:rPr>
      </w:pPr>
      <w:r w:rsidRPr="004174EC">
        <w:rPr>
          <w:rFonts w:ascii="Calibri" w:eastAsia="Times New Roman" w:hAnsi="Calibri"/>
          <w:b/>
          <w:bCs/>
          <w:sz w:val="22"/>
          <w:szCs w:val="22"/>
          <w:lang w:eastAsia="en-AU"/>
        </w:rPr>
        <w:t>Full Title:</w:t>
      </w:r>
      <w:r w:rsidRPr="004174EC">
        <w:rPr>
          <w:rFonts w:ascii="Calibri" w:eastAsia="Times New Roman" w:hAnsi="Calibri"/>
          <w:sz w:val="22"/>
          <w:szCs w:val="22"/>
          <w:lang w:eastAsia="en-AU"/>
        </w:rPr>
        <w:t xml:space="preserve"> </w:t>
      </w:r>
      <w:r w:rsidRPr="004174EC">
        <w:rPr>
          <w:rFonts w:ascii="Calibri" w:eastAsia="Times New Roman" w:hAnsi="Calibri"/>
          <w:sz w:val="22"/>
          <w:szCs w:val="22"/>
          <w:lang w:eastAsia="en-AU"/>
        </w:rPr>
        <w:tab/>
      </w:r>
      <w:r w:rsidR="00972B16" w:rsidRPr="00972B16">
        <w:rPr>
          <w:rFonts w:ascii="Calibri" w:eastAsia="Times New Roman" w:hAnsi="Calibri"/>
          <w:bCs/>
          <w:sz w:val="22"/>
          <w:szCs w:val="22"/>
          <w:lang w:eastAsia="en-AU"/>
        </w:rPr>
        <w:t xml:space="preserve">Limited and controlled release of </w:t>
      </w:r>
      <w:r w:rsidR="001D732D">
        <w:rPr>
          <w:rFonts w:ascii="Calibri" w:eastAsia="Times New Roman" w:hAnsi="Calibri"/>
          <w:bCs/>
          <w:sz w:val="22"/>
          <w:szCs w:val="22"/>
          <w:lang w:eastAsia="en-AU"/>
        </w:rPr>
        <w:t>perennial ryegrass</w:t>
      </w:r>
      <w:r w:rsidR="00972B16" w:rsidRPr="00972B16">
        <w:rPr>
          <w:rFonts w:ascii="Calibri" w:eastAsia="Times New Roman" w:hAnsi="Calibri"/>
          <w:bCs/>
          <w:sz w:val="22"/>
          <w:szCs w:val="22"/>
          <w:lang w:eastAsia="en-AU"/>
        </w:rPr>
        <w:t xml:space="preserve"> genetically modified for </w:t>
      </w:r>
      <w:r w:rsidR="001D732D">
        <w:rPr>
          <w:rFonts w:ascii="Calibri" w:eastAsia="Times New Roman" w:hAnsi="Calibri"/>
          <w:bCs/>
          <w:sz w:val="22"/>
          <w:szCs w:val="22"/>
          <w:lang w:eastAsia="en-AU"/>
        </w:rPr>
        <w:t>fructan biosynthesis</w:t>
      </w:r>
      <w:r w:rsidR="00972B16" w:rsidRPr="00972B16">
        <w:rPr>
          <w:rFonts w:ascii="Calibri" w:eastAsia="Times New Roman" w:hAnsi="Calibri"/>
          <w:bCs/>
          <w:sz w:val="22"/>
          <w:szCs w:val="22"/>
          <w:lang w:eastAsia="en-AU"/>
        </w:rPr>
        <w:t xml:space="preserve"> </w:t>
      </w:r>
    </w:p>
    <w:p w:rsidR="00EA7F27" w:rsidRPr="00F14C06" w:rsidRDefault="00EA7F27" w:rsidP="00972B16">
      <w:pPr>
        <w:spacing w:before="120"/>
        <w:ind w:left="2835" w:hanging="2835"/>
        <w:rPr>
          <w:rFonts w:ascii="Calibri" w:eastAsia="Times New Roman" w:hAnsi="Calibri"/>
          <w:b/>
          <w:bCs/>
          <w:sz w:val="22"/>
          <w:szCs w:val="22"/>
          <w:u w:val="single"/>
          <w:lang w:eastAsia="en-AU"/>
        </w:rPr>
      </w:pPr>
      <w:r w:rsidRPr="00F14C06">
        <w:rPr>
          <w:rFonts w:ascii="Calibri" w:eastAsia="Times New Roman" w:hAnsi="Calibri"/>
          <w:b/>
          <w:bCs/>
          <w:sz w:val="22"/>
          <w:szCs w:val="22"/>
          <w:u w:val="single"/>
          <w:lang w:eastAsia="en-AU"/>
        </w:rPr>
        <w:t>Organisation Details</w:t>
      </w:r>
    </w:p>
    <w:p w:rsidR="001D732D" w:rsidRPr="001D732D" w:rsidRDefault="00EA7F27" w:rsidP="001D732D">
      <w:pPr>
        <w:tabs>
          <w:tab w:val="left" w:pos="2835"/>
        </w:tabs>
        <w:ind w:left="2835" w:hanging="2835"/>
        <w:rPr>
          <w:rFonts w:ascii="Calibri" w:eastAsia="Times New Roman" w:hAnsi="Calibri"/>
          <w:sz w:val="22"/>
          <w:szCs w:val="22"/>
          <w:lang w:eastAsia="en-AU"/>
        </w:rPr>
      </w:pPr>
      <w:r w:rsidRPr="00F14C06">
        <w:rPr>
          <w:rFonts w:ascii="Calibri" w:eastAsia="Times New Roman" w:hAnsi="Calibri"/>
          <w:bCs/>
          <w:sz w:val="22"/>
          <w:szCs w:val="22"/>
          <w:lang w:eastAsia="en-AU"/>
        </w:rPr>
        <w:t>Postal address:</w:t>
      </w:r>
      <w:r w:rsidRPr="00F14C06">
        <w:rPr>
          <w:rFonts w:ascii="Calibri" w:eastAsia="Times New Roman" w:hAnsi="Calibri"/>
          <w:sz w:val="22"/>
          <w:szCs w:val="22"/>
          <w:lang w:eastAsia="en-AU"/>
        </w:rPr>
        <w:tab/>
      </w:r>
      <w:r w:rsidR="001D732D" w:rsidRPr="001D732D">
        <w:rPr>
          <w:rFonts w:ascii="Calibri" w:eastAsia="Times New Roman" w:hAnsi="Calibri"/>
          <w:sz w:val="22"/>
          <w:szCs w:val="22"/>
          <w:lang w:eastAsia="en-AU"/>
        </w:rPr>
        <w:t>Department of Economic Development, Jobs, Transport and</w:t>
      </w:r>
    </w:p>
    <w:p w:rsidR="004A77AB" w:rsidRPr="00F14C06" w:rsidRDefault="001D732D" w:rsidP="001D732D">
      <w:pPr>
        <w:tabs>
          <w:tab w:val="left" w:pos="2835"/>
        </w:tabs>
        <w:ind w:left="2835" w:hanging="2835"/>
        <w:rPr>
          <w:rFonts w:ascii="Calibri" w:eastAsia="Times New Roman" w:hAnsi="Calibri"/>
          <w:sz w:val="22"/>
          <w:szCs w:val="22"/>
          <w:lang w:eastAsia="en-AU"/>
        </w:rPr>
      </w:pPr>
      <w:r>
        <w:rPr>
          <w:rFonts w:ascii="Calibri" w:eastAsia="Times New Roman" w:hAnsi="Calibri"/>
          <w:sz w:val="22"/>
          <w:szCs w:val="22"/>
          <w:lang w:eastAsia="en-AU"/>
        </w:rPr>
        <w:tab/>
      </w:r>
      <w:r w:rsidRPr="001D732D">
        <w:rPr>
          <w:rFonts w:ascii="Calibri" w:eastAsia="Times New Roman" w:hAnsi="Calibri"/>
          <w:sz w:val="22"/>
          <w:szCs w:val="22"/>
          <w:lang w:eastAsia="en-AU"/>
        </w:rPr>
        <w:t>Resources</w:t>
      </w:r>
    </w:p>
    <w:p w:rsidR="00A206D7" w:rsidRDefault="004A77AB" w:rsidP="00463ABC">
      <w:pPr>
        <w:tabs>
          <w:tab w:val="left" w:pos="2835"/>
        </w:tabs>
        <w:ind w:left="2835" w:hanging="2835"/>
        <w:rPr>
          <w:rFonts w:ascii="Calibri" w:eastAsia="Times New Roman" w:hAnsi="Calibri"/>
          <w:sz w:val="22"/>
          <w:szCs w:val="22"/>
          <w:lang w:eastAsia="en-AU"/>
        </w:rPr>
      </w:pPr>
      <w:r w:rsidRPr="00F14C06">
        <w:rPr>
          <w:rFonts w:ascii="Calibri" w:eastAsia="Times New Roman" w:hAnsi="Calibri"/>
          <w:sz w:val="22"/>
          <w:szCs w:val="22"/>
          <w:lang w:eastAsia="en-AU"/>
        </w:rPr>
        <w:tab/>
      </w:r>
      <w:r w:rsidR="001D732D" w:rsidRPr="001D732D">
        <w:rPr>
          <w:rFonts w:ascii="Calibri" w:eastAsia="Times New Roman" w:hAnsi="Calibri"/>
          <w:sz w:val="22"/>
          <w:szCs w:val="22"/>
          <w:lang w:eastAsia="en-AU"/>
        </w:rPr>
        <w:t>5 Ring Rd</w:t>
      </w:r>
    </w:p>
    <w:p w:rsidR="001D732D" w:rsidRPr="00F14C06" w:rsidRDefault="001D732D" w:rsidP="00463ABC">
      <w:pPr>
        <w:tabs>
          <w:tab w:val="left" w:pos="2835"/>
        </w:tabs>
        <w:ind w:left="2835" w:hanging="2835"/>
        <w:rPr>
          <w:rFonts w:ascii="Calibri" w:eastAsia="Times New Roman" w:hAnsi="Calibri"/>
          <w:sz w:val="22"/>
          <w:szCs w:val="22"/>
          <w:lang w:eastAsia="en-AU"/>
        </w:rPr>
      </w:pPr>
      <w:r>
        <w:rPr>
          <w:rFonts w:ascii="Calibri" w:eastAsia="Times New Roman" w:hAnsi="Calibri"/>
          <w:sz w:val="22"/>
          <w:szCs w:val="22"/>
          <w:lang w:eastAsia="en-AU"/>
        </w:rPr>
        <w:tab/>
      </w:r>
      <w:r w:rsidRPr="001D732D">
        <w:rPr>
          <w:rFonts w:ascii="Calibri" w:eastAsia="Times New Roman" w:hAnsi="Calibri"/>
          <w:sz w:val="22"/>
          <w:szCs w:val="22"/>
          <w:lang w:eastAsia="en-AU"/>
        </w:rPr>
        <w:t>Bundoora</w:t>
      </w:r>
    </w:p>
    <w:p w:rsidR="00A206D7" w:rsidRPr="00F14C06" w:rsidRDefault="00A206D7" w:rsidP="00A206D7">
      <w:pPr>
        <w:tabs>
          <w:tab w:val="left" w:pos="2835"/>
        </w:tabs>
        <w:ind w:left="2835" w:hanging="2835"/>
        <w:rPr>
          <w:rFonts w:ascii="Calibri" w:eastAsia="Times New Roman" w:hAnsi="Calibri"/>
          <w:sz w:val="22"/>
          <w:szCs w:val="22"/>
        </w:rPr>
      </w:pPr>
      <w:r w:rsidRPr="00F14C06">
        <w:rPr>
          <w:rFonts w:ascii="Calibri" w:eastAsia="Times New Roman" w:hAnsi="Calibri"/>
          <w:sz w:val="22"/>
          <w:szCs w:val="22"/>
        </w:rPr>
        <w:tab/>
      </w:r>
      <w:r w:rsidR="001D732D">
        <w:rPr>
          <w:rFonts w:ascii="Calibri" w:eastAsia="Times New Roman" w:hAnsi="Calibri"/>
          <w:sz w:val="22"/>
          <w:szCs w:val="22"/>
        </w:rPr>
        <w:t>Victoria 3083</w:t>
      </w:r>
    </w:p>
    <w:p w:rsidR="00EA7F27" w:rsidRPr="00F14C06" w:rsidRDefault="00EA7F27" w:rsidP="00EA7F27">
      <w:pPr>
        <w:tabs>
          <w:tab w:val="left" w:pos="2835"/>
        </w:tabs>
        <w:ind w:left="2835" w:hanging="2835"/>
        <w:rPr>
          <w:rFonts w:ascii="Calibri" w:eastAsia="Times New Roman" w:hAnsi="Calibri"/>
          <w:sz w:val="22"/>
          <w:szCs w:val="22"/>
        </w:rPr>
      </w:pPr>
    </w:p>
    <w:p w:rsidR="00EA7F27" w:rsidRPr="00F14C06" w:rsidRDefault="00EA7F27" w:rsidP="00EA7F27">
      <w:pPr>
        <w:tabs>
          <w:tab w:val="left" w:pos="2835"/>
        </w:tabs>
        <w:ind w:left="2835" w:hanging="2835"/>
        <w:rPr>
          <w:rFonts w:ascii="Calibri" w:eastAsia="Times New Roman" w:hAnsi="Calibri"/>
          <w:sz w:val="22"/>
          <w:szCs w:val="22"/>
        </w:rPr>
      </w:pPr>
      <w:r w:rsidRPr="00F14C06">
        <w:rPr>
          <w:rFonts w:ascii="Calibri" w:eastAsia="Times New Roman" w:hAnsi="Calibri"/>
          <w:bCs/>
          <w:sz w:val="22"/>
          <w:szCs w:val="22"/>
        </w:rPr>
        <w:t>Phone No:</w:t>
      </w:r>
      <w:r w:rsidRPr="00F14C06">
        <w:rPr>
          <w:rFonts w:ascii="Calibri" w:eastAsia="Times New Roman" w:hAnsi="Calibri"/>
          <w:b/>
          <w:bCs/>
          <w:sz w:val="22"/>
          <w:szCs w:val="22"/>
        </w:rPr>
        <w:tab/>
      </w:r>
      <w:r w:rsidR="00F14C06" w:rsidRPr="00F14C06">
        <w:rPr>
          <w:rFonts w:ascii="Calibri" w:eastAsia="Times New Roman" w:hAnsi="Calibri"/>
          <w:bCs/>
          <w:sz w:val="22"/>
          <w:szCs w:val="22"/>
        </w:rPr>
        <w:t>(0</w:t>
      </w:r>
      <w:r w:rsidR="001D732D">
        <w:rPr>
          <w:rFonts w:ascii="Calibri" w:eastAsia="Times New Roman" w:hAnsi="Calibri"/>
          <w:bCs/>
          <w:sz w:val="22"/>
          <w:szCs w:val="22"/>
        </w:rPr>
        <w:t>3</w:t>
      </w:r>
      <w:r w:rsidR="00F14C06" w:rsidRPr="00F14C06">
        <w:rPr>
          <w:rFonts w:ascii="Calibri" w:eastAsia="Times New Roman" w:hAnsi="Calibri"/>
          <w:bCs/>
          <w:sz w:val="22"/>
          <w:szCs w:val="22"/>
        </w:rPr>
        <w:t xml:space="preserve">) </w:t>
      </w:r>
      <w:r w:rsidR="001D732D">
        <w:rPr>
          <w:rFonts w:ascii="Calibri" w:eastAsia="Times New Roman" w:hAnsi="Calibri"/>
          <w:bCs/>
          <w:sz w:val="22"/>
          <w:szCs w:val="22"/>
        </w:rPr>
        <w:t>9032 7000</w:t>
      </w:r>
    </w:p>
    <w:p w:rsidR="00EA7F27" w:rsidRPr="00CC046B" w:rsidRDefault="00EA7F27" w:rsidP="00EA7F27">
      <w:pPr>
        <w:tabs>
          <w:tab w:val="left" w:pos="2835"/>
        </w:tabs>
        <w:ind w:left="2835" w:hanging="2835"/>
        <w:rPr>
          <w:rFonts w:ascii="Calibri" w:eastAsia="Times New Roman" w:hAnsi="Calibri"/>
          <w:sz w:val="22"/>
          <w:szCs w:val="22"/>
          <w:highlight w:val="yellow"/>
        </w:rPr>
      </w:pPr>
    </w:p>
    <w:p w:rsidR="00EA7F27" w:rsidRPr="00F14C06" w:rsidRDefault="00EA7F27" w:rsidP="00EA7F27">
      <w:pPr>
        <w:tabs>
          <w:tab w:val="left" w:pos="2835"/>
        </w:tabs>
        <w:ind w:left="2835" w:hanging="2835"/>
        <w:rPr>
          <w:rFonts w:ascii="Calibri" w:eastAsia="Times New Roman" w:hAnsi="Calibri"/>
          <w:b/>
          <w:sz w:val="22"/>
          <w:szCs w:val="22"/>
          <w:u w:val="single"/>
          <w:lang w:eastAsia="en-AU"/>
        </w:rPr>
      </w:pPr>
      <w:r w:rsidRPr="00F14C06">
        <w:rPr>
          <w:rFonts w:ascii="Calibri" w:eastAsia="Times New Roman" w:hAnsi="Calibri"/>
          <w:b/>
          <w:sz w:val="22"/>
          <w:szCs w:val="22"/>
          <w:u w:val="single"/>
          <w:lang w:eastAsia="en-AU"/>
        </w:rPr>
        <w:t>IBC Details</w:t>
      </w:r>
    </w:p>
    <w:p w:rsidR="00EA7F27" w:rsidRPr="00F14C06" w:rsidRDefault="00EA7F27" w:rsidP="00EA7F27">
      <w:pPr>
        <w:tabs>
          <w:tab w:val="left" w:pos="2835"/>
        </w:tabs>
        <w:ind w:left="2835" w:hanging="2835"/>
        <w:rPr>
          <w:rFonts w:ascii="Calibri" w:eastAsia="Times New Roman" w:hAnsi="Calibri"/>
          <w:sz w:val="22"/>
          <w:szCs w:val="22"/>
          <w:lang w:eastAsia="en-AU"/>
        </w:rPr>
      </w:pPr>
      <w:r w:rsidRPr="00F14C06">
        <w:rPr>
          <w:rFonts w:ascii="Calibri" w:eastAsia="Times New Roman" w:hAnsi="Calibri"/>
          <w:bCs/>
          <w:sz w:val="22"/>
          <w:szCs w:val="22"/>
          <w:lang w:eastAsia="en-AU"/>
        </w:rPr>
        <w:t>IBC Name:</w:t>
      </w:r>
      <w:r w:rsidRPr="00F14C06">
        <w:rPr>
          <w:rFonts w:ascii="Calibri" w:eastAsia="Times New Roman" w:hAnsi="Calibri"/>
          <w:sz w:val="22"/>
          <w:szCs w:val="22"/>
          <w:lang w:eastAsia="en-AU"/>
        </w:rPr>
        <w:t xml:space="preserve"> </w:t>
      </w:r>
      <w:r w:rsidRPr="00F14C06">
        <w:rPr>
          <w:rFonts w:ascii="Calibri" w:eastAsia="Times New Roman" w:hAnsi="Calibri"/>
          <w:sz w:val="22"/>
          <w:szCs w:val="22"/>
          <w:lang w:eastAsia="en-AU"/>
        </w:rPr>
        <w:tab/>
      </w:r>
      <w:r w:rsidR="001B3706">
        <w:rPr>
          <w:rFonts w:ascii="Calibri" w:eastAsia="Times New Roman" w:hAnsi="Calibri"/>
          <w:sz w:val="22"/>
          <w:szCs w:val="22"/>
          <w:lang w:eastAsia="en-AU"/>
        </w:rPr>
        <w:t xml:space="preserve">Biosciences Research </w:t>
      </w:r>
      <w:r w:rsidR="00463ABC" w:rsidRPr="00F14C06">
        <w:rPr>
          <w:rFonts w:ascii="Calibri" w:eastAsia="Times New Roman" w:hAnsi="Calibri"/>
          <w:sz w:val="22"/>
          <w:szCs w:val="22"/>
          <w:lang w:eastAsia="en-AU"/>
        </w:rPr>
        <w:t>Institutional Biosafety Committee</w:t>
      </w:r>
    </w:p>
    <w:p w:rsidR="00EA7F27" w:rsidRPr="00F14C06" w:rsidRDefault="00EA7F27" w:rsidP="00EA7F27">
      <w:pPr>
        <w:spacing w:before="240"/>
        <w:ind w:left="2835" w:hanging="2835"/>
        <w:rPr>
          <w:rFonts w:ascii="Calibri" w:eastAsia="Times New Roman" w:hAnsi="Calibri"/>
          <w:b/>
          <w:sz w:val="22"/>
          <w:szCs w:val="22"/>
          <w:u w:val="single"/>
          <w:lang w:eastAsia="en-AU"/>
        </w:rPr>
      </w:pPr>
      <w:r w:rsidRPr="00F14C06">
        <w:rPr>
          <w:rFonts w:ascii="Calibri" w:eastAsia="Times New Roman" w:hAnsi="Calibri"/>
          <w:b/>
          <w:sz w:val="22"/>
          <w:szCs w:val="22"/>
          <w:u w:val="single"/>
          <w:lang w:eastAsia="en-AU"/>
        </w:rPr>
        <w:t>GMO Description</w:t>
      </w:r>
    </w:p>
    <w:p w:rsidR="00EA7F27" w:rsidRPr="00F14C06" w:rsidRDefault="00EA7F27" w:rsidP="00EA7F27">
      <w:pPr>
        <w:tabs>
          <w:tab w:val="left" w:pos="0"/>
        </w:tabs>
        <w:spacing w:before="120"/>
        <w:rPr>
          <w:rFonts w:ascii="Calibri" w:eastAsia="Times New Roman" w:hAnsi="Calibri"/>
          <w:b/>
          <w:bCs/>
          <w:sz w:val="22"/>
          <w:szCs w:val="22"/>
          <w:lang w:eastAsia="en-AU"/>
        </w:rPr>
      </w:pPr>
      <w:r w:rsidRPr="00F14C06">
        <w:rPr>
          <w:rFonts w:ascii="Calibri" w:eastAsia="Times New Roman" w:hAnsi="Calibri"/>
          <w:b/>
          <w:bCs/>
          <w:sz w:val="22"/>
          <w:szCs w:val="22"/>
          <w:lang w:eastAsia="en-AU"/>
        </w:rPr>
        <w:t>GMOs covered by this licence:</w:t>
      </w:r>
    </w:p>
    <w:p w:rsidR="00EA7F27" w:rsidRPr="00F14C06" w:rsidRDefault="001B3706" w:rsidP="00EA7F27">
      <w:pPr>
        <w:tabs>
          <w:tab w:val="left" w:pos="90"/>
        </w:tabs>
        <w:spacing w:before="120"/>
        <w:rPr>
          <w:rFonts w:ascii="Calibri" w:eastAsia="Times New Roman" w:hAnsi="Calibri"/>
          <w:bCs/>
          <w:sz w:val="22"/>
          <w:szCs w:val="22"/>
          <w:lang w:eastAsia="en-AU"/>
        </w:rPr>
      </w:pPr>
      <w:r>
        <w:rPr>
          <w:rFonts w:ascii="Calibri" w:eastAsia="Times New Roman" w:hAnsi="Calibri"/>
          <w:iCs/>
          <w:sz w:val="22"/>
          <w:szCs w:val="22"/>
          <w:lang w:eastAsia="en-AU"/>
        </w:rPr>
        <w:t>Perennial ryegrass</w:t>
      </w:r>
      <w:r w:rsidR="00493167" w:rsidRPr="00F14C06">
        <w:rPr>
          <w:rFonts w:ascii="Calibri" w:eastAsia="Times New Roman" w:hAnsi="Calibri"/>
          <w:iCs/>
          <w:sz w:val="22"/>
          <w:szCs w:val="22"/>
          <w:lang w:eastAsia="en-AU"/>
        </w:rPr>
        <w:t xml:space="preserve"> plants </w:t>
      </w:r>
      <w:r w:rsidR="00EA2339" w:rsidRPr="00F14C06">
        <w:rPr>
          <w:rFonts w:ascii="Calibri" w:eastAsia="Times New Roman" w:hAnsi="Calibri"/>
          <w:iCs/>
          <w:sz w:val="22"/>
          <w:szCs w:val="22"/>
          <w:lang w:eastAsia="en-AU"/>
        </w:rPr>
        <w:t>genetically modified by in</w:t>
      </w:r>
      <w:r w:rsidR="005F1F42" w:rsidRPr="00F14C06">
        <w:rPr>
          <w:rFonts w:ascii="Calibri" w:eastAsia="Times New Roman" w:hAnsi="Calibri"/>
          <w:iCs/>
          <w:sz w:val="22"/>
          <w:szCs w:val="22"/>
          <w:lang w:eastAsia="en-AU"/>
        </w:rPr>
        <w:t>troduction</w:t>
      </w:r>
      <w:r w:rsidR="00EA2339" w:rsidRPr="00F14C06">
        <w:rPr>
          <w:rFonts w:ascii="Calibri" w:eastAsia="Times New Roman" w:hAnsi="Calibri"/>
          <w:iCs/>
          <w:sz w:val="22"/>
          <w:szCs w:val="22"/>
          <w:lang w:eastAsia="en-AU"/>
        </w:rPr>
        <w:t xml:space="preserve"> of </w:t>
      </w:r>
      <w:r w:rsidR="005F1F42" w:rsidRPr="00F14C06">
        <w:rPr>
          <w:rFonts w:ascii="Calibri" w:eastAsia="Times New Roman" w:hAnsi="Calibri"/>
          <w:iCs/>
          <w:sz w:val="22"/>
          <w:szCs w:val="22"/>
          <w:lang w:eastAsia="en-AU"/>
        </w:rPr>
        <w:t xml:space="preserve">only </w:t>
      </w:r>
      <w:r>
        <w:rPr>
          <w:rFonts w:ascii="Calibri" w:eastAsia="Times New Roman" w:hAnsi="Calibri"/>
          <w:iCs/>
          <w:sz w:val="22"/>
          <w:szCs w:val="22"/>
          <w:lang w:eastAsia="en-AU"/>
        </w:rPr>
        <w:t>the</w:t>
      </w:r>
      <w:r w:rsidR="005F1F42" w:rsidRPr="00F14C06">
        <w:rPr>
          <w:rFonts w:ascii="Calibri" w:eastAsia="Times New Roman" w:hAnsi="Calibri"/>
          <w:iCs/>
          <w:sz w:val="22"/>
          <w:szCs w:val="22"/>
          <w:lang w:eastAsia="en-AU"/>
        </w:rPr>
        <w:t xml:space="preserve"> genetic elements listed </w:t>
      </w:r>
      <w:r w:rsidR="00D46EE9" w:rsidRPr="00F14C06">
        <w:rPr>
          <w:rFonts w:ascii="Calibri" w:eastAsia="Times New Roman" w:hAnsi="Calibri"/>
          <w:iCs/>
          <w:sz w:val="22"/>
          <w:szCs w:val="22"/>
          <w:lang w:eastAsia="en-AU"/>
        </w:rPr>
        <w:t>below</w:t>
      </w:r>
      <w:r w:rsidR="00F14C06">
        <w:rPr>
          <w:rFonts w:ascii="Calibri" w:eastAsia="Times New Roman" w:hAnsi="Calibri"/>
          <w:iCs/>
          <w:sz w:val="22"/>
          <w:szCs w:val="22"/>
          <w:lang w:eastAsia="en-AU"/>
        </w:rPr>
        <w:t>.</w:t>
      </w:r>
    </w:p>
    <w:p w:rsidR="00EA7F27" w:rsidRPr="00F14C06" w:rsidRDefault="00EA7F27" w:rsidP="00EA7F27">
      <w:pPr>
        <w:tabs>
          <w:tab w:val="left" w:pos="90"/>
        </w:tabs>
        <w:spacing w:before="120"/>
        <w:rPr>
          <w:rFonts w:ascii="Calibri" w:eastAsia="Times New Roman" w:hAnsi="Calibri"/>
          <w:b/>
          <w:bCs/>
          <w:sz w:val="22"/>
          <w:szCs w:val="22"/>
          <w:lang w:eastAsia="en-AU"/>
        </w:rPr>
      </w:pPr>
      <w:r w:rsidRPr="00F14C06">
        <w:rPr>
          <w:rFonts w:ascii="Calibri" w:eastAsia="Times New Roman" w:hAnsi="Calibri"/>
          <w:b/>
          <w:bCs/>
          <w:sz w:val="22"/>
          <w:szCs w:val="22"/>
          <w:lang w:eastAsia="en-AU"/>
        </w:rPr>
        <w:t>Par</w:t>
      </w:r>
      <w:r w:rsidR="00EA2339" w:rsidRPr="00F14C06">
        <w:rPr>
          <w:rFonts w:ascii="Calibri" w:eastAsia="Times New Roman" w:hAnsi="Calibri"/>
          <w:b/>
          <w:bCs/>
          <w:sz w:val="22"/>
          <w:szCs w:val="22"/>
          <w:lang w:eastAsia="en-AU"/>
        </w:rPr>
        <w:t>ent Organism</w:t>
      </w:r>
      <w:r w:rsidRPr="00F14C06">
        <w:rPr>
          <w:rFonts w:ascii="Calibri" w:eastAsia="Times New Roman" w:hAnsi="Calibri"/>
          <w:b/>
          <w:bCs/>
          <w:sz w:val="22"/>
          <w:szCs w:val="22"/>
          <w:lang w:eastAsia="en-AU"/>
        </w:rPr>
        <w:t>:</w:t>
      </w:r>
    </w:p>
    <w:p w:rsidR="00EA7F27" w:rsidRPr="00F14C06" w:rsidRDefault="00EA2339" w:rsidP="00EA7F27">
      <w:pPr>
        <w:tabs>
          <w:tab w:val="left" w:pos="90"/>
        </w:tabs>
        <w:spacing w:before="120"/>
        <w:rPr>
          <w:rFonts w:ascii="Calibri" w:eastAsia="Times New Roman" w:hAnsi="Calibri"/>
          <w:sz w:val="22"/>
          <w:szCs w:val="22"/>
          <w:lang w:eastAsia="en-AU"/>
        </w:rPr>
      </w:pPr>
      <w:r w:rsidRPr="00F14C06">
        <w:rPr>
          <w:rFonts w:ascii="Calibri" w:eastAsia="Times New Roman" w:hAnsi="Calibri"/>
          <w:sz w:val="22"/>
          <w:szCs w:val="22"/>
          <w:lang w:eastAsia="en-AU"/>
        </w:rPr>
        <w:t>Common Name</w:t>
      </w:r>
      <w:r w:rsidR="00EA7F27" w:rsidRPr="00F14C06">
        <w:rPr>
          <w:rFonts w:ascii="Calibri" w:eastAsia="Times New Roman" w:hAnsi="Calibri"/>
          <w:sz w:val="22"/>
          <w:szCs w:val="22"/>
          <w:lang w:eastAsia="en-AU"/>
        </w:rPr>
        <w:t>:</w:t>
      </w:r>
      <w:r w:rsidR="00EA7F27" w:rsidRPr="00F14C06">
        <w:rPr>
          <w:rFonts w:ascii="Calibri" w:eastAsia="Times New Roman" w:hAnsi="Calibri"/>
          <w:sz w:val="22"/>
          <w:szCs w:val="22"/>
          <w:lang w:eastAsia="en-AU"/>
        </w:rPr>
        <w:tab/>
      </w:r>
      <w:r w:rsidR="00EA7F27" w:rsidRPr="00F14C06">
        <w:rPr>
          <w:rFonts w:ascii="Calibri" w:eastAsia="Times New Roman" w:hAnsi="Calibri"/>
          <w:sz w:val="22"/>
          <w:szCs w:val="22"/>
          <w:lang w:eastAsia="en-AU"/>
        </w:rPr>
        <w:tab/>
      </w:r>
      <w:r w:rsidR="001B3706">
        <w:rPr>
          <w:rFonts w:ascii="Calibri" w:eastAsia="Times New Roman" w:hAnsi="Calibri"/>
          <w:sz w:val="22"/>
          <w:szCs w:val="22"/>
          <w:lang w:eastAsia="en-AU"/>
        </w:rPr>
        <w:t>Perennial ryegrass</w:t>
      </w:r>
    </w:p>
    <w:p w:rsidR="00EA7F27" w:rsidRPr="00F14C06" w:rsidRDefault="00EA2339" w:rsidP="000F3FA2">
      <w:pPr>
        <w:tabs>
          <w:tab w:val="left" w:pos="90"/>
        </w:tabs>
        <w:spacing w:before="120"/>
        <w:ind w:left="2880" w:hanging="2880"/>
        <w:rPr>
          <w:rFonts w:ascii="Calibri" w:eastAsia="Times New Roman" w:hAnsi="Calibri"/>
          <w:sz w:val="22"/>
          <w:szCs w:val="22"/>
          <w:lang w:eastAsia="en-AU"/>
        </w:rPr>
      </w:pPr>
      <w:r w:rsidRPr="00F14C06">
        <w:rPr>
          <w:rFonts w:ascii="Calibri" w:eastAsia="Times New Roman" w:hAnsi="Calibri"/>
          <w:sz w:val="22"/>
          <w:szCs w:val="22"/>
          <w:lang w:eastAsia="en-AU"/>
        </w:rPr>
        <w:t>Scientific Name</w:t>
      </w:r>
      <w:r w:rsidR="00EA7F27" w:rsidRPr="00F14C06">
        <w:rPr>
          <w:rFonts w:ascii="Calibri" w:eastAsia="Times New Roman" w:hAnsi="Calibri"/>
          <w:sz w:val="22"/>
          <w:szCs w:val="22"/>
          <w:lang w:eastAsia="en-AU"/>
        </w:rPr>
        <w:t>:</w:t>
      </w:r>
      <w:r w:rsidR="00EA7F27" w:rsidRPr="00F14C06">
        <w:rPr>
          <w:rFonts w:ascii="Calibri" w:eastAsia="Times New Roman" w:hAnsi="Calibri"/>
          <w:sz w:val="22"/>
          <w:szCs w:val="22"/>
          <w:lang w:eastAsia="en-AU"/>
        </w:rPr>
        <w:tab/>
      </w:r>
      <w:r w:rsidR="001B3706" w:rsidRPr="001B3706">
        <w:rPr>
          <w:rFonts w:ascii="Calibri" w:eastAsia="Times New Roman" w:hAnsi="Calibri"/>
          <w:i/>
          <w:sz w:val="22"/>
          <w:szCs w:val="22"/>
          <w:lang w:eastAsia="en-AU"/>
        </w:rPr>
        <w:t>Lolium perenne</w:t>
      </w:r>
      <w:r w:rsidR="001B3706">
        <w:rPr>
          <w:rFonts w:ascii="Calibri" w:eastAsia="Times New Roman" w:hAnsi="Calibri"/>
          <w:sz w:val="22"/>
          <w:szCs w:val="22"/>
          <w:lang w:eastAsia="en-AU"/>
        </w:rPr>
        <w:t xml:space="preserve"> </w:t>
      </w:r>
    </w:p>
    <w:p w:rsidR="008A1D1F" w:rsidRDefault="008A1D1F" w:rsidP="00EA7F27">
      <w:pPr>
        <w:tabs>
          <w:tab w:val="left" w:pos="90"/>
        </w:tabs>
        <w:spacing w:before="120"/>
        <w:rPr>
          <w:rFonts w:ascii="Calibri" w:eastAsia="Times New Roman" w:hAnsi="Calibri"/>
          <w:b/>
          <w:bCs/>
          <w:sz w:val="22"/>
          <w:szCs w:val="22"/>
          <w:lang w:eastAsia="en-AU"/>
        </w:rPr>
      </w:pPr>
    </w:p>
    <w:p w:rsidR="00EA7F27" w:rsidRPr="00557FBB" w:rsidRDefault="00EA7F27" w:rsidP="00EA7F27">
      <w:pPr>
        <w:tabs>
          <w:tab w:val="left" w:pos="90"/>
        </w:tabs>
        <w:spacing w:before="120"/>
        <w:rPr>
          <w:rFonts w:ascii="Calibri" w:eastAsia="Times New Roman" w:hAnsi="Calibri"/>
          <w:b/>
          <w:bCs/>
          <w:sz w:val="22"/>
          <w:szCs w:val="22"/>
          <w:lang w:eastAsia="en-AU"/>
        </w:rPr>
      </w:pPr>
      <w:r w:rsidRPr="00557FBB">
        <w:rPr>
          <w:rFonts w:ascii="Calibri" w:eastAsia="Times New Roman" w:hAnsi="Calibri"/>
          <w:b/>
          <w:bCs/>
          <w:sz w:val="22"/>
          <w:szCs w:val="22"/>
          <w:lang w:eastAsia="en-AU"/>
        </w:rPr>
        <w:t>Modified traits:</w:t>
      </w:r>
    </w:p>
    <w:p w:rsidR="00830CE8" w:rsidRPr="00321B28" w:rsidRDefault="00EA7F27" w:rsidP="00830CE8">
      <w:pPr>
        <w:tabs>
          <w:tab w:val="left" w:pos="2268"/>
        </w:tabs>
        <w:ind w:left="2262" w:hanging="2262"/>
        <w:rPr>
          <w:rFonts w:ascii="Calibri" w:eastAsia="Times New Roman" w:hAnsi="Calibri"/>
          <w:sz w:val="22"/>
          <w:szCs w:val="22"/>
          <w:lang w:eastAsia="en-AU"/>
        </w:rPr>
      </w:pPr>
      <w:r w:rsidRPr="00557FBB">
        <w:rPr>
          <w:rFonts w:ascii="Calibri" w:eastAsia="Times New Roman" w:hAnsi="Calibri"/>
          <w:sz w:val="22"/>
          <w:szCs w:val="22"/>
          <w:lang w:eastAsia="en-AU"/>
        </w:rPr>
        <w:t>Categories:</w:t>
      </w:r>
      <w:r w:rsidR="00346D25" w:rsidRPr="00557FBB">
        <w:rPr>
          <w:rFonts w:ascii="Calibri" w:eastAsia="Times New Roman" w:hAnsi="Calibri"/>
          <w:sz w:val="22"/>
          <w:szCs w:val="22"/>
          <w:lang w:eastAsia="en-AU"/>
        </w:rPr>
        <w:tab/>
      </w:r>
      <w:r w:rsidR="00346D25" w:rsidRPr="00557FBB">
        <w:rPr>
          <w:rFonts w:ascii="Calibri" w:eastAsia="Times New Roman" w:hAnsi="Calibri"/>
          <w:sz w:val="22"/>
          <w:szCs w:val="22"/>
          <w:lang w:eastAsia="en-AU"/>
        </w:rPr>
        <w:tab/>
      </w:r>
      <w:r w:rsidR="00346D25" w:rsidRPr="00557FBB">
        <w:rPr>
          <w:rFonts w:ascii="Calibri" w:eastAsia="Times New Roman" w:hAnsi="Calibri"/>
          <w:sz w:val="22"/>
          <w:szCs w:val="22"/>
          <w:lang w:eastAsia="en-AU"/>
        </w:rPr>
        <w:tab/>
      </w:r>
      <w:r w:rsidR="00B579DE" w:rsidRPr="00321B28">
        <w:rPr>
          <w:rFonts w:ascii="Calibri" w:eastAsia="Times New Roman" w:hAnsi="Calibri"/>
          <w:sz w:val="22"/>
          <w:szCs w:val="22"/>
          <w:lang w:eastAsia="en-AU"/>
        </w:rPr>
        <w:t>Composition – animal nutrition</w:t>
      </w:r>
    </w:p>
    <w:p w:rsidR="00830CE8" w:rsidRPr="00321B28" w:rsidRDefault="00830CE8" w:rsidP="00830CE8">
      <w:pPr>
        <w:tabs>
          <w:tab w:val="left" w:pos="2268"/>
        </w:tabs>
        <w:ind w:left="2880" w:hanging="2880"/>
        <w:rPr>
          <w:rFonts w:ascii="Calibri" w:eastAsia="Times New Roman" w:hAnsi="Calibri"/>
          <w:sz w:val="22"/>
          <w:szCs w:val="22"/>
          <w:lang w:eastAsia="en-AU"/>
        </w:rPr>
      </w:pPr>
      <w:r w:rsidRPr="00321B28">
        <w:rPr>
          <w:rFonts w:ascii="Calibri" w:eastAsia="Times New Roman" w:hAnsi="Calibri"/>
          <w:sz w:val="22"/>
          <w:szCs w:val="22"/>
          <w:lang w:eastAsia="en-AU"/>
        </w:rPr>
        <w:tab/>
      </w:r>
      <w:r w:rsidRPr="00321B28">
        <w:rPr>
          <w:rFonts w:ascii="Calibri" w:eastAsia="Times New Roman" w:hAnsi="Calibri"/>
          <w:sz w:val="22"/>
          <w:szCs w:val="22"/>
          <w:lang w:eastAsia="en-AU"/>
        </w:rPr>
        <w:tab/>
      </w:r>
      <w:r w:rsidR="00B579DE" w:rsidRPr="00321B28">
        <w:rPr>
          <w:rFonts w:ascii="Calibri" w:eastAsia="Times New Roman" w:hAnsi="Calibri"/>
          <w:sz w:val="22"/>
          <w:szCs w:val="22"/>
          <w:lang w:eastAsia="en-AU"/>
        </w:rPr>
        <w:t>Yield</w:t>
      </w:r>
      <w:r w:rsidR="00321B28" w:rsidRPr="00321B28">
        <w:rPr>
          <w:rFonts w:ascii="Calibri" w:eastAsia="Times New Roman" w:hAnsi="Calibri"/>
          <w:sz w:val="22"/>
          <w:szCs w:val="22"/>
          <w:lang w:eastAsia="en-AU"/>
        </w:rPr>
        <w:t xml:space="preserve"> </w:t>
      </w:r>
    </w:p>
    <w:p w:rsidR="00C30EA3" w:rsidRPr="00557FBB" w:rsidRDefault="00830CE8" w:rsidP="00830CE8">
      <w:pPr>
        <w:tabs>
          <w:tab w:val="left" w:pos="2268"/>
        </w:tabs>
        <w:ind w:left="2880" w:hanging="2880"/>
        <w:rPr>
          <w:rFonts w:ascii="Calibri" w:eastAsia="Times New Roman" w:hAnsi="Calibri"/>
          <w:sz w:val="22"/>
          <w:szCs w:val="22"/>
          <w:lang w:eastAsia="en-AU"/>
        </w:rPr>
      </w:pPr>
      <w:r w:rsidRPr="00321B28">
        <w:rPr>
          <w:rFonts w:ascii="Calibri" w:eastAsia="Times New Roman" w:hAnsi="Calibri"/>
          <w:sz w:val="22"/>
          <w:szCs w:val="22"/>
          <w:lang w:eastAsia="en-AU"/>
        </w:rPr>
        <w:tab/>
      </w:r>
      <w:r w:rsidRPr="00321B28">
        <w:rPr>
          <w:rFonts w:ascii="Calibri" w:eastAsia="Times New Roman" w:hAnsi="Calibri"/>
          <w:sz w:val="22"/>
          <w:szCs w:val="22"/>
          <w:lang w:eastAsia="en-AU"/>
        </w:rPr>
        <w:tab/>
      </w:r>
      <w:r w:rsidR="00C30EA3" w:rsidRPr="00321B28">
        <w:rPr>
          <w:rFonts w:ascii="Calibri" w:eastAsia="Times New Roman" w:hAnsi="Calibri"/>
          <w:sz w:val="22"/>
          <w:szCs w:val="22"/>
          <w:lang w:eastAsia="en-AU"/>
        </w:rPr>
        <w:t>Selectable marker – antibiotic resistance</w:t>
      </w:r>
    </w:p>
    <w:p w:rsidR="00830CE8" w:rsidRDefault="00830CE8" w:rsidP="00212D6E">
      <w:pPr>
        <w:tabs>
          <w:tab w:val="left" w:pos="2268"/>
        </w:tabs>
        <w:spacing w:before="60"/>
        <w:ind w:left="2880" w:hanging="2880"/>
        <w:rPr>
          <w:rFonts w:ascii="Calibri" w:eastAsia="Times New Roman" w:hAnsi="Calibri"/>
          <w:sz w:val="22"/>
          <w:szCs w:val="22"/>
          <w:lang w:eastAsia="en-AU"/>
        </w:rPr>
      </w:pPr>
    </w:p>
    <w:p w:rsidR="0039287F" w:rsidRPr="008A1D1F" w:rsidRDefault="00EA7F27" w:rsidP="00212D6E">
      <w:pPr>
        <w:tabs>
          <w:tab w:val="left" w:pos="2268"/>
        </w:tabs>
        <w:spacing w:before="60"/>
        <w:ind w:left="2880" w:hanging="2880"/>
        <w:rPr>
          <w:rFonts w:ascii="Calibri" w:eastAsia="Times New Roman" w:hAnsi="Calibri"/>
          <w:sz w:val="22"/>
          <w:szCs w:val="22"/>
          <w:lang w:eastAsia="en-AU"/>
        </w:rPr>
      </w:pPr>
      <w:r w:rsidRPr="00334594">
        <w:rPr>
          <w:rFonts w:ascii="Calibri" w:eastAsia="Times New Roman" w:hAnsi="Calibri"/>
          <w:sz w:val="22"/>
          <w:szCs w:val="22"/>
          <w:lang w:eastAsia="en-AU"/>
        </w:rPr>
        <w:t>Description:</w:t>
      </w:r>
      <w:r w:rsidRPr="00334594">
        <w:rPr>
          <w:rFonts w:ascii="Calibri" w:eastAsia="Times New Roman" w:hAnsi="Calibri"/>
          <w:sz w:val="22"/>
          <w:szCs w:val="22"/>
          <w:lang w:eastAsia="en-AU"/>
        </w:rPr>
        <w:tab/>
      </w:r>
      <w:r w:rsidR="005F1F42" w:rsidRPr="00334594">
        <w:rPr>
          <w:rFonts w:ascii="Calibri" w:eastAsia="Times New Roman" w:hAnsi="Calibri"/>
          <w:sz w:val="22"/>
          <w:szCs w:val="22"/>
          <w:lang w:eastAsia="en-AU"/>
        </w:rPr>
        <w:tab/>
      </w:r>
      <w:r w:rsidR="008A1D1F">
        <w:rPr>
          <w:rFonts w:ascii="Calibri" w:eastAsia="Times New Roman" w:hAnsi="Calibri"/>
          <w:sz w:val="22"/>
          <w:szCs w:val="22"/>
          <w:lang w:eastAsia="en-AU"/>
        </w:rPr>
        <w:t xml:space="preserve">Perennial ryegrass </w:t>
      </w:r>
      <w:r w:rsidR="005F1F42" w:rsidRPr="008A1D1F">
        <w:rPr>
          <w:rFonts w:ascii="Calibri" w:eastAsia="Times New Roman" w:hAnsi="Calibri"/>
          <w:sz w:val="22"/>
          <w:szCs w:val="22"/>
          <w:lang w:eastAsia="en-AU"/>
        </w:rPr>
        <w:t xml:space="preserve">plants have been genetically modified </w:t>
      </w:r>
      <w:r w:rsidR="00212D6E" w:rsidRPr="008A1D1F">
        <w:rPr>
          <w:rFonts w:ascii="Calibri" w:eastAsia="Times New Roman" w:hAnsi="Calibri"/>
          <w:sz w:val="22"/>
          <w:szCs w:val="22"/>
          <w:lang w:eastAsia="en-AU"/>
        </w:rPr>
        <w:t>for</w:t>
      </w:r>
      <w:r w:rsidR="0039287F" w:rsidRPr="008A1D1F">
        <w:rPr>
          <w:rFonts w:ascii="Calibri" w:eastAsia="Times New Roman" w:hAnsi="Calibri"/>
          <w:sz w:val="22"/>
          <w:szCs w:val="22"/>
          <w:lang w:eastAsia="en-AU"/>
        </w:rPr>
        <w:t xml:space="preserve"> </w:t>
      </w:r>
      <w:r w:rsidR="008A1D1F" w:rsidRPr="008A1D1F">
        <w:rPr>
          <w:rFonts w:ascii="Calibri" w:eastAsia="Times New Roman" w:hAnsi="Calibri"/>
          <w:sz w:val="22"/>
          <w:szCs w:val="22"/>
          <w:lang w:eastAsia="en-AU"/>
        </w:rPr>
        <w:t xml:space="preserve">altered fructan biosynthesis. </w:t>
      </w:r>
    </w:p>
    <w:p w:rsidR="00212D6E" w:rsidRDefault="0039287F" w:rsidP="008A1D1F">
      <w:pPr>
        <w:tabs>
          <w:tab w:val="left" w:pos="2268"/>
        </w:tabs>
        <w:spacing w:before="60"/>
        <w:ind w:left="2880" w:hanging="2880"/>
        <w:rPr>
          <w:rFonts w:ascii="Calibri" w:eastAsia="Times New Roman" w:hAnsi="Calibri"/>
          <w:sz w:val="22"/>
          <w:szCs w:val="22"/>
          <w:lang w:eastAsia="en-AU"/>
        </w:rPr>
      </w:pPr>
      <w:r w:rsidRPr="008A1D1F">
        <w:rPr>
          <w:rFonts w:ascii="Calibri" w:eastAsia="Times New Roman" w:hAnsi="Calibri"/>
          <w:sz w:val="22"/>
          <w:szCs w:val="22"/>
          <w:lang w:eastAsia="en-AU"/>
        </w:rPr>
        <w:tab/>
      </w:r>
      <w:r w:rsidRPr="008A1D1F">
        <w:rPr>
          <w:rFonts w:ascii="Calibri" w:eastAsia="Times New Roman" w:hAnsi="Calibri"/>
          <w:sz w:val="22"/>
          <w:szCs w:val="22"/>
          <w:lang w:eastAsia="en-AU"/>
        </w:rPr>
        <w:tab/>
      </w:r>
      <w:r w:rsidR="008A1D1F" w:rsidRPr="008A1D1F">
        <w:rPr>
          <w:rFonts w:ascii="Calibri" w:eastAsia="Times New Roman" w:hAnsi="Calibri"/>
          <w:sz w:val="22"/>
          <w:szCs w:val="22"/>
          <w:lang w:eastAsia="en-AU"/>
        </w:rPr>
        <w:t xml:space="preserve">The </w:t>
      </w:r>
      <w:r w:rsidRPr="008A1D1F">
        <w:rPr>
          <w:rFonts w:ascii="Calibri" w:eastAsia="Times New Roman" w:hAnsi="Calibri"/>
          <w:sz w:val="22"/>
          <w:szCs w:val="22"/>
          <w:lang w:eastAsia="en-AU"/>
        </w:rPr>
        <w:t xml:space="preserve">GM </w:t>
      </w:r>
      <w:r w:rsidR="008A1D1F" w:rsidRPr="008A1D1F">
        <w:rPr>
          <w:rFonts w:ascii="Calibri" w:eastAsia="Times New Roman" w:hAnsi="Calibri"/>
          <w:sz w:val="22"/>
          <w:szCs w:val="22"/>
          <w:lang w:eastAsia="en-AU"/>
        </w:rPr>
        <w:t xml:space="preserve">perennial ryegrass </w:t>
      </w:r>
      <w:r w:rsidRPr="008A1D1F">
        <w:rPr>
          <w:rFonts w:ascii="Calibri" w:eastAsia="Times New Roman" w:hAnsi="Calibri"/>
          <w:sz w:val="22"/>
          <w:szCs w:val="22"/>
          <w:lang w:eastAsia="en-AU"/>
        </w:rPr>
        <w:t xml:space="preserve">line contains the introduced genetic elements relating to </w:t>
      </w:r>
      <w:r w:rsidR="008A1D1F" w:rsidRPr="008A1D1F">
        <w:rPr>
          <w:rFonts w:ascii="Calibri" w:eastAsia="Times New Roman" w:hAnsi="Calibri"/>
          <w:sz w:val="22"/>
          <w:szCs w:val="22"/>
          <w:lang w:eastAsia="en-AU"/>
        </w:rPr>
        <w:t>fructan biosynthesis</w:t>
      </w:r>
      <w:r w:rsidRPr="008A1D1F">
        <w:rPr>
          <w:rFonts w:ascii="Calibri" w:eastAsia="Times New Roman" w:hAnsi="Calibri"/>
          <w:sz w:val="22"/>
          <w:szCs w:val="22"/>
          <w:lang w:eastAsia="en-AU"/>
        </w:rPr>
        <w:t xml:space="preserve"> that are listed in Table 1 and also the antibiotic resistance marker gene listed in Table 2. The introduced regulatory sequences are listed in Table 3.</w:t>
      </w:r>
    </w:p>
    <w:p w:rsidR="00334594" w:rsidRPr="00CC046B" w:rsidRDefault="00334594" w:rsidP="00212D6E">
      <w:pPr>
        <w:tabs>
          <w:tab w:val="left" w:pos="2268"/>
        </w:tabs>
        <w:spacing w:before="60"/>
        <w:ind w:left="2880" w:hanging="2880"/>
        <w:rPr>
          <w:rFonts w:ascii="Calibri" w:eastAsia="Times New Roman" w:hAnsi="Calibri"/>
          <w:sz w:val="22"/>
          <w:szCs w:val="22"/>
          <w:highlight w:val="yellow"/>
          <w:lang w:eastAsia="en-AU"/>
        </w:rPr>
      </w:pPr>
    </w:p>
    <w:p w:rsidR="00EA7F27" w:rsidRPr="00334594" w:rsidRDefault="00EA7F27" w:rsidP="00EA7F27">
      <w:pPr>
        <w:tabs>
          <w:tab w:val="left" w:pos="90"/>
        </w:tabs>
        <w:spacing w:before="120"/>
        <w:rPr>
          <w:rFonts w:ascii="Calibri" w:eastAsia="Times New Roman" w:hAnsi="Calibri"/>
          <w:b/>
          <w:bCs/>
          <w:sz w:val="22"/>
          <w:szCs w:val="22"/>
          <w:lang w:eastAsia="en-AU"/>
        </w:rPr>
      </w:pPr>
      <w:r w:rsidRPr="00334594">
        <w:rPr>
          <w:rFonts w:ascii="Calibri" w:eastAsia="Times New Roman" w:hAnsi="Calibri"/>
          <w:b/>
          <w:bCs/>
          <w:sz w:val="22"/>
          <w:szCs w:val="22"/>
          <w:lang w:eastAsia="en-AU"/>
        </w:rPr>
        <w:t>Purpose of the dealings with the GMOs:</w:t>
      </w:r>
    </w:p>
    <w:p w:rsidR="00334594" w:rsidRDefault="00334594" w:rsidP="00212D6E">
      <w:pPr>
        <w:pStyle w:val="1Para"/>
        <w:numPr>
          <w:ilvl w:val="0"/>
          <w:numId w:val="0"/>
        </w:numPr>
        <w:rPr>
          <w:rFonts w:asciiTheme="minorHAnsi" w:hAnsiTheme="minorHAnsi"/>
          <w:sz w:val="22"/>
          <w:szCs w:val="22"/>
        </w:rPr>
      </w:pPr>
      <w:r w:rsidRPr="00334594">
        <w:rPr>
          <w:rFonts w:asciiTheme="minorHAnsi" w:hAnsiTheme="minorHAnsi"/>
          <w:sz w:val="22"/>
          <w:szCs w:val="22"/>
        </w:rPr>
        <w:t xml:space="preserve">The purpose of the </w:t>
      </w:r>
      <w:r>
        <w:rPr>
          <w:rFonts w:asciiTheme="minorHAnsi" w:hAnsiTheme="minorHAnsi"/>
          <w:sz w:val="22"/>
          <w:szCs w:val="22"/>
        </w:rPr>
        <w:t>release</w:t>
      </w:r>
      <w:r w:rsidRPr="00334594">
        <w:rPr>
          <w:rFonts w:asciiTheme="minorHAnsi" w:hAnsiTheme="minorHAnsi"/>
          <w:sz w:val="22"/>
          <w:szCs w:val="22"/>
        </w:rPr>
        <w:t xml:space="preserve"> is to assess the agronomic characteristics</w:t>
      </w:r>
      <w:r w:rsidR="00CB130A">
        <w:rPr>
          <w:rFonts w:asciiTheme="minorHAnsi" w:hAnsiTheme="minorHAnsi"/>
          <w:sz w:val="22"/>
          <w:szCs w:val="22"/>
        </w:rPr>
        <w:t xml:space="preserve"> </w:t>
      </w:r>
      <w:r w:rsidR="00CB130A" w:rsidRPr="00334594">
        <w:rPr>
          <w:rFonts w:asciiTheme="minorHAnsi" w:hAnsiTheme="minorHAnsi"/>
          <w:sz w:val="22"/>
          <w:szCs w:val="22"/>
        </w:rPr>
        <w:t xml:space="preserve">of the GM </w:t>
      </w:r>
      <w:r w:rsidR="00CB130A">
        <w:rPr>
          <w:rFonts w:asciiTheme="minorHAnsi" w:hAnsiTheme="minorHAnsi"/>
          <w:sz w:val="22"/>
          <w:szCs w:val="22"/>
        </w:rPr>
        <w:t>perennial ryegrass</w:t>
      </w:r>
      <w:r w:rsidR="00CB130A" w:rsidRPr="00334594">
        <w:rPr>
          <w:rFonts w:asciiTheme="minorHAnsi" w:hAnsiTheme="minorHAnsi"/>
          <w:sz w:val="22"/>
          <w:szCs w:val="22"/>
        </w:rPr>
        <w:t xml:space="preserve"> plants under field conditions</w:t>
      </w:r>
      <w:r w:rsidR="00CB130A">
        <w:rPr>
          <w:rFonts w:asciiTheme="minorHAnsi" w:hAnsiTheme="minorHAnsi"/>
          <w:sz w:val="22"/>
          <w:szCs w:val="22"/>
        </w:rPr>
        <w:t xml:space="preserve"> and to multiply seed for possible future trials</w:t>
      </w:r>
      <w:r w:rsidRPr="00334594">
        <w:rPr>
          <w:rFonts w:asciiTheme="minorHAnsi" w:hAnsiTheme="minorHAnsi"/>
          <w:sz w:val="22"/>
          <w:szCs w:val="22"/>
        </w:rPr>
        <w:t>.</w:t>
      </w:r>
    </w:p>
    <w:p w:rsidR="003A457F" w:rsidRDefault="003A457F" w:rsidP="00212D6E">
      <w:pPr>
        <w:pStyle w:val="1Para"/>
        <w:numPr>
          <w:ilvl w:val="0"/>
          <w:numId w:val="0"/>
        </w:numPr>
        <w:rPr>
          <w:rFonts w:asciiTheme="minorHAnsi" w:hAnsiTheme="minorHAnsi"/>
          <w:sz w:val="22"/>
          <w:szCs w:val="22"/>
        </w:rPr>
      </w:pPr>
      <w:r w:rsidRPr="003A457F">
        <w:rPr>
          <w:rFonts w:asciiTheme="minorHAnsi" w:hAnsiTheme="minorHAnsi"/>
          <w:sz w:val="22"/>
          <w:szCs w:val="22"/>
        </w:rPr>
        <w:t xml:space="preserve">The GM </w:t>
      </w:r>
      <w:r>
        <w:rPr>
          <w:rFonts w:asciiTheme="minorHAnsi" w:hAnsiTheme="minorHAnsi"/>
          <w:sz w:val="22"/>
          <w:szCs w:val="22"/>
        </w:rPr>
        <w:t>perennial ryegrass</w:t>
      </w:r>
      <w:r w:rsidRPr="003A457F">
        <w:rPr>
          <w:rFonts w:asciiTheme="minorHAnsi" w:hAnsiTheme="minorHAnsi"/>
          <w:sz w:val="22"/>
          <w:szCs w:val="22"/>
        </w:rPr>
        <w:t xml:space="preserve"> is not permitted to be used for human food or animal feed.</w:t>
      </w:r>
    </w:p>
    <w:p w:rsidR="00787255" w:rsidRDefault="00787255">
      <w:pPr>
        <w:rPr>
          <w:rFonts w:asciiTheme="minorHAnsi" w:eastAsiaTheme="minorEastAsia" w:hAnsiTheme="minorHAnsi"/>
          <w:b/>
          <w:sz w:val="22"/>
          <w:szCs w:val="22"/>
          <w:lang w:eastAsia="en-AU"/>
        </w:rPr>
      </w:pPr>
      <w:r>
        <w:rPr>
          <w:rFonts w:asciiTheme="minorHAnsi" w:hAnsiTheme="minorHAnsi"/>
          <w:b/>
          <w:sz w:val="22"/>
          <w:szCs w:val="22"/>
        </w:rPr>
        <w:br w:type="page"/>
      </w:r>
    </w:p>
    <w:p w:rsidR="00334594" w:rsidRPr="00334594" w:rsidRDefault="00334594" w:rsidP="00EB487E">
      <w:pPr>
        <w:pStyle w:val="1Para"/>
        <w:keepNext/>
        <w:widowControl w:val="0"/>
        <w:numPr>
          <w:ilvl w:val="0"/>
          <w:numId w:val="0"/>
        </w:numPr>
        <w:rPr>
          <w:rFonts w:asciiTheme="minorHAnsi" w:hAnsiTheme="minorHAnsi"/>
          <w:b/>
          <w:sz w:val="22"/>
          <w:szCs w:val="22"/>
        </w:rPr>
      </w:pPr>
      <w:r w:rsidRPr="00334594">
        <w:rPr>
          <w:rFonts w:asciiTheme="minorHAnsi" w:hAnsiTheme="minorHAnsi"/>
          <w:b/>
          <w:sz w:val="22"/>
          <w:szCs w:val="22"/>
        </w:rPr>
        <w:lastRenderedPageBreak/>
        <w:t>Table 1.</w:t>
      </w:r>
      <w:r>
        <w:rPr>
          <w:rFonts w:asciiTheme="minorHAnsi" w:hAnsiTheme="minorHAnsi"/>
          <w:b/>
          <w:sz w:val="22"/>
          <w:szCs w:val="22"/>
        </w:rPr>
        <w:t xml:space="preserve"> Introduced g</w:t>
      </w:r>
      <w:r w:rsidRPr="00334594">
        <w:rPr>
          <w:rFonts w:asciiTheme="minorHAnsi" w:hAnsiTheme="minorHAnsi"/>
          <w:b/>
          <w:sz w:val="22"/>
          <w:szCs w:val="22"/>
        </w:rPr>
        <w:t xml:space="preserve">enetic elements relating to </w:t>
      </w:r>
      <w:r w:rsidR="00CB130A">
        <w:rPr>
          <w:rFonts w:asciiTheme="minorHAnsi" w:hAnsiTheme="minorHAnsi"/>
          <w:b/>
          <w:sz w:val="22"/>
          <w:szCs w:val="22"/>
        </w:rPr>
        <w:t xml:space="preserve">fructan biosynthesis </w:t>
      </w:r>
      <w:r>
        <w:rPr>
          <w:rFonts w:asciiTheme="minorHAnsi" w:hAnsiTheme="minorHAnsi"/>
          <w:b/>
          <w:sz w:val="22"/>
          <w:szCs w:val="22"/>
        </w:rPr>
        <w:t>in</w:t>
      </w:r>
      <w:r w:rsidRPr="00334594">
        <w:rPr>
          <w:rFonts w:asciiTheme="minorHAnsi" w:hAnsiTheme="minorHAnsi"/>
          <w:b/>
          <w:sz w:val="22"/>
          <w:szCs w:val="22"/>
        </w:rPr>
        <w:t xml:space="preserve"> GM </w:t>
      </w:r>
      <w:r w:rsidR="00CB130A">
        <w:rPr>
          <w:rFonts w:asciiTheme="minorHAnsi" w:hAnsiTheme="minorHAnsi"/>
          <w:b/>
          <w:sz w:val="22"/>
          <w:szCs w:val="22"/>
        </w:rPr>
        <w:t xml:space="preserve">perennial ryegrass </w:t>
      </w:r>
    </w:p>
    <w:tbl>
      <w:tblPr>
        <w:tblStyle w:val="RARMPtable"/>
        <w:tblW w:w="8472" w:type="dxa"/>
        <w:tblLook w:val="04A0" w:firstRow="1" w:lastRow="0" w:firstColumn="1" w:lastColumn="0" w:noHBand="0" w:noVBand="1"/>
        <w:tblCaption w:val="Introduced genetic elements relating to grain traits in the GM sorghum lines"/>
        <w:tblDescription w:val="This table has four columns, one each for genetic element description, full name of the gene, source of the gene, and number of lines containing the gene."/>
      </w:tblPr>
      <w:tblGrid>
        <w:gridCol w:w="2093"/>
        <w:gridCol w:w="3969"/>
        <w:gridCol w:w="2410"/>
      </w:tblGrid>
      <w:tr w:rsidR="003A457F" w:rsidTr="003A457F">
        <w:trPr>
          <w:cnfStyle w:val="100000000000" w:firstRow="1" w:lastRow="0" w:firstColumn="0" w:lastColumn="0" w:oddVBand="0" w:evenVBand="0" w:oddHBand="0" w:evenHBand="0" w:firstRowFirstColumn="0" w:firstRowLastColumn="0" w:lastRowFirstColumn="0" w:lastRowLastColumn="0"/>
        </w:trPr>
        <w:tc>
          <w:tcPr>
            <w:tcW w:w="2093" w:type="dxa"/>
            <w:vAlign w:val="center"/>
          </w:tcPr>
          <w:p w:rsidR="003A457F" w:rsidRDefault="003A457F" w:rsidP="003A457F">
            <w:pPr>
              <w:pStyle w:val="1Para"/>
              <w:numPr>
                <w:ilvl w:val="0"/>
                <w:numId w:val="0"/>
              </w:numPr>
              <w:spacing w:before="40" w:after="40"/>
              <w:rPr>
                <w:rFonts w:asciiTheme="minorHAnsi" w:hAnsiTheme="minorHAnsi"/>
                <w:sz w:val="22"/>
                <w:szCs w:val="22"/>
              </w:rPr>
            </w:pPr>
            <w:r>
              <w:rPr>
                <w:rFonts w:asciiTheme="minorHAnsi" w:hAnsiTheme="minorHAnsi"/>
                <w:sz w:val="22"/>
                <w:szCs w:val="22"/>
              </w:rPr>
              <w:t xml:space="preserve">Genetic element </w:t>
            </w:r>
          </w:p>
        </w:tc>
        <w:tc>
          <w:tcPr>
            <w:tcW w:w="3969"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Full name of gene</w:t>
            </w:r>
          </w:p>
        </w:tc>
        <w:tc>
          <w:tcPr>
            <w:tcW w:w="2410"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Source of gene</w:t>
            </w:r>
          </w:p>
        </w:tc>
      </w:tr>
      <w:tr w:rsidR="003A457F" w:rsidTr="003A457F">
        <w:tc>
          <w:tcPr>
            <w:tcW w:w="2093" w:type="dxa"/>
          </w:tcPr>
          <w:p w:rsidR="003A457F" w:rsidRPr="00CB130A" w:rsidRDefault="003A457F" w:rsidP="001912C9">
            <w:pPr>
              <w:pStyle w:val="1Para"/>
              <w:numPr>
                <w:ilvl w:val="0"/>
                <w:numId w:val="0"/>
              </w:numPr>
              <w:spacing w:before="40" w:after="40"/>
              <w:rPr>
                <w:rFonts w:asciiTheme="minorHAnsi" w:hAnsiTheme="minorHAnsi"/>
                <w:i/>
                <w:sz w:val="22"/>
                <w:szCs w:val="22"/>
              </w:rPr>
            </w:pPr>
            <w:r>
              <w:rPr>
                <w:rFonts w:asciiTheme="minorHAnsi" w:hAnsiTheme="minorHAnsi"/>
                <w:i/>
                <w:sz w:val="22"/>
                <w:szCs w:val="22"/>
              </w:rPr>
              <w:t>Lp1-SST</w:t>
            </w:r>
          </w:p>
        </w:tc>
        <w:tc>
          <w:tcPr>
            <w:tcW w:w="3969"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sucrose:sucrose 1-fructosyltransferase</w:t>
            </w:r>
          </w:p>
        </w:tc>
        <w:tc>
          <w:tcPr>
            <w:tcW w:w="2410" w:type="dxa"/>
            <w:vAlign w:val="center"/>
          </w:tcPr>
          <w:p w:rsidR="003A457F" w:rsidRPr="00EB487E" w:rsidRDefault="003A457F" w:rsidP="001912C9">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Lolium perenne</w:t>
            </w:r>
          </w:p>
        </w:tc>
      </w:tr>
      <w:tr w:rsidR="003A457F" w:rsidTr="003A457F">
        <w:tc>
          <w:tcPr>
            <w:tcW w:w="2093" w:type="dxa"/>
          </w:tcPr>
          <w:p w:rsidR="003A457F" w:rsidRPr="00EB487E" w:rsidRDefault="003A457F" w:rsidP="00CB130A">
            <w:pPr>
              <w:pStyle w:val="1Para"/>
              <w:numPr>
                <w:ilvl w:val="0"/>
                <w:numId w:val="0"/>
              </w:numPr>
              <w:spacing w:before="40" w:after="40"/>
              <w:rPr>
                <w:rFonts w:asciiTheme="minorHAnsi" w:hAnsiTheme="minorHAnsi"/>
                <w:sz w:val="22"/>
                <w:szCs w:val="22"/>
              </w:rPr>
            </w:pPr>
            <w:r>
              <w:rPr>
                <w:rFonts w:asciiTheme="minorHAnsi" w:hAnsiTheme="minorHAnsi"/>
                <w:i/>
                <w:sz w:val="22"/>
                <w:szCs w:val="22"/>
              </w:rPr>
              <w:t>Lp6G-FFT</w:t>
            </w:r>
          </w:p>
        </w:tc>
        <w:tc>
          <w:tcPr>
            <w:tcW w:w="3969" w:type="dxa"/>
            <w:vAlign w:val="center"/>
          </w:tcPr>
          <w:p w:rsidR="003A457F" w:rsidRDefault="003A457F" w:rsidP="001912C9">
            <w:pPr>
              <w:spacing w:before="40" w:after="40"/>
              <w:jc w:val="center"/>
            </w:pPr>
            <w:r>
              <w:rPr>
                <w:rFonts w:asciiTheme="minorHAnsi" w:hAnsiTheme="minorHAnsi"/>
                <w:sz w:val="22"/>
                <w:szCs w:val="22"/>
              </w:rPr>
              <w:t>f</w:t>
            </w:r>
            <w:r w:rsidRPr="009505F3">
              <w:rPr>
                <w:rFonts w:asciiTheme="minorHAnsi" w:hAnsiTheme="minorHAnsi"/>
                <w:sz w:val="22"/>
                <w:szCs w:val="22"/>
              </w:rPr>
              <w:t>ructan:fructan 6G-fructosyltransferase</w:t>
            </w:r>
          </w:p>
        </w:tc>
        <w:tc>
          <w:tcPr>
            <w:tcW w:w="2410" w:type="dxa"/>
            <w:vAlign w:val="center"/>
          </w:tcPr>
          <w:p w:rsidR="003A457F" w:rsidRDefault="003A457F" w:rsidP="00CB130A">
            <w:pPr>
              <w:spacing w:before="40" w:after="40"/>
              <w:jc w:val="center"/>
            </w:pPr>
            <w:r>
              <w:rPr>
                <w:rFonts w:asciiTheme="minorHAnsi" w:hAnsiTheme="minorHAnsi"/>
                <w:i/>
                <w:sz w:val="22"/>
                <w:szCs w:val="22"/>
              </w:rPr>
              <w:t>Lolium perenne</w:t>
            </w:r>
          </w:p>
        </w:tc>
      </w:tr>
    </w:tbl>
    <w:p w:rsidR="00334594" w:rsidRDefault="00334594" w:rsidP="00212D6E">
      <w:pPr>
        <w:pStyle w:val="1Para"/>
        <w:numPr>
          <w:ilvl w:val="0"/>
          <w:numId w:val="0"/>
        </w:numPr>
        <w:rPr>
          <w:rFonts w:asciiTheme="minorHAnsi" w:hAnsiTheme="minorHAnsi"/>
          <w:sz w:val="22"/>
          <w:szCs w:val="22"/>
        </w:rPr>
      </w:pPr>
    </w:p>
    <w:p w:rsidR="001912C9" w:rsidRPr="00334594" w:rsidRDefault="001912C9" w:rsidP="001912C9">
      <w:pPr>
        <w:pStyle w:val="1Para"/>
        <w:keepNext/>
        <w:widowControl w:val="0"/>
        <w:numPr>
          <w:ilvl w:val="0"/>
          <w:numId w:val="0"/>
        </w:numPr>
        <w:rPr>
          <w:rFonts w:asciiTheme="minorHAnsi" w:hAnsiTheme="minorHAnsi"/>
          <w:b/>
          <w:sz w:val="22"/>
          <w:szCs w:val="22"/>
        </w:rPr>
      </w:pPr>
      <w:r w:rsidRPr="00334594">
        <w:rPr>
          <w:rFonts w:asciiTheme="minorHAnsi" w:hAnsiTheme="minorHAnsi"/>
          <w:b/>
          <w:sz w:val="22"/>
          <w:szCs w:val="22"/>
        </w:rPr>
        <w:t xml:space="preserve">Table </w:t>
      </w:r>
      <w:r>
        <w:rPr>
          <w:rFonts w:asciiTheme="minorHAnsi" w:hAnsiTheme="minorHAnsi"/>
          <w:b/>
          <w:sz w:val="22"/>
          <w:szCs w:val="22"/>
        </w:rPr>
        <w:t>2</w:t>
      </w:r>
      <w:r w:rsidRPr="00334594">
        <w:rPr>
          <w:rFonts w:asciiTheme="minorHAnsi" w:hAnsiTheme="minorHAnsi"/>
          <w:b/>
          <w:sz w:val="22"/>
          <w:szCs w:val="22"/>
        </w:rPr>
        <w:t>.</w:t>
      </w:r>
      <w:r>
        <w:rPr>
          <w:rFonts w:asciiTheme="minorHAnsi" w:hAnsiTheme="minorHAnsi"/>
          <w:b/>
          <w:sz w:val="22"/>
          <w:szCs w:val="22"/>
        </w:rPr>
        <w:t xml:space="preserve"> Introduced antibiotic resistance marker gene</w:t>
      </w:r>
      <w:r w:rsidRPr="00334594">
        <w:rPr>
          <w:rFonts w:asciiTheme="minorHAnsi" w:hAnsiTheme="minorHAnsi"/>
          <w:b/>
          <w:sz w:val="22"/>
          <w:szCs w:val="22"/>
        </w:rPr>
        <w:t xml:space="preserve"> </w:t>
      </w:r>
      <w:r>
        <w:rPr>
          <w:rFonts w:asciiTheme="minorHAnsi" w:hAnsiTheme="minorHAnsi"/>
          <w:b/>
          <w:sz w:val="22"/>
          <w:szCs w:val="22"/>
        </w:rPr>
        <w:t>in</w:t>
      </w:r>
      <w:r w:rsidRPr="00334594">
        <w:rPr>
          <w:rFonts w:asciiTheme="minorHAnsi" w:hAnsiTheme="minorHAnsi"/>
          <w:b/>
          <w:sz w:val="22"/>
          <w:szCs w:val="22"/>
        </w:rPr>
        <w:t xml:space="preserve"> GM </w:t>
      </w:r>
      <w:r w:rsidR="009505F3">
        <w:rPr>
          <w:rFonts w:asciiTheme="minorHAnsi" w:hAnsiTheme="minorHAnsi"/>
          <w:b/>
          <w:sz w:val="22"/>
          <w:szCs w:val="22"/>
        </w:rPr>
        <w:t>perennial ryegrass</w:t>
      </w:r>
    </w:p>
    <w:tbl>
      <w:tblPr>
        <w:tblStyle w:val="RARMPtable"/>
        <w:tblW w:w="0" w:type="auto"/>
        <w:tblLook w:val="04A0" w:firstRow="1" w:lastRow="0" w:firstColumn="1" w:lastColumn="0" w:noHBand="0" w:noVBand="1"/>
        <w:tblCaption w:val="Introduced antibiotic resistance marker gene in the GM sorghum lines"/>
        <w:tblDescription w:val="This table has four columns, one each for genetic element, full name of the gene, source of the gene, and number of lines containing the gene."/>
      </w:tblPr>
      <w:tblGrid>
        <w:gridCol w:w="2093"/>
        <w:gridCol w:w="3969"/>
        <w:gridCol w:w="2416"/>
      </w:tblGrid>
      <w:tr w:rsidR="003A457F" w:rsidTr="003A457F">
        <w:trPr>
          <w:cnfStyle w:val="100000000000" w:firstRow="1" w:lastRow="0" w:firstColumn="0" w:lastColumn="0" w:oddVBand="0" w:evenVBand="0" w:oddHBand="0" w:evenHBand="0" w:firstRowFirstColumn="0" w:firstRowLastColumn="0" w:lastRowFirstColumn="0" w:lastRowLastColumn="0"/>
        </w:trPr>
        <w:tc>
          <w:tcPr>
            <w:tcW w:w="2093" w:type="dxa"/>
            <w:vAlign w:val="center"/>
          </w:tcPr>
          <w:p w:rsidR="003A457F" w:rsidRDefault="003A457F" w:rsidP="001912C9">
            <w:pPr>
              <w:pStyle w:val="1Para"/>
              <w:numPr>
                <w:ilvl w:val="0"/>
                <w:numId w:val="0"/>
              </w:numPr>
              <w:spacing w:before="40" w:after="40"/>
              <w:rPr>
                <w:rFonts w:asciiTheme="minorHAnsi" w:hAnsiTheme="minorHAnsi"/>
                <w:sz w:val="22"/>
                <w:szCs w:val="22"/>
              </w:rPr>
            </w:pPr>
            <w:r>
              <w:rPr>
                <w:rFonts w:asciiTheme="minorHAnsi" w:hAnsiTheme="minorHAnsi"/>
                <w:sz w:val="22"/>
                <w:szCs w:val="22"/>
              </w:rPr>
              <w:t>Genetic element</w:t>
            </w:r>
          </w:p>
        </w:tc>
        <w:tc>
          <w:tcPr>
            <w:tcW w:w="3969"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Full name of gene</w:t>
            </w:r>
          </w:p>
        </w:tc>
        <w:tc>
          <w:tcPr>
            <w:tcW w:w="2416"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Source of gene</w:t>
            </w:r>
          </w:p>
        </w:tc>
      </w:tr>
      <w:tr w:rsidR="003A457F" w:rsidTr="003A457F">
        <w:tc>
          <w:tcPr>
            <w:tcW w:w="2093" w:type="dxa"/>
            <w:vAlign w:val="center"/>
          </w:tcPr>
          <w:p w:rsidR="003A457F" w:rsidRPr="00EB487E" w:rsidRDefault="003A457F" w:rsidP="00CB130A">
            <w:pPr>
              <w:pStyle w:val="1Para"/>
              <w:numPr>
                <w:ilvl w:val="0"/>
                <w:numId w:val="0"/>
              </w:numPr>
              <w:spacing w:before="40" w:after="40"/>
              <w:rPr>
                <w:rFonts w:asciiTheme="minorHAnsi" w:hAnsiTheme="minorHAnsi"/>
                <w:sz w:val="22"/>
                <w:szCs w:val="22"/>
              </w:rPr>
            </w:pPr>
            <w:r>
              <w:rPr>
                <w:rFonts w:asciiTheme="minorHAnsi" w:hAnsiTheme="minorHAnsi"/>
                <w:i/>
                <w:sz w:val="22"/>
                <w:szCs w:val="22"/>
              </w:rPr>
              <w:t>hph</w:t>
            </w:r>
            <w:r>
              <w:rPr>
                <w:rFonts w:asciiTheme="minorHAnsi" w:hAnsiTheme="minorHAnsi"/>
                <w:sz w:val="22"/>
                <w:szCs w:val="22"/>
              </w:rPr>
              <w:t xml:space="preserve"> gene</w:t>
            </w:r>
          </w:p>
        </w:tc>
        <w:tc>
          <w:tcPr>
            <w:tcW w:w="3969" w:type="dxa"/>
            <w:vAlign w:val="center"/>
          </w:tcPr>
          <w:p w:rsidR="003A457F" w:rsidRDefault="003A457F" w:rsidP="00CB130A">
            <w:pPr>
              <w:pStyle w:val="1Para"/>
              <w:numPr>
                <w:ilvl w:val="0"/>
                <w:numId w:val="0"/>
              </w:numPr>
              <w:spacing w:before="40" w:after="40"/>
              <w:rPr>
                <w:rFonts w:asciiTheme="minorHAnsi" w:hAnsiTheme="minorHAnsi"/>
                <w:sz w:val="22"/>
                <w:szCs w:val="22"/>
              </w:rPr>
            </w:pPr>
            <w:r>
              <w:rPr>
                <w:rFonts w:asciiTheme="minorHAnsi" w:hAnsiTheme="minorHAnsi"/>
                <w:i/>
                <w:sz w:val="22"/>
                <w:szCs w:val="22"/>
              </w:rPr>
              <w:t xml:space="preserve">Hygromycin phosphotransferase </w:t>
            </w:r>
            <w:r w:rsidRPr="001912C9">
              <w:rPr>
                <w:rFonts w:asciiTheme="minorHAnsi" w:hAnsiTheme="minorHAnsi"/>
                <w:sz w:val="22"/>
                <w:szCs w:val="22"/>
              </w:rPr>
              <w:t>gene</w:t>
            </w:r>
          </w:p>
        </w:tc>
        <w:tc>
          <w:tcPr>
            <w:tcW w:w="2416" w:type="dxa"/>
            <w:vAlign w:val="center"/>
          </w:tcPr>
          <w:p w:rsidR="003A457F" w:rsidRPr="00EB487E" w:rsidRDefault="003A457F" w:rsidP="001912C9">
            <w:pPr>
              <w:pStyle w:val="1Para"/>
              <w:numPr>
                <w:ilvl w:val="0"/>
                <w:numId w:val="0"/>
              </w:numPr>
              <w:spacing w:before="40" w:after="40"/>
              <w:jc w:val="center"/>
              <w:rPr>
                <w:rFonts w:asciiTheme="minorHAnsi" w:hAnsiTheme="minorHAnsi"/>
                <w:i/>
                <w:sz w:val="22"/>
                <w:szCs w:val="22"/>
              </w:rPr>
            </w:pPr>
            <w:r w:rsidRPr="001912C9">
              <w:rPr>
                <w:rFonts w:asciiTheme="minorHAnsi" w:hAnsiTheme="minorHAnsi"/>
                <w:i/>
                <w:sz w:val="22"/>
                <w:szCs w:val="22"/>
              </w:rPr>
              <w:t>Escherichia coli</w:t>
            </w:r>
          </w:p>
        </w:tc>
      </w:tr>
    </w:tbl>
    <w:p w:rsidR="00EB487E" w:rsidRDefault="00EB487E" w:rsidP="00212D6E">
      <w:pPr>
        <w:pStyle w:val="1Para"/>
        <w:numPr>
          <w:ilvl w:val="0"/>
          <w:numId w:val="0"/>
        </w:numPr>
        <w:rPr>
          <w:rFonts w:asciiTheme="minorHAnsi" w:hAnsiTheme="minorHAnsi"/>
          <w:sz w:val="22"/>
          <w:szCs w:val="22"/>
        </w:rPr>
      </w:pPr>
    </w:p>
    <w:p w:rsidR="001E55D5" w:rsidRPr="00A25A13" w:rsidRDefault="0069507C" w:rsidP="00212D6E">
      <w:pPr>
        <w:pStyle w:val="1Para"/>
        <w:numPr>
          <w:ilvl w:val="0"/>
          <w:numId w:val="0"/>
        </w:numPr>
        <w:rPr>
          <w:rFonts w:asciiTheme="minorHAnsi" w:hAnsiTheme="minorHAnsi"/>
          <w:b/>
          <w:sz w:val="22"/>
          <w:szCs w:val="22"/>
        </w:rPr>
      </w:pPr>
      <w:r w:rsidRPr="00A25A13">
        <w:rPr>
          <w:rFonts w:asciiTheme="minorHAnsi" w:hAnsiTheme="minorHAnsi"/>
          <w:b/>
          <w:sz w:val="22"/>
          <w:szCs w:val="22"/>
        </w:rPr>
        <w:t xml:space="preserve">Table 3. </w:t>
      </w:r>
      <w:r w:rsidR="00A25A13" w:rsidRPr="00A25A13">
        <w:rPr>
          <w:rFonts w:asciiTheme="minorHAnsi" w:hAnsiTheme="minorHAnsi"/>
          <w:b/>
          <w:sz w:val="22"/>
          <w:szCs w:val="22"/>
        </w:rPr>
        <w:t xml:space="preserve">Introduced regulatory </w:t>
      </w:r>
      <w:r w:rsidR="00A25A13">
        <w:rPr>
          <w:rFonts w:asciiTheme="minorHAnsi" w:hAnsiTheme="minorHAnsi"/>
          <w:b/>
          <w:sz w:val="22"/>
          <w:szCs w:val="22"/>
        </w:rPr>
        <w:t>sequences</w:t>
      </w:r>
      <w:r w:rsidR="00A25A13" w:rsidRPr="00A25A13">
        <w:rPr>
          <w:rFonts w:asciiTheme="minorHAnsi" w:hAnsiTheme="minorHAnsi"/>
          <w:b/>
          <w:sz w:val="22"/>
          <w:szCs w:val="22"/>
        </w:rPr>
        <w:t xml:space="preserve"> in GM </w:t>
      </w:r>
      <w:r w:rsidR="009505F3">
        <w:rPr>
          <w:rFonts w:asciiTheme="minorHAnsi" w:hAnsiTheme="minorHAnsi"/>
          <w:b/>
          <w:sz w:val="22"/>
          <w:szCs w:val="22"/>
        </w:rPr>
        <w:t>perennial ryegrass</w:t>
      </w:r>
    </w:p>
    <w:tbl>
      <w:tblPr>
        <w:tblStyle w:val="RARMPtable"/>
        <w:tblW w:w="0" w:type="auto"/>
        <w:tblLook w:val="04A0" w:firstRow="1" w:lastRow="0" w:firstColumn="1" w:lastColumn="0" w:noHBand="0" w:noVBand="1"/>
        <w:tblCaption w:val="Introduced regulatory sequences in the GM sorghum lines"/>
        <w:tblDescription w:val="This table lists regulatory sequences and their source organisms"/>
      </w:tblPr>
      <w:tblGrid>
        <w:gridCol w:w="3652"/>
        <w:gridCol w:w="2977"/>
      </w:tblGrid>
      <w:tr w:rsidR="00A25A13" w:rsidTr="00811AFC">
        <w:trPr>
          <w:cnfStyle w:val="100000000000" w:firstRow="1" w:lastRow="0" w:firstColumn="0" w:lastColumn="0" w:oddVBand="0" w:evenVBand="0" w:oddHBand="0" w:evenHBand="0" w:firstRowFirstColumn="0" w:firstRowLastColumn="0" w:lastRowFirstColumn="0" w:lastRowLastColumn="0"/>
        </w:trPr>
        <w:tc>
          <w:tcPr>
            <w:tcW w:w="3652" w:type="dxa"/>
            <w:vAlign w:val="center"/>
          </w:tcPr>
          <w:p w:rsidR="00A25A13" w:rsidRDefault="00A25A13" w:rsidP="00A25A13">
            <w:pPr>
              <w:pStyle w:val="1Para"/>
              <w:numPr>
                <w:ilvl w:val="0"/>
                <w:numId w:val="0"/>
              </w:numPr>
              <w:spacing w:before="40" w:after="40"/>
              <w:rPr>
                <w:rFonts w:asciiTheme="minorHAnsi" w:hAnsiTheme="minorHAnsi"/>
                <w:sz w:val="22"/>
                <w:szCs w:val="22"/>
              </w:rPr>
            </w:pPr>
            <w:r>
              <w:rPr>
                <w:rFonts w:asciiTheme="minorHAnsi" w:hAnsiTheme="minorHAnsi"/>
                <w:sz w:val="22"/>
                <w:szCs w:val="22"/>
              </w:rPr>
              <w:t>Regulatory sequence</w:t>
            </w:r>
          </w:p>
        </w:tc>
        <w:tc>
          <w:tcPr>
            <w:tcW w:w="2977" w:type="dxa"/>
            <w:vAlign w:val="center"/>
          </w:tcPr>
          <w:p w:rsidR="00A25A13" w:rsidRPr="00A25A13" w:rsidRDefault="00A25A13" w:rsidP="00A25A13">
            <w:pPr>
              <w:pStyle w:val="1Para"/>
              <w:numPr>
                <w:ilvl w:val="0"/>
                <w:numId w:val="0"/>
              </w:numPr>
              <w:spacing w:before="40" w:after="40"/>
              <w:jc w:val="center"/>
              <w:rPr>
                <w:rFonts w:asciiTheme="minorHAnsi" w:hAnsiTheme="minorHAnsi"/>
                <w:b w:val="0"/>
                <w:sz w:val="22"/>
                <w:szCs w:val="22"/>
              </w:rPr>
            </w:pPr>
            <w:r>
              <w:rPr>
                <w:rFonts w:asciiTheme="minorHAnsi" w:hAnsiTheme="minorHAnsi"/>
                <w:sz w:val="22"/>
                <w:szCs w:val="22"/>
              </w:rPr>
              <w:t>Source</w:t>
            </w:r>
          </w:p>
        </w:tc>
      </w:tr>
      <w:tr w:rsidR="00A25A13" w:rsidTr="00811AFC">
        <w:tc>
          <w:tcPr>
            <w:tcW w:w="3652" w:type="dxa"/>
            <w:vAlign w:val="center"/>
          </w:tcPr>
          <w:p w:rsidR="00A25A13" w:rsidRPr="009505F3" w:rsidRDefault="009505F3" w:rsidP="00A25A13">
            <w:pPr>
              <w:pStyle w:val="1Para"/>
              <w:numPr>
                <w:ilvl w:val="0"/>
                <w:numId w:val="0"/>
              </w:numPr>
              <w:spacing w:before="40" w:after="40"/>
              <w:rPr>
                <w:rFonts w:asciiTheme="minorHAnsi" w:hAnsiTheme="minorHAnsi"/>
                <w:sz w:val="22"/>
                <w:szCs w:val="22"/>
              </w:rPr>
            </w:pPr>
            <w:r>
              <w:rPr>
                <w:rFonts w:asciiTheme="minorHAnsi" w:hAnsiTheme="minorHAnsi"/>
                <w:i/>
                <w:sz w:val="22"/>
                <w:szCs w:val="22"/>
              </w:rPr>
              <w:t xml:space="preserve">LpRbcS </w:t>
            </w:r>
            <w:r>
              <w:rPr>
                <w:rFonts w:asciiTheme="minorHAnsi" w:hAnsiTheme="minorHAnsi"/>
                <w:sz w:val="22"/>
                <w:szCs w:val="22"/>
              </w:rPr>
              <w:t>promoter</w:t>
            </w:r>
          </w:p>
        </w:tc>
        <w:tc>
          <w:tcPr>
            <w:tcW w:w="2977" w:type="dxa"/>
            <w:vAlign w:val="center"/>
          </w:tcPr>
          <w:p w:rsidR="00A25A13" w:rsidRPr="00A25A13" w:rsidRDefault="009505F3" w:rsidP="00A25A1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Lolium perenne</w:t>
            </w:r>
          </w:p>
        </w:tc>
      </w:tr>
      <w:tr w:rsidR="00A25A13" w:rsidTr="00811AFC">
        <w:tc>
          <w:tcPr>
            <w:tcW w:w="3652" w:type="dxa"/>
            <w:vAlign w:val="center"/>
          </w:tcPr>
          <w:p w:rsidR="00A25A13" w:rsidRPr="001912C9" w:rsidRDefault="000D6B2F" w:rsidP="000D6B2F">
            <w:pPr>
              <w:pStyle w:val="1Para"/>
              <w:numPr>
                <w:ilvl w:val="0"/>
                <w:numId w:val="0"/>
              </w:numPr>
              <w:spacing w:before="40" w:after="40"/>
              <w:rPr>
                <w:rFonts w:asciiTheme="minorHAnsi" w:hAnsiTheme="minorHAnsi"/>
                <w:i/>
                <w:sz w:val="22"/>
                <w:szCs w:val="22"/>
              </w:rPr>
            </w:pPr>
            <w:r>
              <w:rPr>
                <w:rFonts w:asciiTheme="minorHAnsi" w:hAnsiTheme="minorHAnsi"/>
                <w:i/>
                <w:sz w:val="22"/>
                <w:szCs w:val="22"/>
              </w:rPr>
              <w:t xml:space="preserve">Actin </w:t>
            </w:r>
            <w:r w:rsidR="00A25A13">
              <w:rPr>
                <w:rFonts w:asciiTheme="minorHAnsi" w:hAnsiTheme="minorHAnsi"/>
                <w:i/>
                <w:sz w:val="22"/>
                <w:szCs w:val="22"/>
              </w:rPr>
              <w:t xml:space="preserve">1 </w:t>
            </w:r>
            <w:r w:rsidR="00A25A13" w:rsidRPr="00A25A13">
              <w:rPr>
                <w:rFonts w:asciiTheme="minorHAnsi" w:hAnsiTheme="minorHAnsi"/>
                <w:sz w:val="22"/>
                <w:szCs w:val="22"/>
              </w:rPr>
              <w:t>promoter</w:t>
            </w:r>
          </w:p>
        </w:tc>
        <w:tc>
          <w:tcPr>
            <w:tcW w:w="2977" w:type="dxa"/>
            <w:vAlign w:val="center"/>
          </w:tcPr>
          <w:p w:rsidR="00A25A13" w:rsidRPr="001912C9" w:rsidRDefault="000D6B2F" w:rsidP="00607BA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Oryza</w:t>
            </w:r>
            <w:r w:rsidR="00607BA3">
              <w:rPr>
                <w:rFonts w:asciiTheme="minorHAnsi" w:hAnsiTheme="minorHAnsi"/>
                <w:i/>
                <w:sz w:val="22"/>
                <w:szCs w:val="22"/>
              </w:rPr>
              <w:t xml:space="preserve"> sativa</w:t>
            </w:r>
          </w:p>
        </w:tc>
      </w:tr>
      <w:tr w:rsidR="00A25A13" w:rsidTr="00811AFC">
        <w:tc>
          <w:tcPr>
            <w:tcW w:w="3652" w:type="dxa"/>
            <w:vAlign w:val="center"/>
          </w:tcPr>
          <w:p w:rsidR="00A25A13" w:rsidRPr="001912C9" w:rsidRDefault="00607BA3" w:rsidP="00607BA3">
            <w:pPr>
              <w:pStyle w:val="1Para"/>
              <w:numPr>
                <w:ilvl w:val="0"/>
                <w:numId w:val="0"/>
              </w:numPr>
              <w:spacing w:before="40" w:after="40"/>
              <w:rPr>
                <w:rFonts w:asciiTheme="minorHAnsi" w:hAnsiTheme="minorHAnsi"/>
                <w:i/>
                <w:sz w:val="22"/>
                <w:szCs w:val="22"/>
              </w:rPr>
            </w:pPr>
            <w:r>
              <w:rPr>
                <w:rFonts w:asciiTheme="minorHAnsi" w:hAnsiTheme="minorHAnsi"/>
                <w:i/>
                <w:sz w:val="22"/>
                <w:szCs w:val="22"/>
              </w:rPr>
              <w:t>35S</w:t>
            </w:r>
            <w:r w:rsidR="00A25A13">
              <w:rPr>
                <w:rFonts w:asciiTheme="minorHAnsi" w:hAnsiTheme="minorHAnsi"/>
                <w:i/>
                <w:sz w:val="22"/>
                <w:szCs w:val="22"/>
              </w:rPr>
              <w:t xml:space="preserve"> </w:t>
            </w:r>
            <w:r w:rsidR="00A25A13" w:rsidRPr="00A25A13">
              <w:rPr>
                <w:rFonts w:asciiTheme="minorHAnsi" w:hAnsiTheme="minorHAnsi"/>
                <w:sz w:val="22"/>
                <w:szCs w:val="22"/>
              </w:rPr>
              <w:t>terminator</w:t>
            </w:r>
          </w:p>
        </w:tc>
        <w:tc>
          <w:tcPr>
            <w:tcW w:w="2977" w:type="dxa"/>
            <w:vAlign w:val="center"/>
          </w:tcPr>
          <w:p w:rsidR="00A25A13" w:rsidRPr="003A457F" w:rsidRDefault="00607BA3" w:rsidP="00A25A13">
            <w:pPr>
              <w:pStyle w:val="1Para"/>
              <w:numPr>
                <w:ilvl w:val="0"/>
                <w:numId w:val="0"/>
              </w:numPr>
              <w:spacing w:before="40" w:after="40"/>
              <w:jc w:val="center"/>
              <w:rPr>
                <w:rFonts w:asciiTheme="minorHAnsi" w:hAnsiTheme="minorHAnsi"/>
                <w:sz w:val="22"/>
                <w:szCs w:val="22"/>
              </w:rPr>
            </w:pPr>
            <w:r w:rsidRPr="003A457F">
              <w:rPr>
                <w:rFonts w:asciiTheme="minorHAnsi" w:hAnsiTheme="minorHAnsi"/>
                <w:sz w:val="22"/>
                <w:szCs w:val="22"/>
              </w:rPr>
              <w:t>Cauliflower Mosaic Virus</w:t>
            </w:r>
          </w:p>
        </w:tc>
      </w:tr>
      <w:tr w:rsidR="00EC3993" w:rsidTr="00811AFC">
        <w:tc>
          <w:tcPr>
            <w:tcW w:w="3652" w:type="dxa"/>
            <w:vAlign w:val="center"/>
          </w:tcPr>
          <w:p w:rsidR="00EC3993" w:rsidRPr="00EC3993" w:rsidRDefault="00EC3993" w:rsidP="00607BA3">
            <w:pPr>
              <w:pStyle w:val="1Para"/>
              <w:numPr>
                <w:ilvl w:val="0"/>
                <w:numId w:val="0"/>
              </w:numPr>
              <w:spacing w:before="40" w:after="40"/>
              <w:rPr>
                <w:rFonts w:asciiTheme="minorHAnsi" w:hAnsiTheme="minorHAnsi"/>
                <w:sz w:val="22"/>
                <w:szCs w:val="22"/>
              </w:rPr>
            </w:pPr>
            <w:r w:rsidRPr="00EC3993">
              <w:rPr>
                <w:rFonts w:asciiTheme="minorHAnsi" w:hAnsiTheme="minorHAnsi"/>
                <w:i/>
                <w:sz w:val="22"/>
                <w:szCs w:val="22"/>
              </w:rPr>
              <w:t>LpFT4</w:t>
            </w:r>
            <w:r>
              <w:rPr>
                <w:rFonts w:asciiTheme="minorHAnsi" w:hAnsiTheme="minorHAnsi"/>
                <w:i/>
                <w:sz w:val="22"/>
                <w:szCs w:val="22"/>
              </w:rPr>
              <w:t xml:space="preserve"> </w:t>
            </w:r>
            <w:r w:rsidRPr="00EC3993">
              <w:rPr>
                <w:rFonts w:asciiTheme="minorHAnsi" w:hAnsiTheme="minorHAnsi"/>
                <w:sz w:val="22"/>
                <w:szCs w:val="22"/>
              </w:rPr>
              <w:t>terminator</w:t>
            </w:r>
            <w:r>
              <w:rPr>
                <w:rFonts w:asciiTheme="minorHAnsi" w:hAnsiTheme="minorHAnsi"/>
                <w:i/>
                <w:sz w:val="22"/>
                <w:szCs w:val="22"/>
              </w:rPr>
              <w:t xml:space="preserve"> </w:t>
            </w:r>
          </w:p>
        </w:tc>
        <w:tc>
          <w:tcPr>
            <w:tcW w:w="2977" w:type="dxa"/>
            <w:vAlign w:val="center"/>
          </w:tcPr>
          <w:p w:rsidR="00EC3993" w:rsidRPr="003A457F" w:rsidRDefault="00EC3993" w:rsidP="00A25A13">
            <w:pPr>
              <w:pStyle w:val="1Para"/>
              <w:numPr>
                <w:ilvl w:val="0"/>
                <w:numId w:val="0"/>
              </w:numPr>
              <w:spacing w:before="40" w:after="40"/>
              <w:jc w:val="center"/>
              <w:rPr>
                <w:rFonts w:asciiTheme="minorHAnsi" w:hAnsiTheme="minorHAnsi"/>
                <w:sz w:val="22"/>
                <w:szCs w:val="22"/>
              </w:rPr>
            </w:pPr>
            <w:r>
              <w:rPr>
                <w:rFonts w:asciiTheme="minorHAnsi" w:hAnsiTheme="minorHAnsi"/>
                <w:i/>
                <w:sz w:val="22"/>
                <w:szCs w:val="22"/>
              </w:rPr>
              <w:t>Lolium perenne</w:t>
            </w:r>
          </w:p>
        </w:tc>
      </w:tr>
    </w:tbl>
    <w:p w:rsidR="00CC046B" w:rsidRDefault="00CC046B" w:rsidP="00830CE8">
      <w:pPr>
        <w:rPr>
          <w:highlight w:val="yellow"/>
          <w:lang w:eastAsia="en-AU"/>
        </w:rPr>
      </w:pPr>
    </w:p>
    <w:p w:rsidR="00334594" w:rsidRPr="00CC046B" w:rsidRDefault="00334594" w:rsidP="00334594">
      <w:pPr>
        <w:tabs>
          <w:tab w:val="num" w:pos="851"/>
        </w:tabs>
        <w:jc w:val="both"/>
        <w:outlineLvl w:val="1"/>
        <w:rPr>
          <w:rFonts w:ascii="Calibri" w:eastAsia="Times New Roman" w:hAnsi="Calibri"/>
          <w:b/>
          <w:bCs/>
          <w:sz w:val="28"/>
          <w:szCs w:val="28"/>
          <w:highlight w:val="yellow"/>
          <w:lang w:eastAsia="en-AU"/>
        </w:rPr>
        <w:sectPr w:rsidR="00334594" w:rsidRPr="00CC046B" w:rsidSect="00EF0B07">
          <w:footerReference w:type="default" r:id="rId16"/>
          <w:pgSz w:w="11906" w:h="16838" w:code="9"/>
          <w:pgMar w:top="1247" w:right="1361" w:bottom="1247" w:left="1361" w:header="680" w:footer="510" w:gutter="0"/>
          <w:cols w:space="708"/>
          <w:docGrid w:linePitch="360"/>
        </w:sectPr>
      </w:pPr>
    </w:p>
    <w:p w:rsidR="00EA7F27" w:rsidRPr="003E4DFF" w:rsidRDefault="00EA7F27" w:rsidP="002A365B">
      <w:pPr>
        <w:tabs>
          <w:tab w:val="num" w:pos="851"/>
        </w:tabs>
        <w:jc w:val="right"/>
        <w:outlineLvl w:val="1"/>
        <w:rPr>
          <w:rFonts w:ascii="Calibri" w:eastAsia="Times New Roman" w:hAnsi="Calibri"/>
          <w:b/>
          <w:bCs/>
          <w:sz w:val="28"/>
          <w:szCs w:val="28"/>
          <w:lang w:eastAsia="en-AU"/>
        </w:rPr>
      </w:pPr>
      <w:r w:rsidRPr="003E4DFF">
        <w:rPr>
          <w:rFonts w:ascii="Calibri" w:eastAsia="Times New Roman" w:hAnsi="Calibri"/>
          <w:b/>
          <w:bCs/>
          <w:sz w:val="28"/>
          <w:szCs w:val="28"/>
          <w:lang w:eastAsia="en-AU"/>
        </w:rPr>
        <w:lastRenderedPageBreak/>
        <w:t>ATTACHMENT B</w:t>
      </w:r>
    </w:p>
    <w:p w:rsidR="00EA7F27" w:rsidRPr="003E4DFF" w:rsidRDefault="00EA7F27" w:rsidP="00EA7F27">
      <w:pPr>
        <w:tabs>
          <w:tab w:val="num" w:pos="851"/>
        </w:tabs>
        <w:spacing w:before="240" w:after="120"/>
        <w:rPr>
          <w:rFonts w:ascii="Calibri" w:eastAsia="Times New Roman" w:hAnsi="Calibri" w:cs="Arial"/>
          <w:b/>
          <w:sz w:val="22"/>
          <w:szCs w:val="22"/>
          <w:lang w:eastAsia="en-AU"/>
        </w:rPr>
      </w:pPr>
      <w:r w:rsidRPr="003E4DFF">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2935"/>
      </w:tblGrid>
      <w:tr w:rsidR="00563637" w:rsidRPr="003E4DFF" w:rsidTr="006962C8">
        <w:trPr>
          <w:trHeight w:val="20"/>
          <w:tblHeader/>
        </w:trPr>
        <w:tc>
          <w:tcPr>
            <w:tcW w:w="1373"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When</w:t>
            </w:r>
          </w:p>
        </w:tc>
        <w:tc>
          <w:tcPr>
            <w:tcW w:w="3656"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What</w:t>
            </w:r>
          </w:p>
        </w:tc>
        <w:tc>
          <w:tcPr>
            <w:tcW w:w="1108" w:type="dxa"/>
            <w:shd w:val="clear" w:color="auto" w:fill="D9D9D9" w:themeFill="background1" w:themeFillShade="D9"/>
          </w:tcPr>
          <w:p w:rsidR="00EA7F27" w:rsidRPr="003E4DFF" w:rsidRDefault="00EA7F27" w:rsidP="00636D44">
            <w:pPr>
              <w:spacing w:before="100" w:beforeAutospacing="1" w:after="100" w:afterAutospacing="1"/>
              <w:contextualSpacing/>
              <w:rPr>
                <w:rFonts w:ascii="Calibri" w:hAnsi="Calibri"/>
                <w:b/>
                <w:sz w:val="22"/>
                <w:szCs w:val="22"/>
              </w:rPr>
            </w:pPr>
            <w:r w:rsidRPr="003E4DFF">
              <w:rPr>
                <w:rFonts w:ascii="Calibri" w:hAnsi="Calibri"/>
                <w:b/>
                <w:sz w:val="22"/>
                <w:szCs w:val="22"/>
              </w:rPr>
              <w:t>Condition</w:t>
            </w:r>
          </w:p>
        </w:tc>
        <w:tc>
          <w:tcPr>
            <w:tcW w:w="2935"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Timeframe</w:t>
            </w:r>
            <w:r w:rsidR="004D7EE5" w:rsidRPr="003E4DFF">
              <w:rPr>
                <w:rFonts w:ascii="Calibri" w:hAnsi="Calibri"/>
                <w:b/>
                <w:sz w:val="22"/>
                <w:szCs w:val="22"/>
              </w:rPr>
              <w:t xml:space="preserve"> of reporting</w:t>
            </w:r>
          </w:p>
        </w:tc>
      </w:tr>
      <w:tr w:rsidR="00563637" w:rsidRPr="003E4DFF" w:rsidTr="00E51EB1">
        <w:trPr>
          <w:trHeight w:val="362"/>
        </w:trPr>
        <w:tc>
          <w:tcPr>
            <w:tcW w:w="1373" w:type="dxa"/>
            <w:vMerge w:val="restart"/>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Prior to conducting any dealings</w:t>
            </w: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Details of persons covered</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_Ref323628632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(a)</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E51EB1">
        <w:trPr>
          <w:trHeight w:val="668"/>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Plan to inform people covered by the licence</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_Ref323628649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(b)</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E51EB1">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 xml:space="preserve">Plan to ensure control and access to the Site </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_Ref323628667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(c)</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E51EB1">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Detection methodology</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_Ref323914721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(d)</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CC046B" w:rsidTr="00E51EB1">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Contingency plan</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_Ref323914742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(e)</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9610AA" w:rsidRPr="00CC046B" w:rsidTr="00E51EB1">
        <w:trPr>
          <w:trHeight w:val="20"/>
        </w:trPr>
        <w:tc>
          <w:tcPr>
            <w:tcW w:w="1373" w:type="dxa"/>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Prior to planting</w:t>
            </w:r>
          </w:p>
        </w:tc>
        <w:tc>
          <w:tcPr>
            <w:tcW w:w="3656" w:type="dxa"/>
          </w:tcPr>
          <w:p w:rsidR="009610AA" w:rsidRPr="000C7DE1" w:rsidRDefault="009610AA" w:rsidP="00354DF7">
            <w:pPr>
              <w:spacing w:before="100" w:beforeAutospacing="1" w:after="100" w:afterAutospacing="1"/>
              <w:contextualSpacing/>
              <w:rPr>
                <w:rFonts w:ascii="Calibri" w:hAnsi="Calibri"/>
                <w:sz w:val="22"/>
                <w:szCs w:val="22"/>
              </w:rPr>
            </w:pPr>
            <w:r w:rsidRPr="000C7DE1">
              <w:rPr>
                <w:rFonts w:ascii="Calibri" w:hAnsi="Calibri"/>
                <w:sz w:val="22"/>
                <w:szCs w:val="22"/>
              </w:rPr>
              <w:t>Intention to plant</w:t>
            </w:r>
            <w:r w:rsidR="00354DF7">
              <w:rPr>
                <w:rFonts w:ascii="Calibri" w:hAnsi="Calibri"/>
                <w:sz w:val="22"/>
                <w:szCs w:val="22"/>
              </w:rPr>
              <w:t xml:space="preserve"> and put in place</w:t>
            </w:r>
            <w:r w:rsidR="00354DF7" w:rsidRPr="00354DF7">
              <w:rPr>
                <w:rFonts w:ascii="Calibri" w:hAnsi="Calibri"/>
                <w:sz w:val="22"/>
                <w:szCs w:val="22"/>
              </w:rPr>
              <w:t xml:space="preserve"> rodent control, Polyhouse Enclosure, Fence, Adjacent Area and Monitoring Zone </w:t>
            </w:r>
          </w:p>
        </w:tc>
        <w:tc>
          <w:tcPr>
            <w:tcW w:w="1108" w:type="dxa"/>
          </w:tcPr>
          <w:p w:rsidR="009610AA" w:rsidRPr="000C7DE1" w:rsidRDefault="009610AA" w:rsidP="009610AA">
            <w:pPr>
              <w:spacing w:before="100" w:beforeAutospacing="1" w:after="100" w:afterAutospacing="1"/>
              <w:contextualSpacing/>
              <w:rPr>
                <w:rFonts w:ascii="Calibri" w:hAnsi="Calibri"/>
                <w:sz w:val="22"/>
                <w:szCs w:val="22"/>
              </w:rPr>
            </w:pPr>
            <w:r>
              <w:rPr>
                <w:rFonts w:ascii="Calibri" w:hAnsi="Calibri"/>
                <w:sz w:val="22"/>
                <w:szCs w:val="22"/>
              </w:rPr>
              <w:t>51 (a)</w:t>
            </w:r>
          </w:p>
        </w:tc>
        <w:tc>
          <w:tcPr>
            <w:tcW w:w="2935" w:type="dxa"/>
          </w:tcPr>
          <w:p w:rsidR="009610AA" w:rsidRPr="000C7DE1" w:rsidRDefault="009610AA" w:rsidP="008B0649">
            <w:pPr>
              <w:spacing w:before="100" w:beforeAutospacing="1" w:after="100" w:afterAutospacing="1"/>
              <w:contextualSpacing/>
              <w:rPr>
                <w:rFonts w:ascii="Calibri" w:hAnsi="Calibri"/>
                <w:sz w:val="22"/>
                <w:szCs w:val="22"/>
              </w:rPr>
            </w:pPr>
            <w:r w:rsidRPr="000C7DE1">
              <w:rPr>
                <w:rFonts w:ascii="Calibri" w:hAnsi="Calibri"/>
                <w:sz w:val="22"/>
                <w:szCs w:val="22"/>
              </w:rPr>
              <w:t xml:space="preserve">At least 7 days prior to </w:t>
            </w:r>
            <w:r>
              <w:rPr>
                <w:rFonts w:ascii="Calibri" w:hAnsi="Calibri"/>
                <w:sz w:val="22"/>
                <w:szCs w:val="22"/>
              </w:rPr>
              <w:t>any</w:t>
            </w:r>
            <w:r w:rsidRPr="000C7DE1">
              <w:rPr>
                <w:rFonts w:ascii="Calibri" w:hAnsi="Calibri"/>
                <w:sz w:val="22"/>
                <w:szCs w:val="22"/>
              </w:rPr>
              <w:t xml:space="preserve"> planting</w:t>
            </w:r>
          </w:p>
        </w:tc>
      </w:tr>
      <w:tr w:rsidR="009610AA" w:rsidRPr="00CC046B" w:rsidTr="00E51EB1">
        <w:trPr>
          <w:trHeight w:val="20"/>
        </w:trPr>
        <w:tc>
          <w:tcPr>
            <w:tcW w:w="1373" w:type="dxa"/>
          </w:tcPr>
          <w:p w:rsidR="009610AA" w:rsidRPr="000C7DE1" w:rsidRDefault="003A457F" w:rsidP="00CA433B">
            <w:pPr>
              <w:spacing w:before="100" w:beforeAutospacing="1" w:after="100" w:afterAutospacing="1"/>
              <w:contextualSpacing/>
              <w:rPr>
                <w:rFonts w:ascii="Calibri" w:hAnsi="Calibri"/>
                <w:sz w:val="22"/>
                <w:szCs w:val="22"/>
              </w:rPr>
            </w:pPr>
            <w:r>
              <w:rPr>
                <w:rFonts w:ascii="Calibri" w:hAnsi="Calibri"/>
                <w:sz w:val="22"/>
                <w:szCs w:val="22"/>
              </w:rPr>
              <w:t>P</w:t>
            </w:r>
            <w:r w:rsidR="009610AA" w:rsidRPr="000C7DE1">
              <w:rPr>
                <w:rFonts w:ascii="Calibri" w:hAnsi="Calibri"/>
                <w:sz w:val="22"/>
                <w:szCs w:val="22"/>
              </w:rPr>
              <w:t>lanting</w:t>
            </w:r>
          </w:p>
        </w:tc>
        <w:tc>
          <w:tcPr>
            <w:tcW w:w="3656" w:type="dxa"/>
          </w:tcPr>
          <w:p w:rsidR="009610AA" w:rsidRPr="000C7DE1" w:rsidRDefault="009610AA" w:rsidP="000C7DE1">
            <w:pPr>
              <w:spacing w:before="100" w:beforeAutospacing="1" w:after="100" w:afterAutospacing="1"/>
              <w:contextualSpacing/>
              <w:rPr>
                <w:rFonts w:ascii="Calibri" w:hAnsi="Calibri"/>
                <w:sz w:val="22"/>
                <w:szCs w:val="22"/>
              </w:rPr>
            </w:pPr>
            <w:r w:rsidRPr="000C7DE1">
              <w:rPr>
                <w:rFonts w:ascii="Calibri" w:hAnsi="Calibri"/>
                <w:sz w:val="22"/>
                <w:szCs w:val="22"/>
              </w:rPr>
              <w:t>Planting at a Planting Area</w:t>
            </w:r>
          </w:p>
        </w:tc>
        <w:tc>
          <w:tcPr>
            <w:tcW w:w="1108" w:type="dxa"/>
          </w:tcPr>
          <w:p w:rsidR="009610AA" w:rsidRPr="000C7DE1" w:rsidRDefault="009610AA" w:rsidP="009610AA">
            <w:pPr>
              <w:spacing w:before="100" w:beforeAutospacing="1" w:after="100" w:afterAutospacing="1"/>
              <w:contextualSpacing/>
              <w:rPr>
                <w:rFonts w:ascii="Calibri" w:hAnsi="Calibri"/>
                <w:sz w:val="22"/>
                <w:szCs w:val="22"/>
              </w:rPr>
            </w:pPr>
            <w:r w:rsidRPr="000C7DE1">
              <w:rPr>
                <w:rFonts w:ascii="Calibri" w:hAnsi="Calibri"/>
                <w:sz w:val="22"/>
                <w:szCs w:val="22"/>
              </w:rPr>
              <w:t>5</w:t>
            </w:r>
            <w:r>
              <w:rPr>
                <w:rFonts w:ascii="Calibri" w:hAnsi="Calibri"/>
                <w:sz w:val="22"/>
                <w:szCs w:val="22"/>
              </w:rPr>
              <w:t>1</w:t>
            </w:r>
            <w:r w:rsidRPr="000C7DE1">
              <w:rPr>
                <w:rFonts w:ascii="Calibri" w:hAnsi="Calibri"/>
                <w:sz w:val="22"/>
                <w:szCs w:val="22"/>
              </w:rPr>
              <w:t xml:space="preserve"> (</w:t>
            </w:r>
            <w:r>
              <w:rPr>
                <w:rFonts w:ascii="Calibri" w:hAnsi="Calibri"/>
                <w:sz w:val="22"/>
                <w:szCs w:val="22"/>
              </w:rPr>
              <w:t>b</w:t>
            </w:r>
            <w:r w:rsidRPr="000C7DE1">
              <w:rPr>
                <w:rFonts w:ascii="Calibri" w:hAnsi="Calibri"/>
                <w:sz w:val="22"/>
                <w:szCs w:val="22"/>
              </w:rPr>
              <w:t>)</w:t>
            </w:r>
          </w:p>
        </w:tc>
        <w:tc>
          <w:tcPr>
            <w:tcW w:w="2935" w:type="dxa"/>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Within 7 days of any planting</w:t>
            </w:r>
          </w:p>
        </w:tc>
      </w:tr>
      <w:tr w:rsidR="009610AA" w:rsidRPr="00CC046B" w:rsidTr="0010215D">
        <w:trPr>
          <w:trHeight w:val="302"/>
        </w:trPr>
        <w:tc>
          <w:tcPr>
            <w:tcW w:w="1373" w:type="dxa"/>
            <w:vMerge w:val="restart"/>
          </w:tcPr>
          <w:p w:rsidR="009610AA" w:rsidRPr="00A436E7" w:rsidRDefault="009610AA" w:rsidP="00CA433B">
            <w:pPr>
              <w:spacing w:before="100" w:beforeAutospacing="1" w:after="100" w:afterAutospacing="1"/>
              <w:contextualSpacing/>
              <w:rPr>
                <w:rFonts w:ascii="Calibri" w:hAnsi="Calibri"/>
                <w:sz w:val="22"/>
                <w:szCs w:val="22"/>
              </w:rPr>
            </w:pPr>
            <w:r w:rsidRPr="00A436E7">
              <w:rPr>
                <w:rFonts w:ascii="Calibri" w:hAnsi="Calibri"/>
                <w:sz w:val="22"/>
                <w:szCs w:val="22"/>
              </w:rPr>
              <w:t>While growing</w:t>
            </w:r>
          </w:p>
        </w:tc>
        <w:tc>
          <w:tcPr>
            <w:tcW w:w="3656" w:type="dxa"/>
          </w:tcPr>
          <w:p w:rsidR="009610AA" w:rsidRPr="00A436E7" w:rsidRDefault="009610AA" w:rsidP="009610AA">
            <w:pPr>
              <w:spacing w:before="100" w:beforeAutospacing="1" w:after="100" w:afterAutospacing="1"/>
              <w:contextualSpacing/>
              <w:rPr>
                <w:rFonts w:ascii="Calibri" w:hAnsi="Calibri"/>
                <w:sz w:val="22"/>
                <w:szCs w:val="22"/>
              </w:rPr>
            </w:pPr>
            <w:r w:rsidRPr="00A436E7">
              <w:rPr>
                <w:rFonts w:ascii="Calibri" w:hAnsi="Calibri"/>
                <w:sz w:val="22"/>
                <w:szCs w:val="22"/>
              </w:rPr>
              <w:t xml:space="preserve">Inspections of </w:t>
            </w:r>
            <w:r>
              <w:rPr>
                <w:rFonts w:ascii="Calibri" w:hAnsi="Calibri"/>
                <w:sz w:val="22"/>
                <w:szCs w:val="22"/>
              </w:rPr>
              <w:t xml:space="preserve">Polyhouse Enclosure and </w:t>
            </w:r>
            <w:r w:rsidRPr="00A436E7">
              <w:rPr>
                <w:rFonts w:ascii="Calibri" w:hAnsi="Calibri"/>
                <w:sz w:val="22"/>
                <w:szCs w:val="22"/>
              </w:rPr>
              <w:t xml:space="preserve">fence </w:t>
            </w:r>
          </w:p>
        </w:tc>
        <w:tc>
          <w:tcPr>
            <w:tcW w:w="1108" w:type="dxa"/>
          </w:tcPr>
          <w:p w:rsidR="009610AA" w:rsidRPr="00A436E7" w:rsidRDefault="009610AA" w:rsidP="000F7EED">
            <w:pPr>
              <w:spacing w:before="100" w:beforeAutospacing="1" w:after="100" w:afterAutospacing="1"/>
              <w:contextualSpacing/>
              <w:rPr>
                <w:rFonts w:ascii="Calibri" w:hAnsi="Calibri"/>
                <w:sz w:val="22"/>
                <w:szCs w:val="22"/>
              </w:rPr>
            </w:pPr>
            <w:r w:rsidRPr="00A436E7">
              <w:rPr>
                <w:rFonts w:ascii="Calibri" w:hAnsi="Calibri"/>
                <w:sz w:val="22"/>
                <w:szCs w:val="22"/>
              </w:rPr>
              <w:t>3</w:t>
            </w:r>
            <w:r>
              <w:rPr>
                <w:rFonts w:ascii="Calibri" w:hAnsi="Calibri"/>
                <w:sz w:val="22"/>
                <w:szCs w:val="22"/>
              </w:rPr>
              <w:t>7</w:t>
            </w:r>
          </w:p>
        </w:tc>
        <w:tc>
          <w:tcPr>
            <w:tcW w:w="2935" w:type="dxa"/>
          </w:tcPr>
          <w:p w:rsidR="009610AA" w:rsidRPr="00CC046B" w:rsidRDefault="009610AA" w:rsidP="00C801A9">
            <w:pPr>
              <w:spacing w:before="100" w:beforeAutospacing="1" w:after="100" w:afterAutospacing="1"/>
              <w:contextualSpacing/>
              <w:rPr>
                <w:rFonts w:ascii="Calibri" w:hAnsi="Calibri"/>
                <w:sz w:val="22"/>
                <w:szCs w:val="22"/>
                <w:highlight w:val="yellow"/>
              </w:rPr>
            </w:pPr>
            <w:r w:rsidRPr="000C7DE1">
              <w:rPr>
                <w:rFonts w:ascii="Calibri" w:hAnsi="Calibri"/>
                <w:sz w:val="22"/>
                <w:szCs w:val="22"/>
              </w:rPr>
              <w:t>Within 35 days of each inspection</w:t>
            </w:r>
          </w:p>
        </w:tc>
      </w:tr>
      <w:tr w:rsidR="009610AA" w:rsidRPr="00CC046B" w:rsidTr="00E51EB1">
        <w:trPr>
          <w:trHeight w:val="452"/>
        </w:trPr>
        <w:tc>
          <w:tcPr>
            <w:tcW w:w="1373" w:type="dxa"/>
            <w:vMerge/>
          </w:tcPr>
          <w:p w:rsidR="009610AA" w:rsidRPr="00A436E7" w:rsidRDefault="009610AA" w:rsidP="00CA433B">
            <w:pPr>
              <w:spacing w:before="100" w:beforeAutospacing="1" w:after="100" w:afterAutospacing="1"/>
              <w:contextualSpacing/>
              <w:rPr>
                <w:rFonts w:ascii="Calibri" w:hAnsi="Calibri"/>
                <w:sz w:val="22"/>
                <w:szCs w:val="22"/>
              </w:rPr>
            </w:pPr>
          </w:p>
        </w:tc>
        <w:tc>
          <w:tcPr>
            <w:tcW w:w="3656" w:type="dxa"/>
          </w:tcPr>
          <w:p w:rsidR="009610AA" w:rsidRPr="00A436E7" w:rsidRDefault="009610AA" w:rsidP="009610AA">
            <w:pPr>
              <w:spacing w:before="100" w:beforeAutospacing="1" w:after="100" w:afterAutospacing="1"/>
              <w:contextualSpacing/>
              <w:rPr>
                <w:rFonts w:ascii="Calibri" w:hAnsi="Calibri"/>
                <w:sz w:val="22"/>
                <w:szCs w:val="22"/>
              </w:rPr>
            </w:pPr>
            <w:r w:rsidRPr="00A436E7">
              <w:rPr>
                <w:rFonts w:ascii="Calibri" w:hAnsi="Calibri"/>
                <w:sz w:val="22"/>
                <w:szCs w:val="22"/>
              </w:rPr>
              <w:t xml:space="preserve">Inspections of Planting Area, </w:t>
            </w:r>
            <w:r>
              <w:rPr>
                <w:rFonts w:ascii="Calibri" w:hAnsi="Calibri"/>
                <w:sz w:val="22"/>
                <w:szCs w:val="22"/>
              </w:rPr>
              <w:t xml:space="preserve">Adjacent Area and </w:t>
            </w:r>
            <w:r w:rsidRPr="00A436E7">
              <w:rPr>
                <w:rFonts w:ascii="Calibri" w:hAnsi="Calibri"/>
                <w:sz w:val="22"/>
                <w:szCs w:val="22"/>
              </w:rPr>
              <w:t>Monitoring Zone</w:t>
            </w:r>
            <w:r>
              <w:rPr>
                <w:rFonts w:ascii="Calibri" w:hAnsi="Calibri"/>
                <w:sz w:val="22"/>
                <w:szCs w:val="22"/>
              </w:rPr>
              <w:t xml:space="preserve"> </w:t>
            </w:r>
          </w:p>
        </w:tc>
        <w:tc>
          <w:tcPr>
            <w:tcW w:w="1108" w:type="dxa"/>
          </w:tcPr>
          <w:p w:rsidR="009610AA" w:rsidRPr="00A436E7" w:rsidRDefault="009610AA" w:rsidP="000F7EED">
            <w:pPr>
              <w:spacing w:before="100" w:beforeAutospacing="1" w:after="100" w:afterAutospacing="1"/>
              <w:contextualSpacing/>
              <w:rPr>
                <w:rFonts w:ascii="Calibri" w:hAnsi="Calibri"/>
                <w:sz w:val="22"/>
                <w:szCs w:val="22"/>
              </w:rPr>
            </w:pPr>
            <w:r w:rsidRPr="00A436E7">
              <w:rPr>
                <w:rFonts w:ascii="Calibri" w:hAnsi="Calibri"/>
                <w:sz w:val="22"/>
                <w:szCs w:val="22"/>
              </w:rPr>
              <w:t>3</w:t>
            </w:r>
            <w:r>
              <w:rPr>
                <w:rFonts w:ascii="Calibri" w:hAnsi="Calibri"/>
                <w:sz w:val="22"/>
                <w:szCs w:val="22"/>
              </w:rPr>
              <w:t>7</w:t>
            </w:r>
          </w:p>
        </w:tc>
        <w:tc>
          <w:tcPr>
            <w:tcW w:w="2935" w:type="dxa"/>
          </w:tcPr>
          <w:p w:rsidR="009610AA" w:rsidRPr="00CC046B" w:rsidRDefault="009610AA" w:rsidP="00CA433B">
            <w:pPr>
              <w:spacing w:before="100" w:beforeAutospacing="1" w:after="100" w:afterAutospacing="1"/>
              <w:contextualSpacing/>
              <w:rPr>
                <w:rFonts w:ascii="Calibri" w:hAnsi="Calibri"/>
                <w:sz w:val="22"/>
                <w:szCs w:val="22"/>
                <w:highlight w:val="yellow"/>
              </w:rPr>
            </w:pPr>
            <w:r w:rsidRPr="00A436E7">
              <w:rPr>
                <w:rFonts w:ascii="Calibri" w:hAnsi="Calibri"/>
                <w:sz w:val="22"/>
                <w:szCs w:val="22"/>
              </w:rPr>
              <w:t>Within 35 days of each inspection</w:t>
            </w:r>
          </w:p>
        </w:tc>
      </w:tr>
      <w:tr w:rsidR="009610AA" w:rsidRPr="00CC046B" w:rsidTr="00E51EB1">
        <w:trPr>
          <w:trHeight w:val="452"/>
        </w:trPr>
        <w:tc>
          <w:tcPr>
            <w:tcW w:w="1373" w:type="dxa"/>
            <w:vMerge w:val="restart"/>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After harvest</w:t>
            </w:r>
          </w:p>
        </w:tc>
        <w:tc>
          <w:tcPr>
            <w:tcW w:w="3656" w:type="dxa"/>
          </w:tcPr>
          <w:p w:rsidR="009610AA" w:rsidRPr="000C7DE1" w:rsidRDefault="009610AA" w:rsidP="000C7DE1">
            <w:pPr>
              <w:spacing w:before="100" w:beforeAutospacing="1" w:after="100" w:afterAutospacing="1"/>
              <w:contextualSpacing/>
              <w:rPr>
                <w:rFonts w:ascii="Calibri" w:hAnsi="Calibri"/>
                <w:sz w:val="22"/>
                <w:szCs w:val="22"/>
              </w:rPr>
            </w:pPr>
            <w:r w:rsidRPr="000C7DE1">
              <w:rPr>
                <w:rFonts w:ascii="Calibri" w:hAnsi="Calibri"/>
                <w:sz w:val="22"/>
                <w:szCs w:val="22"/>
              </w:rPr>
              <w:t>Harvesting at a Planting Area</w:t>
            </w:r>
          </w:p>
        </w:tc>
        <w:tc>
          <w:tcPr>
            <w:tcW w:w="1108" w:type="dxa"/>
          </w:tcPr>
          <w:p w:rsidR="009610AA" w:rsidRPr="000C7DE1" w:rsidRDefault="009610AA" w:rsidP="009610AA">
            <w:pPr>
              <w:spacing w:before="100" w:beforeAutospacing="1" w:after="100" w:afterAutospacing="1"/>
              <w:contextualSpacing/>
              <w:rPr>
                <w:rFonts w:ascii="Calibri" w:hAnsi="Calibri"/>
                <w:sz w:val="22"/>
                <w:szCs w:val="22"/>
              </w:rPr>
            </w:pPr>
            <w:r w:rsidRPr="000C7DE1">
              <w:rPr>
                <w:rFonts w:ascii="Calibri" w:hAnsi="Calibri"/>
                <w:sz w:val="22"/>
                <w:szCs w:val="22"/>
              </w:rPr>
              <w:t>5</w:t>
            </w:r>
            <w:r>
              <w:rPr>
                <w:rFonts w:ascii="Calibri" w:hAnsi="Calibri"/>
                <w:sz w:val="22"/>
                <w:szCs w:val="22"/>
              </w:rPr>
              <w:t>1</w:t>
            </w:r>
            <w:r w:rsidRPr="000C7DE1">
              <w:rPr>
                <w:rFonts w:ascii="Calibri" w:hAnsi="Calibri"/>
                <w:sz w:val="22"/>
                <w:szCs w:val="22"/>
              </w:rPr>
              <w:t xml:space="preserve"> (</w:t>
            </w:r>
            <w:r>
              <w:rPr>
                <w:rFonts w:ascii="Calibri" w:hAnsi="Calibri"/>
                <w:sz w:val="22"/>
                <w:szCs w:val="22"/>
              </w:rPr>
              <w:t>c</w:t>
            </w:r>
            <w:r w:rsidRPr="000C7DE1">
              <w:rPr>
                <w:rFonts w:ascii="Calibri" w:hAnsi="Calibri"/>
                <w:sz w:val="22"/>
                <w:szCs w:val="22"/>
              </w:rPr>
              <w:t>)</w:t>
            </w:r>
          </w:p>
        </w:tc>
        <w:tc>
          <w:tcPr>
            <w:tcW w:w="2935" w:type="dxa"/>
          </w:tcPr>
          <w:p w:rsidR="009610AA" w:rsidRPr="000C7DE1" w:rsidRDefault="009610AA" w:rsidP="00414217">
            <w:pPr>
              <w:spacing w:before="100" w:beforeAutospacing="1" w:after="100" w:afterAutospacing="1"/>
              <w:contextualSpacing/>
              <w:rPr>
                <w:rFonts w:ascii="Calibri" w:hAnsi="Calibri"/>
                <w:sz w:val="22"/>
                <w:szCs w:val="22"/>
              </w:rPr>
            </w:pPr>
            <w:r w:rsidRPr="000C7DE1">
              <w:rPr>
                <w:rFonts w:ascii="Calibri" w:hAnsi="Calibri"/>
                <w:sz w:val="22"/>
                <w:szCs w:val="22"/>
              </w:rPr>
              <w:t>Within 7 days of harvesting</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0C7DE1" w:rsidRDefault="009610AA" w:rsidP="004D7EE5">
            <w:pPr>
              <w:spacing w:before="100" w:beforeAutospacing="1" w:after="100" w:afterAutospacing="1"/>
              <w:contextualSpacing/>
              <w:rPr>
                <w:rFonts w:ascii="Calibri" w:hAnsi="Calibri"/>
                <w:sz w:val="22"/>
                <w:szCs w:val="22"/>
              </w:rPr>
            </w:pPr>
            <w:r w:rsidRPr="000C7DE1">
              <w:rPr>
                <w:rFonts w:ascii="Calibri" w:hAnsi="Calibri"/>
                <w:sz w:val="22"/>
                <w:szCs w:val="22"/>
              </w:rPr>
              <w:t>Post-harvest inspections</w:t>
            </w:r>
          </w:p>
        </w:tc>
        <w:tc>
          <w:tcPr>
            <w:tcW w:w="1108" w:type="dxa"/>
          </w:tcPr>
          <w:p w:rsidR="009610AA" w:rsidRPr="000C7DE1" w:rsidRDefault="009610AA" w:rsidP="000F7EED">
            <w:pPr>
              <w:spacing w:before="100" w:beforeAutospacing="1" w:after="100" w:afterAutospacing="1"/>
              <w:contextualSpacing/>
              <w:rPr>
                <w:rFonts w:ascii="Calibri" w:hAnsi="Calibri"/>
                <w:sz w:val="22"/>
                <w:szCs w:val="22"/>
              </w:rPr>
            </w:pPr>
            <w:r w:rsidRPr="000C7DE1">
              <w:rPr>
                <w:rFonts w:ascii="Calibri" w:hAnsi="Calibri"/>
                <w:sz w:val="22"/>
                <w:szCs w:val="22"/>
              </w:rPr>
              <w:t>4</w:t>
            </w:r>
            <w:r>
              <w:rPr>
                <w:rFonts w:ascii="Calibri" w:hAnsi="Calibri"/>
                <w:sz w:val="22"/>
                <w:szCs w:val="22"/>
              </w:rPr>
              <w:t>6</w:t>
            </w:r>
          </w:p>
        </w:tc>
        <w:tc>
          <w:tcPr>
            <w:tcW w:w="2935" w:type="dxa"/>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Within 35 days of each inspection</w:t>
            </w:r>
          </w:p>
        </w:tc>
      </w:tr>
      <w:tr w:rsidR="009610AA" w:rsidRPr="00CC046B" w:rsidTr="008271F9">
        <w:trPr>
          <w:trHeight w:val="626"/>
        </w:trPr>
        <w:tc>
          <w:tcPr>
            <w:tcW w:w="1373" w:type="dxa"/>
            <w:vMerge w:val="restart"/>
          </w:tcPr>
          <w:p w:rsidR="009610AA" w:rsidRPr="00CC046B" w:rsidRDefault="009610AA" w:rsidP="00CA433B">
            <w:pPr>
              <w:spacing w:before="100" w:beforeAutospacing="1" w:after="100" w:afterAutospacing="1"/>
              <w:contextualSpacing/>
              <w:rPr>
                <w:rFonts w:ascii="Calibri" w:hAnsi="Calibri"/>
                <w:sz w:val="22"/>
                <w:szCs w:val="22"/>
                <w:highlight w:val="yellow"/>
              </w:rPr>
            </w:pPr>
            <w:r w:rsidRPr="008271F9">
              <w:rPr>
                <w:rFonts w:ascii="Calibri" w:hAnsi="Calibri"/>
                <w:sz w:val="22"/>
                <w:szCs w:val="22"/>
              </w:rPr>
              <w:t>Any time after issue of the licence</w:t>
            </w:r>
          </w:p>
        </w:tc>
        <w:tc>
          <w:tcPr>
            <w:tcW w:w="3656"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Any changes of the project supervisor contact details</w:t>
            </w:r>
          </w:p>
        </w:tc>
        <w:tc>
          <w:tcPr>
            <w:tcW w:w="1108" w:type="dxa"/>
          </w:tcPr>
          <w:p w:rsidR="009610AA" w:rsidRPr="008271F9" w:rsidRDefault="009610AA" w:rsidP="00636D44">
            <w:pPr>
              <w:spacing w:before="100" w:beforeAutospacing="1" w:after="100" w:afterAutospacing="1"/>
              <w:contextualSpacing/>
              <w:rPr>
                <w:rFonts w:ascii="Calibri" w:hAnsi="Calibri"/>
                <w:sz w:val="22"/>
                <w:szCs w:val="22"/>
              </w:rPr>
            </w:pPr>
            <w:r w:rsidRPr="008271F9">
              <w:rPr>
                <w:rFonts w:ascii="Calibri" w:hAnsi="Calibri"/>
                <w:sz w:val="22"/>
                <w:szCs w:val="22"/>
              </w:rPr>
              <w:t>8</w:t>
            </w:r>
          </w:p>
        </w:tc>
        <w:tc>
          <w:tcPr>
            <w:tcW w:w="2935"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As soon as practicable</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8271F9" w:rsidRDefault="009610AA" w:rsidP="008271F9">
            <w:pPr>
              <w:spacing w:before="100" w:beforeAutospacing="1" w:after="100" w:afterAutospacing="1"/>
              <w:contextualSpacing/>
              <w:rPr>
                <w:rFonts w:ascii="Calibri" w:hAnsi="Calibri"/>
                <w:sz w:val="22"/>
                <w:szCs w:val="22"/>
              </w:rPr>
            </w:pPr>
            <w:r w:rsidRPr="008271F9">
              <w:rPr>
                <w:rFonts w:ascii="Calibri" w:hAnsi="Calibri"/>
                <w:sz w:val="22"/>
                <w:szCs w:val="22"/>
              </w:rPr>
              <w:t>Any relevant conviction, any revocation, suspension or cancellation of a relevant permit or any circumstances that may affect compliance with licence conditions</w:t>
            </w:r>
          </w:p>
        </w:tc>
        <w:tc>
          <w:tcPr>
            <w:tcW w:w="1108" w:type="dxa"/>
          </w:tcPr>
          <w:p w:rsidR="009610AA" w:rsidRPr="008271F9" w:rsidRDefault="009610AA" w:rsidP="00636D44">
            <w:pPr>
              <w:spacing w:before="100" w:beforeAutospacing="1" w:after="100" w:afterAutospacing="1"/>
              <w:contextualSpacing/>
              <w:rPr>
                <w:rFonts w:ascii="Calibri" w:hAnsi="Calibri"/>
                <w:sz w:val="22"/>
                <w:szCs w:val="22"/>
              </w:rPr>
            </w:pPr>
            <w:r w:rsidRPr="008271F9">
              <w:rPr>
                <w:rFonts w:ascii="Calibri" w:hAnsi="Calibri"/>
                <w:sz w:val="22"/>
                <w:szCs w:val="22"/>
              </w:rPr>
              <w:t>10 (a)</w:t>
            </w:r>
          </w:p>
        </w:tc>
        <w:tc>
          <w:tcPr>
            <w:tcW w:w="2935"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Immediately, if occurs</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Any information relevant to on-going suitability</w:t>
            </w:r>
          </w:p>
        </w:tc>
        <w:tc>
          <w:tcPr>
            <w:tcW w:w="1108" w:type="dxa"/>
          </w:tcPr>
          <w:p w:rsidR="009610AA" w:rsidRPr="008271F9"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10 (b)</w:t>
            </w:r>
          </w:p>
        </w:tc>
        <w:tc>
          <w:tcPr>
            <w:tcW w:w="2935"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If and when requested</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 xml:space="preserve">Any changes to details provided under conditions </w:t>
            </w: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Pr>
                <w:rFonts w:ascii="Calibri" w:hAnsi="Calibri"/>
                <w:sz w:val="22"/>
                <w:szCs w:val="22"/>
              </w:rPr>
              <w:t>12</w:t>
            </w:r>
            <w:r w:rsidRPr="003E4DFF">
              <w:rPr>
                <w:rFonts w:ascii="Calibri" w:hAnsi="Calibri"/>
                <w:sz w:val="22"/>
                <w:szCs w:val="22"/>
              </w:rPr>
              <w:fldChar w:fldCharType="end"/>
            </w:r>
            <w:r w:rsidRPr="003E4DFF">
              <w:rPr>
                <w:rFonts w:ascii="Calibri" w:hAnsi="Calibri"/>
                <w:sz w:val="22"/>
                <w:szCs w:val="22"/>
              </w:rPr>
              <w:fldChar w:fldCharType="begin"/>
            </w:r>
            <w:r w:rsidRPr="003E4DFF">
              <w:rPr>
                <w:rFonts w:ascii="Calibri" w:hAnsi="Calibri"/>
                <w:sz w:val="22"/>
                <w:szCs w:val="22"/>
              </w:rPr>
              <w:instrText xml:space="preserve"> REF _Ref323628632 \r \h  \* MERGEFORMAT </w:instrText>
            </w:r>
            <w:r w:rsidRPr="003E4DFF">
              <w:rPr>
                <w:rFonts w:ascii="Calibri" w:hAnsi="Calibri"/>
                <w:sz w:val="22"/>
                <w:szCs w:val="22"/>
              </w:rPr>
            </w:r>
            <w:r w:rsidRPr="003E4DFF">
              <w:rPr>
                <w:rFonts w:ascii="Calibri" w:hAnsi="Calibri"/>
                <w:sz w:val="22"/>
                <w:szCs w:val="22"/>
              </w:rPr>
              <w:fldChar w:fldCharType="separate"/>
            </w:r>
            <w:r>
              <w:rPr>
                <w:rFonts w:ascii="Calibri" w:hAnsi="Calibri"/>
                <w:sz w:val="22"/>
                <w:szCs w:val="22"/>
              </w:rPr>
              <w:t>(a)</w:t>
            </w:r>
            <w:r w:rsidRPr="003E4DFF">
              <w:rPr>
                <w:rFonts w:ascii="Calibri" w:hAnsi="Calibri"/>
                <w:sz w:val="22"/>
                <w:szCs w:val="22"/>
              </w:rPr>
              <w:fldChar w:fldCharType="end"/>
            </w:r>
            <w:r w:rsidRPr="003E4DFF">
              <w:rPr>
                <w:rFonts w:ascii="Calibri" w:hAnsi="Calibri"/>
                <w:sz w:val="22"/>
                <w:szCs w:val="22"/>
              </w:rPr>
              <w:t xml:space="preserve"> - </w:t>
            </w: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Pr>
                <w:rFonts w:ascii="Calibri" w:hAnsi="Calibri"/>
                <w:sz w:val="22"/>
                <w:szCs w:val="22"/>
              </w:rPr>
              <w:t>12</w:t>
            </w:r>
            <w:r w:rsidRPr="003E4DFF">
              <w:rPr>
                <w:rFonts w:ascii="Calibri" w:hAnsi="Calibri"/>
                <w:sz w:val="22"/>
                <w:szCs w:val="22"/>
              </w:rPr>
              <w:fldChar w:fldCharType="end"/>
            </w:r>
            <w:r w:rsidRPr="003E4DFF">
              <w:rPr>
                <w:rFonts w:ascii="Calibri" w:hAnsi="Calibri"/>
                <w:sz w:val="22"/>
                <w:szCs w:val="22"/>
              </w:rPr>
              <w:fldChar w:fldCharType="begin"/>
            </w:r>
            <w:r w:rsidRPr="003E4DFF">
              <w:rPr>
                <w:rFonts w:ascii="Calibri" w:hAnsi="Calibri"/>
                <w:sz w:val="22"/>
                <w:szCs w:val="22"/>
              </w:rPr>
              <w:instrText xml:space="preserve"> REF _Ref323914742 \r \h  \* MERGEFORMAT </w:instrText>
            </w:r>
            <w:r w:rsidRPr="003E4DFF">
              <w:rPr>
                <w:rFonts w:ascii="Calibri" w:hAnsi="Calibri"/>
                <w:sz w:val="22"/>
                <w:szCs w:val="22"/>
              </w:rPr>
            </w:r>
            <w:r w:rsidRPr="003E4DFF">
              <w:rPr>
                <w:rFonts w:ascii="Calibri" w:hAnsi="Calibri"/>
                <w:sz w:val="22"/>
                <w:szCs w:val="22"/>
              </w:rPr>
              <w:fldChar w:fldCharType="separate"/>
            </w:r>
            <w:r>
              <w:rPr>
                <w:rFonts w:ascii="Calibri" w:hAnsi="Calibri"/>
                <w:sz w:val="22"/>
                <w:szCs w:val="22"/>
              </w:rPr>
              <w:t>(e)</w:t>
            </w:r>
            <w:r w:rsidRPr="003E4DFF">
              <w:rPr>
                <w:rFonts w:ascii="Calibri" w:hAnsi="Calibri"/>
                <w:sz w:val="22"/>
                <w:szCs w:val="22"/>
              </w:rPr>
              <w:fldChar w:fldCharType="end"/>
            </w:r>
          </w:p>
        </w:tc>
        <w:tc>
          <w:tcPr>
            <w:tcW w:w="1108" w:type="dxa"/>
          </w:tcPr>
          <w:p w:rsidR="009610AA" w:rsidRPr="003E4DFF"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13</w:t>
            </w:r>
          </w:p>
        </w:tc>
        <w:tc>
          <w:tcPr>
            <w:tcW w:w="29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Within 14 days of the changes</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Signed statements from persons covered under the licence</w:t>
            </w:r>
          </w:p>
        </w:tc>
        <w:tc>
          <w:tcPr>
            <w:tcW w:w="1108" w:type="dxa"/>
          </w:tcPr>
          <w:p w:rsidR="009610AA" w:rsidRPr="003E4DFF"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16 (b)</w:t>
            </w:r>
          </w:p>
        </w:tc>
        <w:tc>
          <w:tcPr>
            <w:tcW w:w="29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If and when requested</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3E4DFF">
            <w:pPr>
              <w:spacing w:before="100" w:beforeAutospacing="1" w:after="100" w:afterAutospacing="1"/>
              <w:contextualSpacing/>
              <w:rPr>
                <w:rFonts w:ascii="Calibri" w:hAnsi="Calibri"/>
                <w:sz w:val="22"/>
                <w:szCs w:val="22"/>
              </w:rPr>
            </w:pPr>
            <w:r w:rsidRPr="003E4DFF">
              <w:rPr>
                <w:rFonts w:ascii="Calibri" w:hAnsi="Calibri"/>
                <w:sz w:val="22"/>
                <w:szCs w:val="22"/>
              </w:rPr>
              <w:t>Any additional information regarding health and safety of people and the environment, contraventions of this licence or any unintended effects of the dealings authorized by the licence</w:t>
            </w:r>
          </w:p>
        </w:tc>
        <w:tc>
          <w:tcPr>
            <w:tcW w:w="1108" w:type="dxa"/>
          </w:tcPr>
          <w:p w:rsidR="009610AA" w:rsidRPr="003E4DFF"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17</w:t>
            </w:r>
          </w:p>
        </w:tc>
        <w:tc>
          <w:tcPr>
            <w:tcW w:w="29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Without delay, after becoming aware</w:t>
            </w:r>
          </w:p>
        </w:tc>
      </w:tr>
      <w:tr w:rsidR="009610AA" w:rsidRPr="00CC046B"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Extreme weather conditions</w:t>
            </w:r>
          </w:p>
        </w:tc>
        <w:tc>
          <w:tcPr>
            <w:tcW w:w="1108" w:type="dxa"/>
          </w:tcPr>
          <w:p w:rsidR="009610AA" w:rsidRPr="003E4DFF" w:rsidRDefault="009610AA" w:rsidP="00636D44">
            <w:pPr>
              <w:spacing w:before="100" w:beforeAutospacing="1" w:after="100" w:afterAutospacing="1"/>
              <w:contextualSpacing/>
              <w:rPr>
                <w:rFonts w:ascii="Calibri" w:hAnsi="Calibri"/>
                <w:sz w:val="22"/>
                <w:szCs w:val="22"/>
              </w:rPr>
            </w:pPr>
            <w:r w:rsidRPr="003E4DFF">
              <w:rPr>
                <w:rFonts w:ascii="Calibri" w:hAnsi="Calibri"/>
                <w:sz w:val="22"/>
                <w:szCs w:val="22"/>
              </w:rPr>
              <w:t>2</w:t>
            </w:r>
            <w:r w:rsidR="00B92356">
              <w:rPr>
                <w:rFonts w:ascii="Calibri" w:hAnsi="Calibri"/>
                <w:sz w:val="22"/>
                <w:szCs w:val="22"/>
              </w:rPr>
              <w:t>6</w:t>
            </w:r>
          </w:p>
        </w:tc>
        <w:tc>
          <w:tcPr>
            <w:tcW w:w="2935" w:type="dxa"/>
          </w:tcPr>
          <w:p w:rsidR="009610AA" w:rsidRPr="003E4DFF" w:rsidRDefault="009610AA" w:rsidP="00A436E7">
            <w:pPr>
              <w:spacing w:before="100" w:beforeAutospacing="1" w:after="100" w:afterAutospacing="1"/>
              <w:contextualSpacing/>
              <w:rPr>
                <w:rFonts w:ascii="Calibri" w:hAnsi="Calibri"/>
                <w:sz w:val="22"/>
                <w:szCs w:val="22"/>
              </w:rPr>
            </w:pPr>
            <w:r w:rsidRPr="003E4DFF">
              <w:rPr>
                <w:rFonts w:ascii="Calibri" w:hAnsi="Calibri"/>
                <w:sz w:val="22"/>
                <w:szCs w:val="22"/>
              </w:rPr>
              <w:t>As soon as pra</w:t>
            </w:r>
            <w:r>
              <w:rPr>
                <w:rFonts w:ascii="Calibri" w:hAnsi="Calibri"/>
                <w:sz w:val="22"/>
                <w:szCs w:val="22"/>
              </w:rPr>
              <w:t>cticable</w:t>
            </w:r>
            <w:r w:rsidRPr="003E4DFF">
              <w:rPr>
                <w:rFonts w:ascii="Calibri" w:hAnsi="Calibri"/>
                <w:sz w:val="22"/>
                <w:szCs w:val="22"/>
              </w:rPr>
              <w:t>, if expected or occurs</w:t>
            </w:r>
          </w:p>
        </w:tc>
      </w:tr>
      <w:tr w:rsidR="009610AA" w:rsidRPr="004174EC" w:rsidTr="00E51EB1">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Methods and procedures for transport</w:t>
            </w:r>
          </w:p>
        </w:tc>
        <w:tc>
          <w:tcPr>
            <w:tcW w:w="1108" w:type="dxa"/>
          </w:tcPr>
          <w:p w:rsidR="009610AA" w:rsidRPr="003E4DFF" w:rsidRDefault="009610AA" w:rsidP="000F7EED">
            <w:pPr>
              <w:spacing w:before="100" w:beforeAutospacing="1" w:after="100" w:afterAutospacing="1"/>
              <w:contextualSpacing/>
              <w:rPr>
                <w:rFonts w:ascii="Calibri" w:hAnsi="Calibri"/>
                <w:sz w:val="22"/>
                <w:szCs w:val="22"/>
              </w:rPr>
            </w:pPr>
            <w:r w:rsidRPr="003E4DFF">
              <w:rPr>
                <w:rFonts w:ascii="Calibri" w:hAnsi="Calibri"/>
                <w:sz w:val="22"/>
                <w:szCs w:val="22"/>
              </w:rPr>
              <w:t>4</w:t>
            </w:r>
            <w:r>
              <w:rPr>
                <w:rFonts w:ascii="Calibri" w:hAnsi="Calibri"/>
                <w:sz w:val="22"/>
                <w:szCs w:val="22"/>
              </w:rPr>
              <w:t>4</w:t>
            </w:r>
          </w:p>
        </w:tc>
        <w:tc>
          <w:tcPr>
            <w:tcW w:w="29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If and when requested</w:t>
            </w:r>
          </w:p>
        </w:tc>
      </w:tr>
    </w:tbl>
    <w:p w:rsidR="005B19CE" w:rsidRPr="004174EC" w:rsidRDefault="005B19CE" w:rsidP="00A436E7">
      <w:pPr>
        <w:tabs>
          <w:tab w:val="left" w:pos="540"/>
        </w:tabs>
        <w:spacing w:before="120" w:after="120"/>
        <w:rPr>
          <w:rFonts w:ascii="Calibri" w:eastAsiaTheme="minorEastAsia" w:hAnsi="Calibri"/>
        </w:rPr>
      </w:pPr>
    </w:p>
    <w:sectPr w:rsidR="005B19CE" w:rsidRPr="004174EC" w:rsidSect="00EF0B07">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3A" w:rsidRDefault="00BB2B3A" w:rsidP="009D4616">
      <w:r>
        <w:separator/>
      </w:r>
    </w:p>
  </w:endnote>
  <w:endnote w:type="continuationSeparator" w:id="0">
    <w:p w:rsidR="00BB2B3A" w:rsidRDefault="00BB2B3A"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aav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A" w:rsidRPr="00CA433B" w:rsidRDefault="00BB2B3A"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60</w:t>
    </w:r>
    <w:r w:rsidRPr="00CA433B">
      <w:rPr>
        <w:rFonts w:asciiTheme="minorHAnsi" w:eastAsia="Times New Roman" w:hAnsiTheme="minorHAnsi"/>
        <w:sz w:val="16"/>
        <w:szCs w:val="16"/>
        <w:lang w:eastAsia="en-AU"/>
      </w:rPr>
      <w:t xml:space="preserve">, ISSUED </w:t>
    </w:r>
    <w:r>
      <w:rPr>
        <w:rFonts w:asciiTheme="minorHAnsi" w:eastAsia="Times New Roman" w:hAnsiTheme="minorHAnsi"/>
        <w:sz w:val="16"/>
        <w:szCs w:val="16"/>
        <w:lang w:eastAsia="en-AU"/>
      </w:rPr>
      <w:t>6 March 2018</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515C57">
      <w:rPr>
        <w:rFonts w:asciiTheme="minorHAnsi" w:eastAsia="Times New Roman" w:hAnsiTheme="minorHAnsi"/>
        <w:noProof/>
        <w:sz w:val="16"/>
        <w:szCs w:val="16"/>
        <w:lang w:eastAsia="en-AU"/>
      </w:rPr>
      <w:t>2</w:t>
    </w:r>
    <w:r w:rsidRPr="00CA433B">
      <w:rPr>
        <w:rFonts w:asciiTheme="minorHAnsi" w:eastAsia="Times New Roman" w:hAnsiTheme="minorHAnsi"/>
        <w:sz w:val="16"/>
        <w:szCs w:val="16"/>
        <w:lang w:eastAsia="en-AU"/>
      </w:rPr>
      <w:fldChar w:fldCharType="end"/>
    </w:r>
  </w:p>
  <w:p w:rsidR="00BB2B3A" w:rsidRPr="00972B16" w:rsidRDefault="00BB2B3A" w:rsidP="00972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A" w:rsidRPr="00CA433B" w:rsidRDefault="00BB2B3A"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60</w:t>
    </w:r>
    <w:r w:rsidRPr="00CA433B">
      <w:rPr>
        <w:rFonts w:asciiTheme="minorHAnsi" w:eastAsia="Times New Roman" w:hAnsiTheme="minorHAnsi"/>
        <w:sz w:val="16"/>
        <w:szCs w:val="16"/>
        <w:lang w:eastAsia="en-AU"/>
      </w:rPr>
      <w:t xml:space="preserve">, ISSUED </w:t>
    </w:r>
    <w:r w:rsidR="00AB593E">
      <w:rPr>
        <w:rFonts w:asciiTheme="minorHAnsi" w:eastAsia="Times New Roman" w:hAnsiTheme="minorHAnsi"/>
        <w:sz w:val="16"/>
        <w:szCs w:val="16"/>
        <w:lang w:eastAsia="en-AU"/>
      </w:rPr>
      <w:t>6</w:t>
    </w:r>
    <w:r>
      <w:rPr>
        <w:rFonts w:asciiTheme="minorHAnsi" w:eastAsia="Times New Roman" w:hAnsiTheme="minorHAnsi"/>
        <w:sz w:val="16"/>
        <w:szCs w:val="16"/>
        <w:lang w:eastAsia="en-AU"/>
      </w:rPr>
      <w:t xml:space="preserve"> March 2018</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515C57">
      <w:rPr>
        <w:rFonts w:asciiTheme="minorHAnsi" w:eastAsia="Times New Roman" w:hAnsiTheme="minorHAnsi"/>
        <w:noProof/>
        <w:sz w:val="16"/>
        <w:szCs w:val="16"/>
        <w:lang w:eastAsia="en-AU"/>
      </w:rPr>
      <w:t>17</w:t>
    </w:r>
    <w:r w:rsidRPr="00CA433B">
      <w:rPr>
        <w:rFonts w:asciiTheme="minorHAnsi" w:eastAsia="Times New Roman" w:hAnsiTheme="minorHAnsi"/>
        <w:sz w:val="16"/>
        <w:szCs w:val="16"/>
        <w:lang w:eastAsia="en-AU"/>
      </w:rPr>
      <w:fldChar w:fldCharType="end"/>
    </w:r>
  </w:p>
  <w:p w:rsidR="00BB2B3A" w:rsidRPr="009D4616" w:rsidRDefault="00BB2B3A" w:rsidP="009D4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3A" w:rsidRDefault="00BB2B3A" w:rsidP="009D4616">
      <w:r>
        <w:separator/>
      </w:r>
    </w:p>
  </w:footnote>
  <w:footnote w:type="continuationSeparator" w:id="0">
    <w:p w:rsidR="00BB2B3A" w:rsidRDefault="00BB2B3A" w:rsidP="009D4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811"/>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F965B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B55F0B"/>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nsid w:val="331C67B1"/>
    <w:multiLevelType w:val="hybridMultilevel"/>
    <w:tmpl w:val="736212CC"/>
    <w:lvl w:ilvl="0" w:tplc="984076EC">
      <w:start w:val="1"/>
      <w:numFmt w:val="lowerLetter"/>
      <w:lvlText w:val="(%1)"/>
      <w:lvlJc w:val="left"/>
      <w:pPr>
        <w:ind w:left="720" w:hanging="360"/>
      </w:pPr>
      <w:rPr>
        <w:rFonts w:hint="default"/>
        <w:b w:val="0"/>
        <w:bCs w:val="0"/>
        <w:i w:val="0"/>
        <w:iCs w:val="0"/>
        <w:caps w:val="0"/>
        <w:smallCaps w:val="0"/>
        <w:strike w:val="0"/>
        <w:dstrike w:val="0"/>
        <w:vanish w:val="0"/>
        <w:color w:val="auto"/>
        <w:spacing w:val="0"/>
        <w:w w:val="100"/>
        <w:kern w:val="0"/>
        <w:position w:val="0"/>
        <w:sz w:val="22"/>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AE6ABF"/>
    <w:multiLevelType w:val="multilevel"/>
    <w:tmpl w:val="D07E232E"/>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CF249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0A012C"/>
    <w:multiLevelType w:val="hybridMultilevel"/>
    <w:tmpl w:val="36861156"/>
    <w:lvl w:ilvl="0" w:tplc="B0CAC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4">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543BE7"/>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595364"/>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D47F7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0425FB"/>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CD2B3E"/>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2">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622ADE"/>
    <w:multiLevelType w:val="hybridMultilevel"/>
    <w:tmpl w:val="9AF8C7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0">
    <w:nsid w:val="7FDD1C4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1"/>
  </w:num>
  <w:num w:numId="3">
    <w:abstractNumId w:val="19"/>
  </w:num>
  <w:num w:numId="4">
    <w:abstractNumId w:val="39"/>
  </w:num>
  <w:num w:numId="5">
    <w:abstractNumId w:val="4"/>
  </w:num>
  <w:num w:numId="6">
    <w:abstractNumId w:val="36"/>
  </w:num>
  <w:num w:numId="7">
    <w:abstractNumId w:val="38"/>
  </w:num>
  <w:num w:numId="8">
    <w:abstractNumId w:val="18"/>
  </w:num>
  <w:num w:numId="9">
    <w:abstractNumId w:val="24"/>
  </w:num>
  <w:num w:numId="10">
    <w:abstractNumId w:val="32"/>
  </w:num>
  <w:num w:numId="11">
    <w:abstractNumId w:val="35"/>
  </w:num>
  <w:num w:numId="12">
    <w:abstractNumId w:val="21"/>
  </w:num>
  <w:num w:numId="13">
    <w:abstractNumId w:val="22"/>
  </w:num>
  <w:num w:numId="14">
    <w:abstractNumId w:val="6"/>
  </w:num>
  <w:num w:numId="15">
    <w:abstractNumId w:val="3"/>
  </w:num>
  <w:num w:numId="16">
    <w:abstractNumId w:val="11"/>
  </w:num>
  <w:num w:numId="17">
    <w:abstractNumId w:val="7"/>
  </w:num>
  <w:num w:numId="18">
    <w:abstractNumId w:val="14"/>
  </w:num>
  <w:num w:numId="19">
    <w:abstractNumId w:val="23"/>
  </w:num>
  <w:num w:numId="20">
    <w:abstractNumId w:val="33"/>
  </w:num>
  <w:num w:numId="21">
    <w:abstractNumId w:val="39"/>
    <w:lvlOverride w:ilvl="0">
      <w:startOverride w:val="1"/>
    </w:lvlOverride>
  </w:num>
  <w:num w:numId="22">
    <w:abstractNumId w:val="9"/>
  </w:num>
  <w:num w:numId="23">
    <w:abstractNumId w:val="37"/>
  </w:num>
  <w:num w:numId="24">
    <w:abstractNumId w:val="5"/>
  </w:num>
  <w:num w:numId="25">
    <w:abstractNumId w:val="16"/>
  </w:num>
  <w:num w:numId="26">
    <w:abstractNumId w:val="28"/>
  </w:num>
  <w:num w:numId="27">
    <w:abstractNumId w:val="34"/>
  </w:num>
  <w:num w:numId="28">
    <w:abstractNumId w:val="0"/>
  </w:num>
  <w:num w:numId="29">
    <w:abstractNumId w:val="10"/>
  </w:num>
  <w:num w:numId="30">
    <w:abstractNumId w:val="17"/>
  </w:num>
  <w:num w:numId="31">
    <w:abstractNumId w:val="2"/>
  </w:num>
  <w:num w:numId="32">
    <w:abstractNumId w:val="12"/>
  </w:num>
  <w:num w:numId="33">
    <w:abstractNumId w:val="25"/>
  </w:num>
  <w:num w:numId="34">
    <w:abstractNumId w:val="26"/>
  </w:num>
  <w:num w:numId="35">
    <w:abstractNumId w:val="8"/>
  </w:num>
  <w:num w:numId="36">
    <w:abstractNumId w:val="40"/>
  </w:num>
  <w:num w:numId="37">
    <w:abstractNumId w:val="20"/>
  </w:num>
  <w:num w:numId="38">
    <w:abstractNumId w:val="29"/>
  </w:num>
  <w:num w:numId="39">
    <w:abstractNumId w:val="39"/>
  </w:num>
  <w:num w:numId="40">
    <w:abstractNumId w:val="27"/>
  </w:num>
  <w:num w:numId="41">
    <w:abstractNumId w:val="30"/>
  </w:num>
  <w:num w:numId="4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CE"/>
    <w:rsid w:val="00003743"/>
    <w:rsid w:val="00003BF3"/>
    <w:rsid w:val="000208C7"/>
    <w:rsid w:val="00044C5D"/>
    <w:rsid w:val="00051180"/>
    <w:rsid w:val="0005755F"/>
    <w:rsid w:val="00067456"/>
    <w:rsid w:val="0009019A"/>
    <w:rsid w:val="00090B21"/>
    <w:rsid w:val="00090C61"/>
    <w:rsid w:val="00093D9F"/>
    <w:rsid w:val="000A039C"/>
    <w:rsid w:val="000C6786"/>
    <w:rsid w:val="000C7DE1"/>
    <w:rsid w:val="000D6B2F"/>
    <w:rsid w:val="000F3FA2"/>
    <w:rsid w:val="000F47B1"/>
    <w:rsid w:val="000F7EED"/>
    <w:rsid w:val="0010215D"/>
    <w:rsid w:val="00115C76"/>
    <w:rsid w:val="00116C40"/>
    <w:rsid w:val="00133DA3"/>
    <w:rsid w:val="00141280"/>
    <w:rsid w:val="00152F81"/>
    <w:rsid w:val="001678B7"/>
    <w:rsid w:val="00183077"/>
    <w:rsid w:val="001912C9"/>
    <w:rsid w:val="001A417A"/>
    <w:rsid w:val="001A4765"/>
    <w:rsid w:val="001B3443"/>
    <w:rsid w:val="001B3706"/>
    <w:rsid w:val="001B5D9B"/>
    <w:rsid w:val="001D732D"/>
    <w:rsid w:val="001E09E5"/>
    <w:rsid w:val="001E55D5"/>
    <w:rsid w:val="001F0D8D"/>
    <w:rsid w:val="001F166E"/>
    <w:rsid w:val="00205BE2"/>
    <w:rsid w:val="00212D6E"/>
    <w:rsid w:val="00217B9E"/>
    <w:rsid w:val="00245D82"/>
    <w:rsid w:val="0025482C"/>
    <w:rsid w:val="002634EB"/>
    <w:rsid w:val="002669D6"/>
    <w:rsid w:val="00276242"/>
    <w:rsid w:val="002773B2"/>
    <w:rsid w:val="002878C4"/>
    <w:rsid w:val="00290C3E"/>
    <w:rsid w:val="00290F00"/>
    <w:rsid w:val="00291573"/>
    <w:rsid w:val="002A08B4"/>
    <w:rsid w:val="002A107A"/>
    <w:rsid w:val="002A365B"/>
    <w:rsid w:val="002B5F15"/>
    <w:rsid w:val="002C2ADD"/>
    <w:rsid w:val="002C3963"/>
    <w:rsid w:val="002C3D2C"/>
    <w:rsid w:val="002C41B4"/>
    <w:rsid w:val="002C6A20"/>
    <w:rsid w:val="002C7AF1"/>
    <w:rsid w:val="002E008B"/>
    <w:rsid w:val="002F35E1"/>
    <w:rsid w:val="002F3AE3"/>
    <w:rsid w:val="002F6E46"/>
    <w:rsid w:val="002F6E7C"/>
    <w:rsid w:val="002F71B7"/>
    <w:rsid w:val="0030786C"/>
    <w:rsid w:val="00314F00"/>
    <w:rsid w:val="00321B28"/>
    <w:rsid w:val="00323578"/>
    <w:rsid w:val="00334594"/>
    <w:rsid w:val="00335F2F"/>
    <w:rsid w:val="00346D25"/>
    <w:rsid w:val="00353747"/>
    <w:rsid w:val="00354DF7"/>
    <w:rsid w:val="00360A20"/>
    <w:rsid w:val="00367552"/>
    <w:rsid w:val="00381354"/>
    <w:rsid w:val="0039287F"/>
    <w:rsid w:val="00394051"/>
    <w:rsid w:val="00394748"/>
    <w:rsid w:val="003A457F"/>
    <w:rsid w:val="003B0BD5"/>
    <w:rsid w:val="003C5464"/>
    <w:rsid w:val="003C662B"/>
    <w:rsid w:val="003D17F9"/>
    <w:rsid w:val="003E3DA9"/>
    <w:rsid w:val="003E4DFF"/>
    <w:rsid w:val="003F4824"/>
    <w:rsid w:val="003F6D52"/>
    <w:rsid w:val="004002D1"/>
    <w:rsid w:val="00414217"/>
    <w:rsid w:val="004174EC"/>
    <w:rsid w:val="00417DE0"/>
    <w:rsid w:val="00434459"/>
    <w:rsid w:val="00437F19"/>
    <w:rsid w:val="00451145"/>
    <w:rsid w:val="00457D7F"/>
    <w:rsid w:val="00463ABC"/>
    <w:rsid w:val="0047235F"/>
    <w:rsid w:val="0048583C"/>
    <w:rsid w:val="004867E2"/>
    <w:rsid w:val="00493167"/>
    <w:rsid w:val="004A0D87"/>
    <w:rsid w:val="004A77AB"/>
    <w:rsid w:val="004C7FA3"/>
    <w:rsid w:val="004D7EE5"/>
    <w:rsid w:val="004F392E"/>
    <w:rsid w:val="0051241C"/>
    <w:rsid w:val="005127AB"/>
    <w:rsid w:val="00515C57"/>
    <w:rsid w:val="00531DB9"/>
    <w:rsid w:val="005462F5"/>
    <w:rsid w:val="0055139B"/>
    <w:rsid w:val="00556618"/>
    <w:rsid w:val="00557FBB"/>
    <w:rsid w:val="00560C30"/>
    <w:rsid w:val="00563637"/>
    <w:rsid w:val="00564C65"/>
    <w:rsid w:val="005724FE"/>
    <w:rsid w:val="005808DA"/>
    <w:rsid w:val="00596C18"/>
    <w:rsid w:val="005A69D9"/>
    <w:rsid w:val="005B19CE"/>
    <w:rsid w:val="005B202F"/>
    <w:rsid w:val="005D462D"/>
    <w:rsid w:val="005F1F42"/>
    <w:rsid w:val="0060037C"/>
    <w:rsid w:val="00602F86"/>
    <w:rsid w:val="00607BA3"/>
    <w:rsid w:val="00610919"/>
    <w:rsid w:val="00614C2D"/>
    <w:rsid w:val="00620620"/>
    <w:rsid w:val="00633529"/>
    <w:rsid w:val="00636D44"/>
    <w:rsid w:val="006516B6"/>
    <w:rsid w:val="00671957"/>
    <w:rsid w:val="0068713C"/>
    <w:rsid w:val="0069507C"/>
    <w:rsid w:val="006962C8"/>
    <w:rsid w:val="006B0C0A"/>
    <w:rsid w:val="006D4C85"/>
    <w:rsid w:val="00707C7E"/>
    <w:rsid w:val="007108D0"/>
    <w:rsid w:val="00720885"/>
    <w:rsid w:val="00726E27"/>
    <w:rsid w:val="007378B0"/>
    <w:rsid w:val="007402AE"/>
    <w:rsid w:val="00746476"/>
    <w:rsid w:val="00783BD8"/>
    <w:rsid w:val="00787255"/>
    <w:rsid w:val="00787360"/>
    <w:rsid w:val="00790265"/>
    <w:rsid w:val="007A04C3"/>
    <w:rsid w:val="007B19EE"/>
    <w:rsid w:val="007C0D33"/>
    <w:rsid w:val="007C672C"/>
    <w:rsid w:val="007D4D87"/>
    <w:rsid w:val="007E4FCA"/>
    <w:rsid w:val="007E5BFE"/>
    <w:rsid w:val="007E7219"/>
    <w:rsid w:val="008050AC"/>
    <w:rsid w:val="00811AFC"/>
    <w:rsid w:val="0081631E"/>
    <w:rsid w:val="008264EB"/>
    <w:rsid w:val="00826FB3"/>
    <w:rsid w:val="008271F9"/>
    <w:rsid w:val="00830CE8"/>
    <w:rsid w:val="00841DD9"/>
    <w:rsid w:val="008461E1"/>
    <w:rsid w:val="008648C5"/>
    <w:rsid w:val="008902D2"/>
    <w:rsid w:val="008951A8"/>
    <w:rsid w:val="008962CB"/>
    <w:rsid w:val="008971FB"/>
    <w:rsid w:val="008A1D1F"/>
    <w:rsid w:val="008B0649"/>
    <w:rsid w:val="008B41FD"/>
    <w:rsid w:val="008C1652"/>
    <w:rsid w:val="008C1E57"/>
    <w:rsid w:val="008C4DA4"/>
    <w:rsid w:val="008C5436"/>
    <w:rsid w:val="008C570B"/>
    <w:rsid w:val="008E1BD2"/>
    <w:rsid w:val="008E4F9F"/>
    <w:rsid w:val="008F665D"/>
    <w:rsid w:val="00920318"/>
    <w:rsid w:val="009316A2"/>
    <w:rsid w:val="00947EFE"/>
    <w:rsid w:val="009505F3"/>
    <w:rsid w:val="0095600B"/>
    <w:rsid w:val="009610AA"/>
    <w:rsid w:val="00967C63"/>
    <w:rsid w:val="009715FF"/>
    <w:rsid w:val="00972B16"/>
    <w:rsid w:val="009B452D"/>
    <w:rsid w:val="009B70BE"/>
    <w:rsid w:val="009C0DA0"/>
    <w:rsid w:val="009D2D3F"/>
    <w:rsid w:val="009D4616"/>
    <w:rsid w:val="009E5A40"/>
    <w:rsid w:val="009F268E"/>
    <w:rsid w:val="00A00DC7"/>
    <w:rsid w:val="00A206D7"/>
    <w:rsid w:val="00A21846"/>
    <w:rsid w:val="00A25A13"/>
    <w:rsid w:val="00A32308"/>
    <w:rsid w:val="00A436E7"/>
    <w:rsid w:val="00A4512D"/>
    <w:rsid w:val="00A51124"/>
    <w:rsid w:val="00A54AA1"/>
    <w:rsid w:val="00A642E1"/>
    <w:rsid w:val="00A705AF"/>
    <w:rsid w:val="00A7111C"/>
    <w:rsid w:val="00A84572"/>
    <w:rsid w:val="00A851AE"/>
    <w:rsid w:val="00A8613C"/>
    <w:rsid w:val="00A921DE"/>
    <w:rsid w:val="00AA5A8C"/>
    <w:rsid w:val="00AA6811"/>
    <w:rsid w:val="00AB57DF"/>
    <w:rsid w:val="00AB593E"/>
    <w:rsid w:val="00AD17F5"/>
    <w:rsid w:val="00AD183B"/>
    <w:rsid w:val="00AE3559"/>
    <w:rsid w:val="00AE4060"/>
    <w:rsid w:val="00AE7B24"/>
    <w:rsid w:val="00AF1420"/>
    <w:rsid w:val="00AF7A26"/>
    <w:rsid w:val="00B229D6"/>
    <w:rsid w:val="00B27258"/>
    <w:rsid w:val="00B334DE"/>
    <w:rsid w:val="00B42851"/>
    <w:rsid w:val="00B54C84"/>
    <w:rsid w:val="00B579DE"/>
    <w:rsid w:val="00B748B8"/>
    <w:rsid w:val="00B90FAE"/>
    <w:rsid w:val="00B92356"/>
    <w:rsid w:val="00BA21AE"/>
    <w:rsid w:val="00BA41F6"/>
    <w:rsid w:val="00BB25B6"/>
    <w:rsid w:val="00BB2B3A"/>
    <w:rsid w:val="00BD202A"/>
    <w:rsid w:val="00BD4DA6"/>
    <w:rsid w:val="00BE1257"/>
    <w:rsid w:val="00BF152C"/>
    <w:rsid w:val="00C1544B"/>
    <w:rsid w:val="00C27994"/>
    <w:rsid w:val="00C30EA3"/>
    <w:rsid w:val="00C33CF9"/>
    <w:rsid w:val="00C411F2"/>
    <w:rsid w:val="00C4134A"/>
    <w:rsid w:val="00C53264"/>
    <w:rsid w:val="00C61601"/>
    <w:rsid w:val="00C801A9"/>
    <w:rsid w:val="00C840FC"/>
    <w:rsid w:val="00C921B6"/>
    <w:rsid w:val="00C97B81"/>
    <w:rsid w:val="00CA2643"/>
    <w:rsid w:val="00CA433B"/>
    <w:rsid w:val="00CB0725"/>
    <w:rsid w:val="00CB130A"/>
    <w:rsid w:val="00CB5B1A"/>
    <w:rsid w:val="00CC046B"/>
    <w:rsid w:val="00CC3A37"/>
    <w:rsid w:val="00CD6A35"/>
    <w:rsid w:val="00CE4914"/>
    <w:rsid w:val="00CE497A"/>
    <w:rsid w:val="00D06A29"/>
    <w:rsid w:val="00D26B6E"/>
    <w:rsid w:val="00D32C48"/>
    <w:rsid w:val="00D33E3B"/>
    <w:rsid w:val="00D33EF6"/>
    <w:rsid w:val="00D35ECB"/>
    <w:rsid w:val="00D3608B"/>
    <w:rsid w:val="00D41DA8"/>
    <w:rsid w:val="00D434E7"/>
    <w:rsid w:val="00D461E8"/>
    <w:rsid w:val="00D46EE9"/>
    <w:rsid w:val="00D52A3A"/>
    <w:rsid w:val="00D53824"/>
    <w:rsid w:val="00D53A59"/>
    <w:rsid w:val="00D57236"/>
    <w:rsid w:val="00D62753"/>
    <w:rsid w:val="00D80134"/>
    <w:rsid w:val="00D80D97"/>
    <w:rsid w:val="00DB53F3"/>
    <w:rsid w:val="00DC0307"/>
    <w:rsid w:val="00DD603D"/>
    <w:rsid w:val="00DE0F1A"/>
    <w:rsid w:val="00DE458C"/>
    <w:rsid w:val="00DF2C03"/>
    <w:rsid w:val="00E15DF8"/>
    <w:rsid w:val="00E300CD"/>
    <w:rsid w:val="00E3695F"/>
    <w:rsid w:val="00E43D85"/>
    <w:rsid w:val="00E51EB1"/>
    <w:rsid w:val="00E53730"/>
    <w:rsid w:val="00E56BFE"/>
    <w:rsid w:val="00E70E28"/>
    <w:rsid w:val="00EA2339"/>
    <w:rsid w:val="00EA37C4"/>
    <w:rsid w:val="00EA7CBD"/>
    <w:rsid w:val="00EA7F27"/>
    <w:rsid w:val="00EB1F77"/>
    <w:rsid w:val="00EB487E"/>
    <w:rsid w:val="00EB5CCE"/>
    <w:rsid w:val="00EC3993"/>
    <w:rsid w:val="00ED637D"/>
    <w:rsid w:val="00ED7CD3"/>
    <w:rsid w:val="00EF0B07"/>
    <w:rsid w:val="00F02ADF"/>
    <w:rsid w:val="00F14C06"/>
    <w:rsid w:val="00F27E84"/>
    <w:rsid w:val="00F41400"/>
    <w:rsid w:val="00F4381A"/>
    <w:rsid w:val="00F441B0"/>
    <w:rsid w:val="00F46110"/>
    <w:rsid w:val="00F667B5"/>
    <w:rsid w:val="00F70030"/>
    <w:rsid w:val="00F744BB"/>
    <w:rsid w:val="00F9224F"/>
    <w:rsid w:val="00F94363"/>
    <w:rsid w:val="00FA2652"/>
    <w:rsid w:val="00FB0B8F"/>
    <w:rsid w:val="00FC1DBC"/>
    <w:rsid w:val="00FE2D4B"/>
    <w:rsid w:val="00FE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3"/>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eastAsiaTheme="minorEastAsia"/>
      <w:sz w:val="24"/>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31"/>
      </w:numPr>
      <w:spacing w:before="120" w:after="120"/>
    </w:pPr>
    <w:rPr>
      <w:rFonts w:ascii="Calibri" w:eastAsia="Times New Roman" w:hAnsi="Calibri"/>
      <w:b/>
      <w:sz w:val="22"/>
    </w:rPr>
  </w:style>
  <w:style w:type="paragraph" w:customStyle="1" w:styleId="List1">
    <w:name w:val="List 1"/>
    <w:basedOn w:val="Normal"/>
    <w:qFormat/>
    <w:rsid w:val="00B90FAE"/>
    <w:pPr>
      <w:numPr>
        <w:numId w:val="32"/>
      </w:numPr>
      <w:tabs>
        <w:tab w:val="left" w:pos="567"/>
      </w:tabs>
      <w:spacing w:before="120" w:after="120"/>
      <w:ind w:left="0" w:firstLine="0"/>
    </w:pPr>
    <w:rPr>
      <w:rFonts w:ascii="Calibri" w:eastAsia="Times New Roman" w:hAnsi="Calibri"/>
      <w:sz w:val="22"/>
    </w:rPr>
  </w:style>
  <w:style w:type="paragraph" w:customStyle="1" w:styleId="Lista">
    <w:name w:val="List a"/>
    <w:basedOn w:val="Normal"/>
    <w:qFormat/>
    <w:rsid w:val="00B90FAE"/>
    <w:pPr>
      <w:numPr>
        <w:ilvl w:val="1"/>
        <w:numId w:val="32"/>
      </w:numPr>
      <w:spacing w:before="120" w:after="120"/>
    </w:pPr>
    <w:rPr>
      <w:rFonts w:ascii="Calibri" w:eastAsia="Times New Roman" w:hAnsi="Calibri"/>
      <w:sz w:val="22"/>
    </w:rPr>
  </w:style>
  <w:style w:type="paragraph" w:customStyle="1" w:styleId="Listi">
    <w:name w:val="List i"/>
    <w:basedOn w:val="Normal"/>
    <w:qFormat/>
    <w:rsid w:val="00B90FAE"/>
    <w:pPr>
      <w:numPr>
        <w:ilvl w:val="2"/>
        <w:numId w:val="32"/>
      </w:numPr>
      <w:spacing w:before="120" w:after="120"/>
    </w:pPr>
    <w:rPr>
      <w:rFonts w:ascii="Calibri" w:eastAsia="Times New Roman" w:hAnsi="Calibri"/>
      <w:sz w:val="22"/>
    </w:rPr>
  </w:style>
  <w:style w:type="paragraph" w:styleId="NormalWeb">
    <w:name w:val="Normal (Web)"/>
    <w:basedOn w:val="Normal"/>
    <w:uiPriority w:val="99"/>
    <w:unhideWhenUsed/>
    <w:rsid w:val="00115C76"/>
    <w:pPr>
      <w:spacing w:before="100" w:beforeAutospacing="1" w:after="100" w:afterAutospacing="1"/>
    </w:pPr>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3"/>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eastAsiaTheme="minorEastAsia"/>
      <w:sz w:val="24"/>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31"/>
      </w:numPr>
      <w:spacing w:before="120" w:after="120"/>
    </w:pPr>
    <w:rPr>
      <w:rFonts w:ascii="Calibri" w:eastAsia="Times New Roman" w:hAnsi="Calibri"/>
      <w:b/>
      <w:sz w:val="22"/>
    </w:rPr>
  </w:style>
  <w:style w:type="paragraph" w:customStyle="1" w:styleId="List1">
    <w:name w:val="List 1"/>
    <w:basedOn w:val="Normal"/>
    <w:qFormat/>
    <w:rsid w:val="00B90FAE"/>
    <w:pPr>
      <w:numPr>
        <w:numId w:val="32"/>
      </w:numPr>
      <w:tabs>
        <w:tab w:val="left" w:pos="567"/>
      </w:tabs>
      <w:spacing w:before="120" w:after="120"/>
      <w:ind w:left="0" w:firstLine="0"/>
    </w:pPr>
    <w:rPr>
      <w:rFonts w:ascii="Calibri" w:eastAsia="Times New Roman" w:hAnsi="Calibri"/>
      <w:sz w:val="22"/>
    </w:rPr>
  </w:style>
  <w:style w:type="paragraph" w:customStyle="1" w:styleId="Lista">
    <w:name w:val="List a"/>
    <w:basedOn w:val="Normal"/>
    <w:qFormat/>
    <w:rsid w:val="00B90FAE"/>
    <w:pPr>
      <w:numPr>
        <w:ilvl w:val="1"/>
        <w:numId w:val="32"/>
      </w:numPr>
      <w:spacing w:before="120" w:after="120"/>
    </w:pPr>
    <w:rPr>
      <w:rFonts w:ascii="Calibri" w:eastAsia="Times New Roman" w:hAnsi="Calibri"/>
      <w:sz w:val="22"/>
    </w:rPr>
  </w:style>
  <w:style w:type="paragraph" w:customStyle="1" w:styleId="Listi">
    <w:name w:val="List i"/>
    <w:basedOn w:val="Normal"/>
    <w:qFormat/>
    <w:rsid w:val="00B90FAE"/>
    <w:pPr>
      <w:numPr>
        <w:ilvl w:val="2"/>
        <w:numId w:val="32"/>
      </w:numPr>
      <w:spacing w:before="120" w:after="120"/>
    </w:pPr>
    <w:rPr>
      <w:rFonts w:ascii="Calibri" w:eastAsia="Times New Roman" w:hAnsi="Calibri"/>
      <w:sz w:val="22"/>
    </w:rPr>
  </w:style>
  <w:style w:type="paragraph" w:styleId="NormalWeb">
    <w:name w:val="Normal (Web)"/>
    <w:basedOn w:val="Normal"/>
    <w:uiPriority w:val="99"/>
    <w:unhideWhenUsed/>
    <w:rsid w:val="00115C76"/>
    <w:pPr>
      <w:spacing w:before="100" w:beforeAutospacing="1" w:after="100" w:afterAutospacing="1"/>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tr.gov.au/internet/ogtr/publishing.nsf/Content/DIR15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DIR1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8E96C-3B8D-4E13-900A-EEBA23D6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5709</Words>
  <Characters>31009</Characters>
  <Application>Microsoft Office Word</Application>
  <DocSecurity>4</DocSecurity>
  <Lines>258</Lines>
  <Paragraphs>73</Paragraphs>
  <ScaleCrop>false</ScaleCrop>
  <HeadingPairs>
    <vt:vector size="2" baseType="variant">
      <vt:variant>
        <vt:lpstr>Title</vt:lpstr>
      </vt:variant>
      <vt:variant>
        <vt:i4>1</vt:i4>
      </vt:variant>
    </vt:vector>
  </HeadingPairs>
  <TitlesOfParts>
    <vt:vector size="1" baseType="lpstr">
      <vt:lpstr>DIR 150 Licence</vt:lpstr>
    </vt:vector>
  </TitlesOfParts>
  <Company>Dept Health And Ageing</Company>
  <LinksUpToDate>false</LinksUpToDate>
  <CharactersWithSpaces>36645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160 Licence</dc:title>
  <dc:creator>Office of the Gene Technology Regulator</dc:creator>
  <cp:lastModifiedBy>Smith Justine</cp:lastModifiedBy>
  <cp:revision>2</cp:revision>
  <cp:lastPrinted>2017-07-12T00:21:00Z</cp:lastPrinted>
  <dcterms:created xsi:type="dcterms:W3CDTF">2018-04-30T01:12:00Z</dcterms:created>
  <dcterms:modified xsi:type="dcterms:W3CDTF">2018-04-30T01:12:00Z</dcterms:modified>
</cp:coreProperties>
</file>