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4505D7" w:rsidRDefault="001C5721" w:rsidP="00125707">
      <w:pPr>
        <w:jc w:val="right"/>
        <w:rPr>
          <w:rFonts w:ascii="Calibri" w:hAnsi="Calibri"/>
          <w:szCs w:val="22"/>
        </w:rPr>
      </w:pPr>
      <w:bookmarkStart w:id="0" w:name="_GoBack"/>
      <w:bookmarkEnd w:id="0"/>
      <w:r>
        <w:rPr>
          <w:rFonts w:ascii="Calibri" w:hAnsi="Calibri"/>
          <w:szCs w:val="22"/>
        </w:rPr>
        <w:t xml:space="preserve">27 </w:t>
      </w:r>
      <w:r w:rsidR="00DD0E6E">
        <w:rPr>
          <w:rFonts w:ascii="Calibri" w:hAnsi="Calibri"/>
          <w:szCs w:val="22"/>
        </w:rPr>
        <w:t>June</w:t>
      </w:r>
      <w:r w:rsidR="00156B84">
        <w:rPr>
          <w:rFonts w:ascii="Calibri" w:hAnsi="Calibri"/>
          <w:szCs w:val="22"/>
        </w:rPr>
        <w:t xml:space="preserve"> 2017</w:t>
      </w:r>
    </w:p>
    <w:p w:rsidR="009E4DF9" w:rsidRPr="00126D2A" w:rsidRDefault="001A7F44" w:rsidP="00126D2A">
      <w:pPr>
        <w:spacing w:before="360" w:after="240"/>
        <w:jc w:val="center"/>
        <w:rPr>
          <w:rFonts w:ascii="Calibri" w:hAnsi="Calibri" w:cs="Arial"/>
          <w:b/>
          <w:szCs w:val="22"/>
        </w:rPr>
      </w:pPr>
      <w:r w:rsidRPr="004505D7">
        <w:rPr>
          <w:rFonts w:ascii="Calibri" w:hAnsi="Calibri" w:cs="Arial"/>
          <w:b/>
          <w:szCs w:val="22"/>
        </w:rPr>
        <w:t xml:space="preserve">Issue of licence </w:t>
      </w:r>
      <w:r w:rsidR="00125707" w:rsidRPr="004505D7">
        <w:rPr>
          <w:rFonts w:ascii="Calibri" w:hAnsi="Calibri" w:cs="Arial"/>
          <w:b/>
          <w:szCs w:val="22"/>
        </w:rPr>
        <w:t xml:space="preserve">DIR </w:t>
      </w:r>
      <w:r w:rsidR="00C66BFA">
        <w:rPr>
          <w:rFonts w:ascii="Calibri" w:hAnsi="Calibri" w:cs="Arial"/>
          <w:b/>
          <w:szCs w:val="22"/>
        </w:rPr>
        <w:t>1</w:t>
      </w:r>
      <w:r w:rsidR="00DD0E6E">
        <w:rPr>
          <w:rFonts w:ascii="Calibri" w:hAnsi="Calibri" w:cs="Arial"/>
          <w:b/>
          <w:szCs w:val="22"/>
        </w:rPr>
        <w:t>48</w:t>
      </w:r>
      <w:r w:rsidR="00C94211" w:rsidRPr="004505D7">
        <w:rPr>
          <w:rFonts w:ascii="Calibri" w:hAnsi="Calibri" w:cs="Arial"/>
          <w:b/>
          <w:szCs w:val="22"/>
        </w:rPr>
        <w:t xml:space="preserve"> </w:t>
      </w:r>
      <w:r w:rsidRPr="004505D7">
        <w:rPr>
          <w:rFonts w:ascii="Calibri" w:hAnsi="Calibri" w:cs="Arial"/>
          <w:b/>
          <w:szCs w:val="22"/>
        </w:rPr>
        <w:t xml:space="preserve">to </w:t>
      </w:r>
      <w:r w:rsidR="00DD0E6E">
        <w:rPr>
          <w:rFonts w:ascii="Calibri" w:hAnsi="Calibri" w:cs="Arial"/>
          <w:b/>
          <w:szCs w:val="22"/>
        </w:rPr>
        <w:t>Sanofi-Aventis Australia Pty Ltd (Sanofi)</w:t>
      </w:r>
      <w:r w:rsidR="00C010F3" w:rsidRPr="004505D7">
        <w:rPr>
          <w:rFonts w:ascii="Calibri" w:hAnsi="Calibri" w:cs="Arial"/>
          <w:b/>
          <w:szCs w:val="22"/>
        </w:rPr>
        <w:t xml:space="preserve"> </w:t>
      </w:r>
      <w:r w:rsidR="009E4DF9" w:rsidRPr="004505D7">
        <w:rPr>
          <w:rFonts w:ascii="Calibri" w:hAnsi="Calibri" w:cs="Arial"/>
          <w:b/>
          <w:szCs w:val="22"/>
        </w:rPr>
        <w:t xml:space="preserve">for </w:t>
      </w:r>
      <w:r w:rsidR="00A01C17" w:rsidRPr="004505D7">
        <w:rPr>
          <w:rFonts w:ascii="Calibri" w:hAnsi="Calibri" w:cs="Arial"/>
          <w:b/>
          <w:szCs w:val="22"/>
        </w:rPr>
        <w:br/>
      </w:r>
      <w:r w:rsidR="00DD0E6E" w:rsidRPr="00DD0E6E">
        <w:rPr>
          <w:rFonts w:ascii="Calibri" w:hAnsi="Calibri" w:cs="Arial"/>
          <w:b/>
          <w:szCs w:val="22"/>
        </w:rPr>
        <w:t xml:space="preserve">the commercial supply </w:t>
      </w:r>
      <w:r w:rsidR="00126D2A" w:rsidRPr="00126D2A">
        <w:rPr>
          <w:rFonts w:ascii="Calibri" w:hAnsi="Calibri" w:cs="Arial"/>
          <w:b/>
          <w:szCs w:val="22"/>
        </w:rPr>
        <w:t>Dengvaxia, a live attenuated GM dengue vaccine</w:t>
      </w:r>
    </w:p>
    <w:p w:rsidR="001A7F44" w:rsidRPr="004505D7" w:rsidRDefault="00FF71FD" w:rsidP="003B50A2">
      <w:pPr>
        <w:spacing w:before="120"/>
        <w:rPr>
          <w:rFonts w:ascii="Calibri" w:hAnsi="Calibri"/>
          <w:snapToGrid w:val="0"/>
          <w:szCs w:val="22"/>
          <w:lang w:eastAsia="en-US"/>
        </w:rPr>
      </w:pPr>
      <w:r w:rsidRPr="004505D7">
        <w:rPr>
          <w:rFonts w:ascii="Calibri" w:hAnsi="Calibri"/>
          <w:snapToGrid w:val="0"/>
          <w:szCs w:val="22"/>
          <w:lang w:eastAsia="en-US"/>
        </w:rPr>
        <w:t xml:space="preserve">On </w:t>
      </w:r>
      <w:r w:rsidR="00C66BFA">
        <w:rPr>
          <w:rFonts w:ascii="Calibri" w:hAnsi="Calibri"/>
          <w:snapToGrid w:val="0"/>
          <w:szCs w:val="22"/>
          <w:lang w:eastAsia="en-US"/>
        </w:rPr>
        <w:t>8 March 2017</w:t>
      </w:r>
      <w:r w:rsidR="001A7F44" w:rsidRPr="004505D7">
        <w:rPr>
          <w:rFonts w:ascii="Calibri" w:hAnsi="Calibri"/>
          <w:snapToGrid w:val="0"/>
          <w:szCs w:val="22"/>
          <w:lang w:eastAsia="en-US"/>
        </w:rPr>
        <w:t xml:space="preserve">, the </w:t>
      </w:r>
      <w:r w:rsidR="00A16310" w:rsidRPr="004505D7">
        <w:rPr>
          <w:rFonts w:ascii="Calibri" w:hAnsi="Calibri"/>
          <w:snapToGrid w:val="0"/>
          <w:szCs w:val="22"/>
          <w:lang w:eastAsia="en-US"/>
        </w:rPr>
        <w:t xml:space="preserve">Gene Technology </w:t>
      </w:r>
      <w:r w:rsidR="001A7F44" w:rsidRPr="004505D7">
        <w:rPr>
          <w:rFonts w:ascii="Calibri" w:hAnsi="Calibri"/>
          <w:snapToGrid w:val="0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 w:rsidRPr="004505D7">
        <w:rPr>
          <w:rFonts w:ascii="Calibri" w:hAnsi="Calibri"/>
          <w:snapToGrid w:val="0"/>
          <w:szCs w:val="22"/>
          <w:lang w:eastAsia="en-US"/>
        </w:rPr>
        <w:t xml:space="preserve">(RARMP) for licence application </w:t>
      </w:r>
      <w:r w:rsidR="00125707" w:rsidRPr="004505D7">
        <w:rPr>
          <w:rFonts w:ascii="Calibri" w:hAnsi="Calibri"/>
          <w:snapToGrid w:val="0"/>
          <w:szCs w:val="22"/>
          <w:lang w:eastAsia="en-US"/>
        </w:rPr>
        <w:t>DIR </w:t>
      </w:r>
      <w:r w:rsidR="00C94211" w:rsidRPr="004505D7">
        <w:rPr>
          <w:rFonts w:ascii="Calibri" w:hAnsi="Calibri"/>
          <w:snapToGrid w:val="0"/>
          <w:szCs w:val="22"/>
          <w:lang w:eastAsia="en-US"/>
        </w:rPr>
        <w:t>1</w:t>
      </w:r>
      <w:r w:rsidR="00C66BFA">
        <w:rPr>
          <w:rFonts w:ascii="Calibri" w:hAnsi="Calibri"/>
          <w:snapToGrid w:val="0"/>
          <w:szCs w:val="22"/>
          <w:lang w:eastAsia="en-US"/>
        </w:rPr>
        <w:t>48</w:t>
      </w:r>
      <w:r w:rsidR="00C94211" w:rsidRPr="004505D7">
        <w:rPr>
          <w:rFonts w:ascii="Calibri" w:hAnsi="Calibri"/>
          <w:snapToGrid w:val="0"/>
          <w:szCs w:val="22"/>
          <w:lang w:eastAsia="en-US"/>
        </w:rPr>
        <w:t xml:space="preserve"> </w:t>
      </w:r>
      <w:r w:rsidR="004940E4" w:rsidRPr="004505D7">
        <w:rPr>
          <w:rFonts w:ascii="Calibri" w:hAnsi="Calibri"/>
          <w:snapToGrid w:val="0"/>
          <w:szCs w:val="22"/>
          <w:lang w:eastAsia="en-US"/>
        </w:rPr>
        <w:t xml:space="preserve">from </w:t>
      </w:r>
      <w:r w:rsidR="00C66BFA">
        <w:rPr>
          <w:rFonts w:ascii="Calibri" w:hAnsi="Calibri"/>
          <w:snapToGrid w:val="0"/>
          <w:szCs w:val="22"/>
          <w:lang w:eastAsia="en-US"/>
        </w:rPr>
        <w:t>Sanofi</w:t>
      </w:r>
      <w:r w:rsidR="004940E4" w:rsidRPr="004505D7">
        <w:rPr>
          <w:rFonts w:ascii="Calibri" w:hAnsi="Calibri"/>
          <w:snapToGrid w:val="0"/>
          <w:szCs w:val="22"/>
          <w:lang w:eastAsia="en-US"/>
        </w:rPr>
        <w:t>.</w:t>
      </w:r>
    </w:p>
    <w:p w:rsidR="00DD0E6E" w:rsidRPr="00DD0E6E" w:rsidRDefault="00DD0E6E" w:rsidP="00DD0E6E">
      <w:pPr>
        <w:spacing w:before="120"/>
        <w:rPr>
          <w:szCs w:val="22"/>
        </w:rPr>
      </w:pPr>
      <w:r w:rsidRPr="00DD0E6E">
        <w:rPr>
          <w:szCs w:val="22"/>
        </w:rPr>
        <w:t>The Regulator has now issued a licence in response to application DIR 1</w:t>
      </w:r>
      <w:r>
        <w:rPr>
          <w:szCs w:val="22"/>
        </w:rPr>
        <w:t>48</w:t>
      </w:r>
      <w:r w:rsidRPr="00DD0E6E">
        <w:rPr>
          <w:szCs w:val="22"/>
        </w:rPr>
        <w:t xml:space="preserve">, authorising the import, transport, storage and disposal of the genetically modified (GM) </w:t>
      </w:r>
      <w:r>
        <w:rPr>
          <w:szCs w:val="22"/>
        </w:rPr>
        <w:t>dengue vaccine</w:t>
      </w:r>
      <w:r w:rsidRPr="00DD0E6E">
        <w:rPr>
          <w:szCs w:val="22"/>
        </w:rPr>
        <w:t xml:space="preserve">, known as </w:t>
      </w:r>
      <w:r>
        <w:rPr>
          <w:szCs w:val="22"/>
        </w:rPr>
        <w:t>Dengvaxia</w:t>
      </w:r>
      <w:r w:rsidRPr="00DD0E6E">
        <w:rPr>
          <w:szCs w:val="22"/>
        </w:rPr>
        <w:t>, for the purpose of commercial supply as a therapeutic.</w:t>
      </w:r>
    </w:p>
    <w:p w:rsidR="00DD0E6E" w:rsidRPr="00DD0E6E" w:rsidRDefault="00C66BFA" w:rsidP="00DD0E6E">
      <w:pPr>
        <w:spacing w:before="120"/>
        <w:rPr>
          <w:color w:val="000000" w:themeColor="text1"/>
          <w:szCs w:val="22"/>
        </w:rPr>
      </w:pPr>
      <w:r>
        <w:rPr>
          <w:szCs w:val="22"/>
        </w:rPr>
        <w:t>Th</w:t>
      </w:r>
      <w:r w:rsidR="00DD0E6E" w:rsidRPr="00DD0E6E">
        <w:rPr>
          <w:szCs w:val="22"/>
        </w:rPr>
        <w:t xml:space="preserve">e </w:t>
      </w:r>
      <w:r>
        <w:rPr>
          <w:szCs w:val="22"/>
        </w:rPr>
        <w:t xml:space="preserve">use of Dengvaxia will require </w:t>
      </w:r>
      <w:r w:rsidR="00126D2A">
        <w:rPr>
          <w:szCs w:val="22"/>
        </w:rPr>
        <w:t xml:space="preserve">its registration by </w:t>
      </w:r>
      <w:r w:rsidR="00DD0E6E" w:rsidRPr="00DD0E6E">
        <w:rPr>
          <w:color w:val="000000" w:themeColor="text1"/>
          <w:szCs w:val="22"/>
        </w:rPr>
        <w:t xml:space="preserve">the Therapeutic Goods Administration (TGA), </w:t>
      </w:r>
      <w:r w:rsidR="00126D2A">
        <w:rPr>
          <w:color w:val="000000" w:themeColor="text1"/>
          <w:szCs w:val="22"/>
        </w:rPr>
        <w:t>and inclusion</w:t>
      </w:r>
      <w:r w:rsidR="00DD0E6E" w:rsidRPr="00DD0E6E">
        <w:rPr>
          <w:color w:val="000000" w:themeColor="text1"/>
          <w:szCs w:val="22"/>
        </w:rPr>
        <w:t xml:space="preserve"> in the </w:t>
      </w:r>
      <w:hyperlink r:id="rId8" w:history="1">
        <w:r w:rsidR="00DD0E6E" w:rsidRPr="00DD0E6E">
          <w:rPr>
            <w:rStyle w:val="Hyperlink"/>
            <w:szCs w:val="22"/>
          </w:rPr>
          <w:t>Australian Register of Therapeutic Goods</w:t>
        </w:r>
      </w:hyperlink>
      <w:r w:rsidR="00126D2A">
        <w:rPr>
          <w:color w:val="000000" w:themeColor="text1"/>
          <w:szCs w:val="22"/>
        </w:rPr>
        <w:t xml:space="preserve">. </w:t>
      </w:r>
      <w:r w:rsidR="00DD0E6E" w:rsidRPr="00DD0E6E">
        <w:rPr>
          <w:color w:val="000000" w:themeColor="text1"/>
          <w:szCs w:val="22"/>
        </w:rPr>
        <w:t xml:space="preserve">Subject to TGA approval, the GM </w:t>
      </w:r>
      <w:r>
        <w:rPr>
          <w:color w:val="000000" w:themeColor="text1"/>
          <w:szCs w:val="22"/>
        </w:rPr>
        <w:t>dengue</w:t>
      </w:r>
      <w:r w:rsidR="00DD0E6E" w:rsidRPr="00DD0E6E">
        <w:rPr>
          <w:color w:val="000000" w:themeColor="text1"/>
          <w:szCs w:val="22"/>
        </w:rPr>
        <w:t xml:space="preserve"> </w:t>
      </w:r>
      <w:r w:rsidR="00126D2A">
        <w:rPr>
          <w:color w:val="000000" w:themeColor="text1"/>
          <w:szCs w:val="22"/>
        </w:rPr>
        <w:t>vaccine</w:t>
      </w:r>
      <w:r w:rsidR="00DD0E6E" w:rsidRPr="00DD0E6E">
        <w:rPr>
          <w:color w:val="000000" w:themeColor="text1"/>
          <w:szCs w:val="22"/>
        </w:rPr>
        <w:t xml:space="preserve"> would be administered </w:t>
      </w:r>
      <w:r w:rsidR="00126D2A">
        <w:rPr>
          <w:color w:val="000000" w:themeColor="text1"/>
          <w:szCs w:val="22"/>
        </w:rPr>
        <w:t>by subcutaneous injection by a healthcare professional</w:t>
      </w:r>
      <w:r w:rsidR="00DD0E6E" w:rsidRPr="00DD0E6E">
        <w:rPr>
          <w:color w:val="000000" w:themeColor="text1"/>
          <w:szCs w:val="22"/>
        </w:rPr>
        <w:t>.</w:t>
      </w:r>
    </w:p>
    <w:p w:rsidR="00C35928" w:rsidRPr="004505D7" w:rsidRDefault="00C35928" w:rsidP="00C35928">
      <w:pPr>
        <w:spacing w:before="120"/>
        <w:rPr>
          <w:rFonts w:ascii="Calibri" w:hAnsi="Calibri"/>
          <w:szCs w:val="22"/>
        </w:rPr>
      </w:pPr>
      <w:r w:rsidRPr="004505D7">
        <w:rPr>
          <w:rFonts w:ascii="Calibri" w:hAnsi="Calibri"/>
          <w:szCs w:val="22"/>
        </w:rPr>
        <w:t xml:space="preserve">The </w:t>
      </w:r>
      <w:r w:rsidR="00A01C17" w:rsidRPr="004505D7">
        <w:rPr>
          <w:rFonts w:ascii="Calibri" w:hAnsi="Calibri"/>
          <w:szCs w:val="22"/>
        </w:rPr>
        <w:t xml:space="preserve">Regulator’s </w:t>
      </w:r>
      <w:r w:rsidRPr="004505D7">
        <w:rPr>
          <w:rFonts w:ascii="Calibri" w:hAnsi="Calibri"/>
          <w:szCs w:val="22"/>
        </w:rPr>
        <w:t>decision to issue the licence was made after consultation on the RARMP</w:t>
      </w:r>
      <w:r w:rsidR="005D2345" w:rsidRPr="004505D7">
        <w:rPr>
          <w:rFonts w:ascii="Calibri" w:hAnsi="Calibri"/>
          <w:szCs w:val="22"/>
        </w:rPr>
        <w:t xml:space="preserve"> with</w:t>
      </w:r>
      <w:r w:rsidRPr="004505D7">
        <w:rPr>
          <w:rFonts w:ascii="Calibri" w:hAnsi="Calibri"/>
          <w:szCs w:val="22"/>
        </w:rPr>
        <w:t xml:space="preserve"> the public, State and Territory governments, Australian Government agencies, the Minister for the Environment, the Gene Technolo</w:t>
      </w:r>
      <w:r w:rsidR="0009011D" w:rsidRPr="004505D7">
        <w:rPr>
          <w:rFonts w:ascii="Calibri" w:hAnsi="Calibri"/>
          <w:szCs w:val="22"/>
        </w:rPr>
        <w:t>gy Technical Advisory Committee</w:t>
      </w:r>
      <w:r w:rsidRPr="004505D7">
        <w:rPr>
          <w:rFonts w:ascii="Calibri" w:hAnsi="Calibri"/>
          <w:szCs w:val="22"/>
        </w:rPr>
        <w:t xml:space="preserve"> and </w:t>
      </w:r>
      <w:r w:rsidR="00A01C17" w:rsidRPr="004505D7">
        <w:rPr>
          <w:rFonts w:ascii="Calibri" w:hAnsi="Calibri"/>
          <w:szCs w:val="22"/>
        </w:rPr>
        <w:t>local councils</w:t>
      </w:r>
      <w:r w:rsidR="005D2345" w:rsidRPr="004505D7">
        <w:rPr>
          <w:rFonts w:ascii="Calibri" w:hAnsi="Calibri"/>
          <w:szCs w:val="22"/>
        </w:rPr>
        <w:t xml:space="preserve">, as required by the </w:t>
      </w:r>
      <w:r w:rsidR="005D2345" w:rsidRPr="004505D7">
        <w:rPr>
          <w:rFonts w:ascii="Calibri" w:hAnsi="Calibri"/>
          <w:i/>
          <w:szCs w:val="22"/>
        </w:rPr>
        <w:t xml:space="preserve">Gene Technology Act 2000 </w:t>
      </w:r>
      <w:r w:rsidR="005D2345" w:rsidRPr="004505D7">
        <w:rPr>
          <w:rFonts w:ascii="Calibri" w:hAnsi="Calibri"/>
          <w:szCs w:val="22"/>
        </w:rPr>
        <w:t>and the corresponding State and Territory legislation</w:t>
      </w:r>
      <w:r w:rsidR="00A01C17" w:rsidRPr="004505D7">
        <w:rPr>
          <w:rFonts w:ascii="Calibri" w:hAnsi="Calibri"/>
          <w:szCs w:val="22"/>
        </w:rPr>
        <w:t>.</w:t>
      </w:r>
    </w:p>
    <w:p w:rsidR="00AE0E89" w:rsidRPr="004505D7" w:rsidRDefault="002E0C37" w:rsidP="00C35928">
      <w:pPr>
        <w:spacing w:before="120"/>
        <w:rPr>
          <w:rFonts w:ascii="Calibri" w:hAnsi="Calibri"/>
          <w:szCs w:val="22"/>
        </w:rPr>
      </w:pPr>
      <w:r w:rsidRPr="004505D7">
        <w:rPr>
          <w:rFonts w:ascii="Calibri" w:hAnsi="Calibri"/>
          <w:szCs w:val="22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4505D7">
        <w:rPr>
          <w:rFonts w:ascii="Calibri" w:hAnsi="Calibri"/>
          <w:szCs w:val="22"/>
        </w:rPr>
        <w:t>comments</w:t>
      </w:r>
      <w:r w:rsidRPr="004505D7">
        <w:rPr>
          <w:rFonts w:ascii="Calibri" w:hAnsi="Calibri"/>
          <w:szCs w:val="22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817E18" w:rsidRPr="004505D7" w:rsidRDefault="00C35928" w:rsidP="00817E18">
      <w:pPr>
        <w:spacing w:before="120"/>
        <w:rPr>
          <w:rFonts w:ascii="Calibri" w:hAnsi="Calibri"/>
          <w:szCs w:val="22"/>
        </w:rPr>
      </w:pPr>
      <w:r w:rsidRPr="004505D7">
        <w:rPr>
          <w:rFonts w:ascii="Calibri" w:hAnsi="Calibri"/>
          <w:szCs w:val="22"/>
        </w:rPr>
        <w:t>The finalised RARM</w:t>
      </w:r>
      <w:r w:rsidR="00817E18" w:rsidRPr="004505D7">
        <w:rPr>
          <w:rFonts w:ascii="Calibri" w:hAnsi="Calibri"/>
          <w:szCs w:val="22"/>
        </w:rPr>
        <w:t xml:space="preserve">P concludes that this </w:t>
      </w:r>
      <w:r w:rsidR="00DD0E6E">
        <w:rPr>
          <w:rFonts w:ascii="Calibri" w:hAnsi="Calibri"/>
          <w:szCs w:val="22"/>
        </w:rPr>
        <w:t>commercial supply</w:t>
      </w:r>
      <w:r w:rsidRPr="004505D7">
        <w:rPr>
          <w:rFonts w:ascii="Calibri" w:hAnsi="Calibri"/>
          <w:szCs w:val="22"/>
        </w:rPr>
        <w:t xml:space="preserve"> poses negligible risks to people and the environment and does not require specific risk treatment measures. </w:t>
      </w:r>
      <w:r w:rsidR="00DD0E6E" w:rsidRPr="00DD0E6E">
        <w:rPr>
          <w:rFonts w:ascii="Calibri" w:hAnsi="Calibri"/>
          <w:szCs w:val="22"/>
        </w:rPr>
        <w:t>However, general licence conditions have been imposed to ensure ongoing oversight of the release</w:t>
      </w:r>
      <w:r w:rsidR="00817E18" w:rsidRPr="004505D7">
        <w:rPr>
          <w:rFonts w:ascii="Calibri" w:hAnsi="Calibri"/>
          <w:szCs w:val="22"/>
        </w:rPr>
        <w:t>.</w:t>
      </w:r>
      <w:r w:rsidR="000B0A5E">
        <w:rPr>
          <w:rFonts w:ascii="Calibri" w:hAnsi="Calibri"/>
          <w:szCs w:val="22"/>
        </w:rPr>
        <w:t xml:space="preserve"> </w:t>
      </w:r>
    </w:p>
    <w:p w:rsidR="001A7F44" w:rsidRPr="00C94211" w:rsidRDefault="00DD0E6E" w:rsidP="001A7F44">
      <w:pPr>
        <w:spacing w:before="120"/>
        <w:rPr>
          <w:rFonts w:ascii="Calibri" w:hAnsi="Calibri"/>
          <w:szCs w:val="22"/>
        </w:rPr>
      </w:pPr>
      <w:r w:rsidRPr="00815699">
        <w:rPr>
          <w:rFonts w:ascii="Calibri" w:hAnsi="Calibri"/>
          <w:szCs w:val="22"/>
        </w:rPr>
        <w:t>Appendices</w:t>
      </w:r>
      <w:r w:rsidR="001A7F44" w:rsidRPr="00815699">
        <w:rPr>
          <w:rFonts w:ascii="Calibri" w:hAnsi="Calibri"/>
          <w:szCs w:val="22"/>
        </w:rPr>
        <w:t xml:space="preserve"> A</w:t>
      </w:r>
      <w:r w:rsidR="00817E18" w:rsidRPr="00815699">
        <w:rPr>
          <w:rFonts w:ascii="Calibri" w:hAnsi="Calibri"/>
          <w:szCs w:val="22"/>
        </w:rPr>
        <w:t xml:space="preserve"> </w:t>
      </w:r>
      <w:r w:rsidRPr="00815699">
        <w:rPr>
          <w:rFonts w:ascii="Calibri" w:hAnsi="Calibri"/>
          <w:szCs w:val="22"/>
        </w:rPr>
        <w:t xml:space="preserve">and B </w:t>
      </w:r>
      <w:r w:rsidR="001A7F44" w:rsidRPr="00815699">
        <w:rPr>
          <w:rFonts w:ascii="Calibri" w:hAnsi="Calibri"/>
          <w:szCs w:val="22"/>
        </w:rPr>
        <w:t>of the RARMP summari</w:t>
      </w:r>
      <w:r w:rsidR="00D400B0" w:rsidRPr="00815699">
        <w:rPr>
          <w:rFonts w:ascii="Calibri" w:hAnsi="Calibri"/>
          <w:szCs w:val="22"/>
        </w:rPr>
        <w:t>se</w:t>
      </w:r>
      <w:r w:rsidR="001A7F44" w:rsidRPr="00815699">
        <w:rPr>
          <w:rFonts w:ascii="Calibri" w:hAnsi="Calibri"/>
          <w:szCs w:val="22"/>
        </w:rPr>
        <w:t xml:space="preserve"> the </w:t>
      </w:r>
      <w:r w:rsidR="00B643EE" w:rsidRPr="00815699">
        <w:rPr>
          <w:rFonts w:ascii="Calibri" w:hAnsi="Calibri"/>
          <w:szCs w:val="22"/>
        </w:rPr>
        <w:t xml:space="preserve">advice </w:t>
      </w:r>
      <w:r w:rsidR="001A7F44" w:rsidRPr="00815699">
        <w:rPr>
          <w:rFonts w:ascii="Calibri" w:hAnsi="Calibri"/>
          <w:szCs w:val="22"/>
        </w:rPr>
        <w:t>received from prescribed experts, agencies and authorities, and indicate</w:t>
      </w:r>
      <w:r w:rsidR="00817E18" w:rsidRPr="00815699">
        <w:rPr>
          <w:rFonts w:ascii="Calibri" w:hAnsi="Calibri"/>
          <w:szCs w:val="22"/>
        </w:rPr>
        <w:t>s</w:t>
      </w:r>
      <w:r w:rsidR="001A7F44" w:rsidRPr="004505D7">
        <w:rPr>
          <w:rFonts w:ascii="Calibri" w:hAnsi="Calibri"/>
          <w:szCs w:val="22"/>
        </w:rPr>
        <w:t xml:space="preserve"> how issues raised relating to risks to human health and safety or the environment were considered in</w:t>
      </w:r>
      <w:r w:rsidR="009C40E1" w:rsidRPr="004505D7">
        <w:rPr>
          <w:rFonts w:ascii="Calibri" w:hAnsi="Calibri"/>
          <w:szCs w:val="22"/>
        </w:rPr>
        <w:t xml:space="preserve"> preparing and finalising</w:t>
      </w:r>
      <w:r w:rsidR="001A7F44" w:rsidRPr="004505D7">
        <w:rPr>
          <w:rFonts w:ascii="Calibri" w:hAnsi="Calibri"/>
          <w:szCs w:val="22"/>
        </w:rPr>
        <w:t xml:space="preserve"> the document</w:t>
      </w:r>
      <w:r w:rsidR="004505D7">
        <w:rPr>
          <w:rFonts w:ascii="Calibri" w:hAnsi="Calibri"/>
          <w:szCs w:val="22"/>
        </w:rPr>
        <w:t xml:space="preserve">. </w:t>
      </w:r>
      <w:r w:rsidR="001C5721">
        <w:rPr>
          <w:rFonts w:ascii="Calibri" w:hAnsi="Calibri"/>
          <w:szCs w:val="22"/>
        </w:rPr>
        <w:t>Seven</w:t>
      </w:r>
      <w:r w:rsidR="00BA505F">
        <w:rPr>
          <w:rFonts w:ascii="Calibri" w:hAnsi="Calibri"/>
          <w:szCs w:val="22"/>
        </w:rPr>
        <w:t xml:space="preserve"> </w:t>
      </w:r>
      <w:r w:rsidR="00477D2C" w:rsidRPr="00477D2C">
        <w:rPr>
          <w:rFonts w:ascii="Calibri" w:hAnsi="Calibri"/>
          <w:szCs w:val="22"/>
        </w:rPr>
        <w:t>s</w:t>
      </w:r>
      <w:r w:rsidR="002E4C1E" w:rsidRPr="00477D2C">
        <w:rPr>
          <w:rFonts w:ascii="Calibri" w:hAnsi="Calibri"/>
          <w:szCs w:val="22"/>
        </w:rPr>
        <w:t>ubmission</w:t>
      </w:r>
      <w:r w:rsidR="004505D7" w:rsidRPr="00477D2C">
        <w:rPr>
          <w:rFonts w:ascii="Calibri" w:hAnsi="Calibri"/>
          <w:szCs w:val="22"/>
        </w:rPr>
        <w:t>s</w:t>
      </w:r>
      <w:r w:rsidR="00AE0E89" w:rsidRPr="00477D2C">
        <w:rPr>
          <w:rFonts w:ascii="Calibri" w:hAnsi="Calibri"/>
          <w:szCs w:val="22"/>
        </w:rPr>
        <w:t xml:space="preserve"> </w:t>
      </w:r>
      <w:r w:rsidR="00477D2C" w:rsidRPr="00477D2C">
        <w:rPr>
          <w:rFonts w:ascii="Calibri" w:hAnsi="Calibri"/>
          <w:szCs w:val="22"/>
        </w:rPr>
        <w:t xml:space="preserve">were </w:t>
      </w:r>
      <w:r w:rsidR="00AE0E89" w:rsidRPr="00477D2C">
        <w:rPr>
          <w:rFonts w:ascii="Calibri" w:hAnsi="Calibri"/>
          <w:szCs w:val="22"/>
        </w:rPr>
        <w:t xml:space="preserve">received from </w:t>
      </w:r>
      <w:r w:rsidR="00477D2C" w:rsidRPr="00477D2C">
        <w:rPr>
          <w:rFonts w:ascii="Calibri" w:hAnsi="Calibri"/>
          <w:szCs w:val="22"/>
        </w:rPr>
        <w:t xml:space="preserve">members of </w:t>
      </w:r>
      <w:r w:rsidR="00AE0E89" w:rsidRPr="00477D2C">
        <w:rPr>
          <w:rFonts w:ascii="Calibri" w:hAnsi="Calibri"/>
          <w:szCs w:val="22"/>
        </w:rPr>
        <w:t>the public</w:t>
      </w:r>
      <w:r w:rsidR="00BA505F">
        <w:rPr>
          <w:rFonts w:ascii="Calibri" w:hAnsi="Calibri"/>
          <w:szCs w:val="22"/>
        </w:rPr>
        <w:t xml:space="preserve"> on the consultation RARMP and the issues raised, and their consideration, are summarised in Appendix C of the RARMP</w:t>
      </w:r>
      <w:r w:rsidR="00AE0E89" w:rsidRPr="00477D2C">
        <w:rPr>
          <w:rFonts w:ascii="Calibri" w:hAnsi="Calibri"/>
          <w:szCs w:val="22"/>
        </w:rPr>
        <w:t>.</w:t>
      </w:r>
    </w:p>
    <w:p w:rsidR="001A7F44" w:rsidRPr="00C94211" w:rsidRDefault="008B4733" w:rsidP="001A7F44">
      <w:pPr>
        <w:spacing w:before="120"/>
        <w:rPr>
          <w:rFonts w:ascii="Calibri" w:hAnsi="Calibri"/>
          <w:szCs w:val="22"/>
        </w:rPr>
      </w:pPr>
      <w:r w:rsidRPr="00C94211">
        <w:rPr>
          <w:rFonts w:ascii="Calibri" w:hAnsi="Calibri"/>
          <w:szCs w:val="22"/>
        </w:rPr>
        <w:t xml:space="preserve">The </w:t>
      </w:r>
      <w:r w:rsidR="001A7F44" w:rsidRPr="00C94211">
        <w:rPr>
          <w:rFonts w:ascii="Calibri" w:hAnsi="Calibri"/>
          <w:szCs w:val="22"/>
        </w:rPr>
        <w:t>finalised RARMP, together with</w:t>
      </w:r>
      <w:r w:rsidRPr="00C94211">
        <w:rPr>
          <w:rFonts w:ascii="Calibri" w:hAnsi="Calibri"/>
          <w:szCs w:val="22"/>
        </w:rPr>
        <w:t xml:space="preserve"> a summary of the RARMP,</w:t>
      </w:r>
      <w:r w:rsidR="001A7F44" w:rsidRPr="00C94211">
        <w:rPr>
          <w:rFonts w:ascii="Calibri" w:hAnsi="Calibri"/>
          <w:szCs w:val="22"/>
        </w:rPr>
        <w:t xml:space="preserve"> a set of Questions and Answers on this decision and a copy of the licenc</w:t>
      </w:r>
      <w:r w:rsidR="00854E94" w:rsidRPr="00C94211">
        <w:rPr>
          <w:rFonts w:ascii="Calibri" w:hAnsi="Calibri"/>
          <w:szCs w:val="22"/>
        </w:rPr>
        <w:t xml:space="preserve">e, can be obtained on-line from the </w:t>
      </w:r>
      <w:hyperlink r:id="rId9" w:history="1">
        <w:r w:rsidR="00DD0E6E">
          <w:rPr>
            <w:rStyle w:val="Hyperlink"/>
            <w:rFonts w:ascii="Calibri" w:hAnsi="Calibri"/>
            <w:szCs w:val="22"/>
          </w:rPr>
          <w:t>DIR 148</w:t>
        </w:r>
      </w:hyperlink>
      <w:r w:rsidR="00EF22AA" w:rsidRPr="00C94211">
        <w:rPr>
          <w:rFonts w:ascii="Calibri" w:hAnsi="Calibri"/>
          <w:szCs w:val="22"/>
        </w:rPr>
        <w:t xml:space="preserve"> </w:t>
      </w:r>
      <w:r w:rsidR="00AE0E89" w:rsidRPr="00C94211">
        <w:rPr>
          <w:rFonts w:ascii="Calibri" w:hAnsi="Calibri"/>
          <w:szCs w:val="22"/>
        </w:rPr>
        <w:t xml:space="preserve">page </w:t>
      </w:r>
      <w:r w:rsidR="002B130F" w:rsidRPr="00C94211">
        <w:rPr>
          <w:rFonts w:ascii="Calibri" w:hAnsi="Calibri"/>
          <w:szCs w:val="22"/>
        </w:rPr>
        <w:t xml:space="preserve">of </w:t>
      </w:r>
      <w:r w:rsidR="001A7F44" w:rsidRPr="00C94211">
        <w:rPr>
          <w:rFonts w:ascii="Calibri" w:hAnsi="Calibri"/>
          <w:szCs w:val="22"/>
        </w:rPr>
        <w:t xml:space="preserve">the </w:t>
      </w:r>
      <w:r w:rsidR="002B130F" w:rsidRPr="00C94211">
        <w:rPr>
          <w:rFonts w:ascii="Calibri" w:hAnsi="Calibri"/>
          <w:szCs w:val="22"/>
        </w:rPr>
        <w:t>Office of the Gene Technology Regulator’s website</w:t>
      </w:r>
      <w:r w:rsidR="001A7F44" w:rsidRPr="00C94211">
        <w:rPr>
          <w:rFonts w:ascii="Calibri" w:hAnsi="Calibri"/>
          <w:szCs w:val="22"/>
        </w:rPr>
        <w:t xml:space="preserve"> or requested via the contacts detailed below.</w:t>
      </w:r>
    </w:p>
    <w:p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Cs w:val="22"/>
        </w:rPr>
      </w:pPr>
      <w:r w:rsidRPr="00C94211">
        <w:rPr>
          <w:rFonts w:ascii="Calibri" w:hAnsi="Calibri"/>
          <w:b/>
          <w:szCs w:val="22"/>
        </w:rPr>
        <w:t>Office of the Gene Technology Regulator</w:t>
      </w:r>
    </w:p>
    <w:p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Cs w:val="22"/>
        </w:rPr>
      </w:pPr>
      <w:r w:rsidRPr="00C94211">
        <w:rPr>
          <w:rFonts w:ascii="Calibri" w:hAnsi="Calibri"/>
          <w:b/>
          <w:szCs w:val="22"/>
        </w:rPr>
        <w:t>MDP 54 GPO Box 9848 CANBERRA ACT 2601</w:t>
      </w:r>
      <w:r w:rsidR="00CF5F4E">
        <w:rPr>
          <w:rFonts w:ascii="Calibri" w:hAnsi="Calibri"/>
          <w:b/>
          <w:szCs w:val="22"/>
        </w:rPr>
        <w:t xml:space="preserve">   </w:t>
      </w:r>
      <w:r w:rsidRPr="00C94211">
        <w:rPr>
          <w:rFonts w:ascii="Calibri" w:hAnsi="Calibri"/>
          <w:b/>
          <w:szCs w:val="22"/>
        </w:rPr>
        <w:t>Tel: 1800 181 030</w:t>
      </w:r>
      <w:r w:rsidR="001F005A">
        <w:rPr>
          <w:rFonts w:ascii="Calibri" w:hAnsi="Calibri"/>
          <w:b/>
          <w:szCs w:val="22"/>
        </w:rPr>
        <w:t xml:space="preserve">   </w:t>
      </w:r>
      <w:r w:rsidR="00674F38" w:rsidRPr="00C94211">
        <w:rPr>
          <w:rFonts w:ascii="Calibri" w:hAnsi="Calibri"/>
          <w:b/>
          <w:szCs w:val="22"/>
        </w:rPr>
        <w:t xml:space="preserve">E-mail: </w:t>
      </w:r>
      <w:hyperlink r:id="rId10" w:history="1">
        <w:r w:rsidR="00674F38" w:rsidRPr="00C94211">
          <w:rPr>
            <w:rFonts w:ascii="Calibri" w:hAnsi="Calibri"/>
            <w:b/>
            <w:szCs w:val="22"/>
          </w:rPr>
          <w:t>ogtr@health.gov.au</w:t>
        </w:r>
      </w:hyperlink>
    </w:p>
    <w:p w:rsidR="00DD0E6E" w:rsidRPr="00D26888" w:rsidRDefault="00584F61" w:rsidP="00DD0E6E">
      <w:pPr>
        <w:spacing w:before="60"/>
        <w:jc w:val="center"/>
        <w:rPr>
          <w:b/>
        </w:rPr>
      </w:pPr>
      <w:hyperlink r:id="rId11" w:history="1">
        <w:r w:rsidR="00DD0E6E">
          <w:rPr>
            <w:rStyle w:val="Hyperlink"/>
          </w:rPr>
          <w:t>OGTR website</w:t>
        </w:r>
      </w:hyperlink>
    </w:p>
    <w:p w:rsidR="00674F38" w:rsidRPr="00D26888" w:rsidRDefault="00674F38" w:rsidP="002361F1">
      <w:pPr>
        <w:spacing w:before="60"/>
        <w:jc w:val="center"/>
        <w:rPr>
          <w:b/>
        </w:rPr>
      </w:pPr>
    </w:p>
    <w:sectPr w:rsidR="00674F38" w:rsidRPr="00D26888" w:rsidSect="001008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B9" w:rsidRDefault="00BC2BB9">
      <w:r>
        <w:separator/>
      </w:r>
    </w:p>
  </w:endnote>
  <w:endnote w:type="continuationSeparator" w:id="0">
    <w:p w:rsidR="00BC2BB9" w:rsidRDefault="00BC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B9" w:rsidRDefault="00BC2BB9">
      <w:r>
        <w:separator/>
      </w:r>
    </w:p>
  </w:footnote>
  <w:footnote w:type="continuationSeparator" w:id="0">
    <w:p w:rsidR="00BC2BB9" w:rsidRDefault="00BC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646A9"/>
    <w:rsid w:val="00065693"/>
    <w:rsid w:val="00087B3E"/>
    <w:rsid w:val="0009011D"/>
    <w:rsid w:val="000B0A5E"/>
    <w:rsid w:val="000B377D"/>
    <w:rsid w:val="000C72D8"/>
    <w:rsid w:val="000D46FF"/>
    <w:rsid w:val="000D5599"/>
    <w:rsid w:val="000D7FAD"/>
    <w:rsid w:val="000E077B"/>
    <w:rsid w:val="00100891"/>
    <w:rsid w:val="00103245"/>
    <w:rsid w:val="00112EF6"/>
    <w:rsid w:val="00117DB1"/>
    <w:rsid w:val="00125707"/>
    <w:rsid w:val="00126D2A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E5"/>
    <w:rsid w:val="00191492"/>
    <w:rsid w:val="00193A72"/>
    <w:rsid w:val="00194E55"/>
    <w:rsid w:val="001A2D05"/>
    <w:rsid w:val="001A5C02"/>
    <w:rsid w:val="001A7F44"/>
    <w:rsid w:val="001C5721"/>
    <w:rsid w:val="001D6812"/>
    <w:rsid w:val="001F005A"/>
    <w:rsid w:val="001F05C5"/>
    <w:rsid w:val="001F7E8B"/>
    <w:rsid w:val="00233BEF"/>
    <w:rsid w:val="002361F1"/>
    <w:rsid w:val="00240075"/>
    <w:rsid w:val="00245613"/>
    <w:rsid w:val="00256EA9"/>
    <w:rsid w:val="00262BFA"/>
    <w:rsid w:val="00265048"/>
    <w:rsid w:val="00265B53"/>
    <w:rsid w:val="002709D6"/>
    <w:rsid w:val="002752AA"/>
    <w:rsid w:val="00285451"/>
    <w:rsid w:val="002A4312"/>
    <w:rsid w:val="002B130F"/>
    <w:rsid w:val="002B20E7"/>
    <w:rsid w:val="002B32B9"/>
    <w:rsid w:val="002B5228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05D7"/>
    <w:rsid w:val="00456575"/>
    <w:rsid w:val="0045753E"/>
    <w:rsid w:val="00463B77"/>
    <w:rsid w:val="00477D2C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27B2"/>
    <w:rsid w:val="004D58DD"/>
    <w:rsid w:val="004F7C52"/>
    <w:rsid w:val="00503B1C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674A3"/>
    <w:rsid w:val="005730C4"/>
    <w:rsid w:val="00584F61"/>
    <w:rsid w:val="00590F72"/>
    <w:rsid w:val="00591E3D"/>
    <w:rsid w:val="00596351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14AF"/>
    <w:rsid w:val="006F348A"/>
    <w:rsid w:val="00701E30"/>
    <w:rsid w:val="00707141"/>
    <w:rsid w:val="00712190"/>
    <w:rsid w:val="00712D1C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5699"/>
    <w:rsid w:val="0081661B"/>
    <w:rsid w:val="00817E18"/>
    <w:rsid w:val="00821AE3"/>
    <w:rsid w:val="00841663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95B"/>
    <w:rsid w:val="00952CAC"/>
    <w:rsid w:val="0096079D"/>
    <w:rsid w:val="00967D02"/>
    <w:rsid w:val="00973DEE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4271"/>
    <w:rsid w:val="00BA505F"/>
    <w:rsid w:val="00BC042E"/>
    <w:rsid w:val="00BC2BB9"/>
    <w:rsid w:val="00BD23D2"/>
    <w:rsid w:val="00BD3E28"/>
    <w:rsid w:val="00BF4A53"/>
    <w:rsid w:val="00C010F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53AC2"/>
    <w:rsid w:val="00C65C8C"/>
    <w:rsid w:val="00C66BFA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5161"/>
    <w:rsid w:val="00D96FC5"/>
    <w:rsid w:val="00DA1D58"/>
    <w:rsid w:val="00DB2C42"/>
    <w:rsid w:val="00DB2F95"/>
    <w:rsid w:val="00DB34BA"/>
    <w:rsid w:val="00DB57CD"/>
    <w:rsid w:val="00DC3D3D"/>
    <w:rsid w:val="00DD0444"/>
    <w:rsid w:val="00DD0E6E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1F8E"/>
    <w:rsid w:val="00E45DFB"/>
    <w:rsid w:val="00E47344"/>
    <w:rsid w:val="00E47348"/>
    <w:rsid w:val="00E7466D"/>
    <w:rsid w:val="00E8554C"/>
    <w:rsid w:val="00E87CAC"/>
    <w:rsid w:val="00E92DBB"/>
    <w:rsid w:val="00EA3A1A"/>
    <w:rsid w:val="00EB1F0B"/>
    <w:rsid w:val="00EC3469"/>
    <w:rsid w:val="00EC496A"/>
    <w:rsid w:val="00EC6D1B"/>
    <w:rsid w:val="00EE78B9"/>
    <w:rsid w:val="00EF22AA"/>
    <w:rsid w:val="00EF2F3E"/>
    <w:rsid w:val="00F061A4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92CF9"/>
    <w:rsid w:val="00FA26BE"/>
    <w:rsid w:val="00FA2D11"/>
    <w:rsid w:val="00FA499D"/>
    <w:rsid w:val="00FA68B7"/>
    <w:rsid w:val="00FA72F3"/>
    <w:rsid w:val="00FA787C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E6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E6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australian-register-therapeutic-good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gtr.gov.au/internet/ogtr/publishing.nsf/Content/home-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gtr@health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gtr.gov.au/internet/ogtr/publishing.nsf/Content/DIR14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150 Notification of Decision</vt:lpstr>
    </vt:vector>
  </TitlesOfParts>
  <LinksUpToDate>false</LinksUpToDate>
  <CharactersWithSpaces>3032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148 Notification of  licence Decision</dc:title>
  <dc:creator/>
  <cp:lastModifiedBy/>
  <cp:revision>1</cp:revision>
  <dcterms:created xsi:type="dcterms:W3CDTF">2017-06-27T23:21:00Z</dcterms:created>
  <dcterms:modified xsi:type="dcterms:W3CDTF">2017-06-27T23:21:00Z</dcterms:modified>
</cp:coreProperties>
</file>