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652" w:rsidRPr="00BF24CD" w:rsidRDefault="00E94652" w:rsidP="00E94652">
      <w:pPr>
        <w:jc w:val="right"/>
      </w:pPr>
      <w:bookmarkStart w:id="0" w:name="_Toc198434571"/>
      <w:bookmarkStart w:id="1" w:name="_Toc167164262"/>
      <w:bookmarkStart w:id="2" w:name="_Toc174765844"/>
      <w:r>
        <w:t>25 November</w:t>
      </w:r>
      <w:r w:rsidRPr="00BF24CD">
        <w:t xml:space="preserve"> 2009</w:t>
      </w:r>
    </w:p>
    <w:p w:rsidR="00E94652" w:rsidRPr="00BF24CD" w:rsidRDefault="00E94652" w:rsidP="00E94652"/>
    <w:p w:rsidR="00E94652" w:rsidRPr="00BF24CD" w:rsidRDefault="00E94652" w:rsidP="00E94652">
      <w:pPr>
        <w:pStyle w:val="Heading1centered"/>
        <w:spacing w:before="0" w:after="0"/>
        <w:rPr>
          <w:rFonts w:ascii="Times New Roman" w:hAnsi="Times New Roman" w:cs="Times New Roman"/>
          <w:kern w:val="0"/>
          <w:sz w:val="28"/>
          <w:szCs w:val="28"/>
          <w:lang w:eastAsia="en-US"/>
        </w:rPr>
      </w:pPr>
      <w:r>
        <w:rPr>
          <w:rFonts w:ascii="Times New Roman" w:hAnsi="Times New Roman" w:cs="Times New Roman"/>
          <w:kern w:val="0"/>
          <w:sz w:val="28"/>
          <w:szCs w:val="28"/>
          <w:lang w:eastAsia="en-US"/>
        </w:rPr>
        <w:t>Technical</w:t>
      </w:r>
      <w:r w:rsidRPr="00BF24CD">
        <w:rPr>
          <w:rFonts w:ascii="Times New Roman" w:hAnsi="Times New Roman" w:cs="Times New Roman"/>
          <w:kern w:val="0"/>
          <w:sz w:val="28"/>
          <w:szCs w:val="28"/>
          <w:lang w:eastAsia="en-US"/>
        </w:rPr>
        <w:t xml:space="preserve"> summary of the risk assessment and risk management plan</w:t>
      </w:r>
    </w:p>
    <w:p w:rsidR="00E94652" w:rsidRPr="00BF24CD" w:rsidRDefault="00E94652" w:rsidP="00E94652">
      <w:pPr>
        <w:jc w:val="center"/>
        <w:rPr>
          <w:bCs/>
          <w:lang w:eastAsia="en-US"/>
        </w:rPr>
      </w:pPr>
      <w:r w:rsidRPr="00BF24CD">
        <w:rPr>
          <w:bCs/>
          <w:lang w:eastAsia="en-US"/>
        </w:rPr>
        <w:t>FOR</w:t>
      </w:r>
    </w:p>
    <w:p w:rsidR="00E94652" w:rsidRPr="00BF24CD" w:rsidRDefault="00E94652" w:rsidP="00E94652">
      <w:pPr>
        <w:pStyle w:val="Heading1centered"/>
        <w:spacing w:before="0" w:after="0"/>
        <w:rPr>
          <w:rFonts w:ascii="Times New Roman" w:hAnsi="Times New Roman" w:cs="Times New Roman"/>
          <w:kern w:val="0"/>
          <w:sz w:val="28"/>
          <w:szCs w:val="28"/>
          <w:lang w:eastAsia="en-US"/>
        </w:rPr>
      </w:pPr>
      <w:r w:rsidRPr="00BF24CD">
        <w:rPr>
          <w:rFonts w:ascii="Times New Roman" w:hAnsi="Times New Roman" w:cs="Times New Roman"/>
          <w:kern w:val="0"/>
          <w:sz w:val="28"/>
          <w:szCs w:val="28"/>
          <w:lang w:eastAsia="en-US"/>
        </w:rPr>
        <w:t>Application No. DIR 09</w:t>
      </w:r>
      <w:r>
        <w:rPr>
          <w:rFonts w:ascii="Times New Roman" w:hAnsi="Times New Roman" w:cs="Times New Roman"/>
          <w:kern w:val="0"/>
          <w:sz w:val="28"/>
          <w:szCs w:val="28"/>
          <w:lang w:eastAsia="en-US"/>
        </w:rPr>
        <w:t>1</w:t>
      </w:r>
    </w:p>
    <w:p w:rsidR="00E94652" w:rsidRPr="00BF24CD" w:rsidRDefault="00E94652" w:rsidP="00E94652">
      <w:pPr>
        <w:jc w:val="center"/>
        <w:rPr>
          <w:bCs/>
          <w:lang w:eastAsia="en-US"/>
        </w:rPr>
      </w:pPr>
      <w:r w:rsidRPr="00BF24CD">
        <w:rPr>
          <w:bCs/>
          <w:lang w:eastAsia="en-US"/>
        </w:rPr>
        <w:t>FROM</w:t>
      </w:r>
    </w:p>
    <w:p w:rsidR="00E94652" w:rsidRPr="00BF24CD" w:rsidRDefault="00E94652" w:rsidP="00E94652">
      <w:pPr>
        <w:pStyle w:val="Heading1centered"/>
        <w:spacing w:before="0" w:after="0"/>
        <w:rPr>
          <w:rFonts w:ascii="Times New Roman" w:hAnsi="Times New Roman" w:cs="Times New Roman"/>
          <w:kern w:val="0"/>
          <w:sz w:val="28"/>
          <w:szCs w:val="28"/>
          <w:lang w:eastAsia="en-US"/>
        </w:rPr>
      </w:pPr>
      <w:r>
        <w:rPr>
          <w:rFonts w:ascii="Times New Roman" w:hAnsi="Times New Roman" w:cs="Times New Roman"/>
          <w:kern w:val="0"/>
          <w:sz w:val="28"/>
          <w:szCs w:val="28"/>
          <w:lang w:eastAsia="en-US"/>
        </w:rPr>
        <w:t>dow agrosciences</w:t>
      </w:r>
    </w:p>
    <w:bookmarkEnd w:id="0"/>
    <w:bookmarkEnd w:id="1"/>
    <w:bookmarkEnd w:id="2"/>
    <w:p w:rsidR="00E94652" w:rsidRDefault="00E94652" w:rsidP="00E94652">
      <w:pPr>
        <w:rPr>
          <w:lang w:eastAsia="en-US"/>
        </w:rPr>
      </w:pPr>
    </w:p>
    <w:p w:rsidR="00E94652" w:rsidRDefault="00E94652" w:rsidP="00E94652">
      <w:pPr>
        <w:pStyle w:val="HeadingRARMP2"/>
      </w:pPr>
      <w:r>
        <w:t>Introduction</w:t>
      </w:r>
    </w:p>
    <w:p w:rsidR="00E94652" w:rsidRPr="00B13BFD" w:rsidRDefault="00E94652" w:rsidP="00E94652">
      <w:pPr>
        <w:pStyle w:val="Paranonumbers"/>
      </w:pPr>
      <w:r w:rsidRPr="00B13BFD">
        <w:t>The Gene Technology Regulator (the Regulator) has made a decision to issue a licence in respect of licence application (DIR 091) from Dow AgroSciences Australia Ltd (Dow) for a commercial release of genetically modified (GM) cotton.</w:t>
      </w:r>
    </w:p>
    <w:p w:rsidR="00E94652" w:rsidRPr="00B13BFD" w:rsidRDefault="00E94652" w:rsidP="00E94652">
      <w:pPr>
        <w:pStyle w:val="Paranonumbers"/>
      </w:pPr>
      <w:r w:rsidRPr="00B13BFD">
        <w:t xml:space="preserve">The </w:t>
      </w:r>
      <w:r w:rsidRPr="00B13BFD">
        <w:rPr>
          <w:i/>
        </w:rPr>
        <w:t>Gene Technology Act 2000</w:t>
      </w:r>
      <w:r w:rsidRPr="00B13BFD">
        <w:t xml:space="preserve"> (the Act), the </w:t>
      </w:r>
      <w:r w:rsidRPr="00B13BFD">
        <w:rPr>
          <w:i/>
        </w:rPr>
        <w:t>Gene Technology Regulations 2001</w:t>
      </w:r>
      <w:r w:rsidRPr="00B13BFD">
        <w:t xml:space="preserve"> and corresponding state and territory law govern the comprehensive and highly consultative process undertaken by the Regulator before making a decision on whether or not to issue a licence to deal with a GMO. The decision is based upon a Risk Assessment and Risk Management Plan (RARMP) prepared by the Regulator in accordance with requirements of the legislation. RARMPs apply the </w:t>
      </w:r>
      <w:r w:rsidRPr="00B13BFD">
        <w:rPr>
          <w:i/>
        </w:rPr>
        <w:t>Risk Analysis Framework</w:t>
      </w:r>
      <w:r w:rsidRPr="00B13BFD">
        <w:t xml:space="preserve"> and are finalised following consultation with a wide range of experts, agencies and authorities, and the public</w:t>
      </w:r>
      <w:r w:rsidRPr="00B13BFD">
        <w:rPr>
          <w:rStyle w:val="FootnoteReference"/>
        </w:rPr>
        <w:footnoteReference w:id="1"/>
      </w:r>
      <w:r w:rsidRPr="00B13BFD">
        <w:t>.</w:t>
      </w:r>
    </w:p>
    <w:p w:rsidR="00E94652" w:rsidRDefault="00E94652" w:rsidP="00E94652">
      <w:pPr>
        <w:pStyle w:val="HeadingRARMP2"/>
      </w:pPr>
      <w:r>
        <w:t>The application</w:t>
      </w:r>
    </w:p>
    <w:p w:rsidR="00E94652" w:rsidRPr="00B13BFD" w:rsidRDefault="00E94652" w:rsidP="00E94652">
      <w:pPr>
        <w:pStyle w:val="Paranonumbers"/>
      </w:pPr>
      <w:r w:rsidRPr="00B13BFD">
        <w:t xml:space="preserve">Dow has applied for a licence for dealings involving the intentional release of GM WideStrike™ Insect Protection (WideStrike™) cotton. The applicant proposes that the commercial release would allow WideStrike™ cotton to be grown in all cotton growing areas of Australia south of latitude 22º South and that plant material from the GM cotton be used in the same manner as plant material from non-GM cotton and other commercially approved GM cotton(s), and enter general commerce. </w:t>
      </w:r>
    </w:p>
    <w:p w:rsidR="00E94652" w:rsidRPr="00B13BFD" w:rsidRDefault="00E94652" w:rsidP="00E94652">
      <w:pPr>
        <w:pStyle w:val="Paranonumbers"/>
      </w:pPr>
      <w:r w:rsidRPr="00B13BFD">
        <w:t xml:space="preserve">WideStrike™ GM cotton has been genetically modified for resistance to insects. The GM cotton contains the synthetic genes </w:t>
      </w:r>
      <w:r w:rsidRPr="00B13BFD">
        <w:rPr>
          <w:i/>
        </w:rPr>
        <w:t>cry1Ac(synpro)</w:t>
      </w:r>
      <w:r w:rsidRPr="00B13BFD">
        <w:t xml:space="preserve"> and </w:t>
      </w:r>
      <w:r w:rsidRPr="00B13BFD">
        <w:rPr>
          <w:i/>
        </w:rPr>
        <w:t>cry1F(synpro)</w:t>
      </w:r>
      <w:r w:rsidRPr="00B13BFD">
        <w:t xml:space="preserve">, the sequences of which were originally derived from the common soil bacterium </w:t>
      </w:r>
      <w:r w:rsidRPr="00B13BFD">
        <w:rPr>
          <w:i/>
        </w:rPr>
        <w:t>Bacillus thuringiensis</w:t>
      </w:r>
      <w:r w:rsidRPr="00B13BFD">
        <w:t xml:space="preserve"> (Bt). These genes confer resistance to a range of major lepidopteran caterpillar pests of cotton. The two </w:t>
      </w:r>
      <w:r w:rsidRPr="00B13BFD">
        <w:rPr>
          <w:i/>
        </w:rPr>
        <w:t>cry</w:t>
      </w:r>
      <w:r w:rsidRPr="00B13BFD">
        <w:t xml:space="preserve"> genes are synthetic genes: the </w:t>
      </w:r>
      <w:r w:rsidRPr="00B13BFD">
        <w:rPr>
          <w:i/>
        </w:rPr>
        <w:t>cry1Ac(synpro)</w:t>
      </w:r>
      <w:r w:rsidRPr="00B13BFD">
        <w:t xml:space="preserve"> gene  is composed of part of the </w:t>
      </w:r>
      <w:r w:rsidRPr="00B13BFD">
        <w:rPr>
          <w:i/>
        </w:rPr>
        <w:t>cry1Ac</w:t>
      </w:r>
      <w:r w:rsidRPr="00B13BFD">
        <w:t xml:space="preserve">, </w:t>
      </w:r>
      <w:r w:rsidRPr="00B13BFD">
        <w:rPr>
          <w:i/>
        </w:rPr>
        <w:t>cry1Ca3</w:t>
      </w:r>
      <w:r w:rsidRPr="00B13BFD">
        <w:t xml:space="preserve"> and </w:t>
      </w:r>
      <w:r w:rsidRPr="00B13BFD">
        <w:rPr>
          <w:i/>
        </w:rPr>
        <w:t>cry1Ab1</w:t>
      </w:r>
      <w:r w:rsidRPr="00B13BFD">
        <w:t xml:space="preserve"> genes from Bt; and </w:t>
      </w:r>
      <w:r w:rsidRPr="00B13BFD">
        <w:rPr>
          <w:i/>
        </w:rPr>
        <w:t>cry1F(synpro)</w:t>
      </w:r>
      <w:r w:rsidRPr="00B13BFD">
        <w:t xml:space="preserve"> is composed of parts of the </w:t>
      </w:r>
      <w:r w:rsidRPr="00B13BFD">
        <w:rPr>
          <w:i/>
        </w:rPr>
        <w:t>cry1Fa</w:t>
      </w:r>
      <w:r w:rsidRPr="00B13BFD">
        <w:t xml:space="preserve">, </w:t>
      </w:r>
      <w:r w:rsidRPr="00B13BFD">
        <w:rPr>
          <w:i/>
        </w:rPr>
        <w:t>cry1Ca3</w:t>
      </w:r>
      <w:r w:rsidRPr="00B13BFD">
        <w:t xml:space="preserve"> and </w:t>
      </w:r>
      <w:r w:rsidRPr="00B13BFD">
        <w:rPr>
          <w:i/>
        </w:rPr>
        <w:t>cry1Ab1</w:t>
      </w:r>
      <w:r w:rsidRPr="00B13BFD">
        <w:t xml:space="preserve"> genes. These genes encode the protein toxins Cry1Ac(synpro) and Cry1F(synpro).  </w:t>
      </w:r>
    </w:p>
    <w:p w:rsidR="00E94652" w:rsidRPr="00B13BFD" w:rsidRDefault="00E94652" w:rsidP="00E94652">
      <w:pPr>
        <w:pStyle w:val="Paranonumbers"/>
      </w:pPr>
      <w:r w:rsidRPr="00B13BFD">
        <w:t xml:space="preserve">In addition to the </w:t>
      </w:r>
      <w:r w:rsidRPr="00B13BFD">
        <w:rPr>
          <w:i/>
        </w:rPr>
        <w:t>cry1Ac(synpro)</w:t>
      </w:r>
      <w:r w:rsidRPr="00B13BFD">
        <w:t xml:space="preserve"> and </w:t>
      </w:r>
      <w:r w:rsidRPr="00B13BFD">
        <w:rPr>
          <w:i/>
        </w:rPr>
        <w:t>cry1F(synpro)</w:t>
      </w:r>
      <w:r w:rsidRPr="00B13BFD">
        <w:t xml:space="preserve"> genes, the GM cotton contains a selectable marker gene (</w:t>
      </w:r>
      <w:r w:rsidRPr="00B13BFD">
        <w:rPr>
          <w:i/>
        </w:rPr>
        <w:t>pat</w:t>
      </w:r>
      <w:r w:rsidRPr="00B13BFD">
        <w:t xml:space="preserve">) from the common soil bacterium </w:t>
      </w:r>
      <w:r w:rsidRPr="00B13BFD">
        <w:rPr>
          <w:i/>
        </w:rPr>
        <w:t>Streptomyces viridochromogenes</w:t>
      </w:r>
      <w:r w:rsidRPr="00B13BFD">
        <w:t xml:space="preserve">. The </w:t>
      </w:r>
      <w:r w:rsidRPr="00B13BFD">
        <w:rPr>
          <w:i/>
        </w:rPr>
        <w:t>pat</w:t>
      </w:r>
      <w:r w:rsidRPr="00B13BFD">
        <w:t xml:space="preserve"> gene confers tolerance to the herbicide glufosinate </w:t>
      </w:r>
      <w:r w:rsidRPr="00B13BFD">
        <w:lastRenderedPageBreak/>
        <w:t xml:space="preserve">ammonium. During development of the GM cotton, this marker gene enabled identification and selection of transformed plant tissues. The applicant does not intend glufosinate ammonium to be used on the GM cotton. </w:t>
      </w:r>
    </w:p>
    <w:p w:rsidR="00E94652" w:rsidRPr="00B13BFD" w:rsidRDefault="00E94652" w:rsidP="00E94652">
      <w:pPr>
        <w:pStyle w:val="Paranonumbers"/>
      </w:pPr>
      <w:r w:rsidRPr="00B13BFD">
        <w:t xml:space="preserve">Short regulatory sequences that control expression of the introduced genes are also present in the GM cotton.  These are derived from a plant, </w:t>
      </w:r>
      <w:r w:rsidRPr="00B13BFD">
        <w:rPr>
          <w:i/>
        </w:rPr>
        <w:t>Zea mays</w:t>
      </w:r>
      <w:r w:rsidRPr="00B13BFD">
        <w:t xml:space="preserve"> (corn), and from a common soil bacterium, </w:t>
      </w:r>
      <w:r w:rsidRPr="00B13BFD">
        <w:rPr>
          <w:i/>
        </w:rPr>
        <w:t>Agrobacterium tumefaciens</w:t>
      </w:r>
      <w:r w:rsidRPr="00B13BFD">
        <w:t xml:space="preserve">. Although </w:t>
      </w:r>
      <w:r w:rsidRPr="00B13BFD">
        <w:rPr>
          <w:i/>
        </w:rPr>
        <w:t>A. tumefaciens</w:t>
      </w:r>
      <w:r w:rsidRPr="00B13BFD">
        <w:t xml:space="preserve"> is a plant pathogen, the regulatory sequences comprise only a small part of its total genome, and are not in themselves capable of causing disease.</w:t>
      </w:r>
    </w:p>
    <w:p w:rsidR="00E94652" w:rsidRPr="00B13BFD" w:rsidRDefault="00E94652" w:rsidP="00E94652">
      <w:pPr>
        <w:pStyle w:val="Paranonumbers"/>
      </w:pPr>
      <w:r w:rsidRPr="00B13BFD">
        <w:t xml:space="preserve">The </w:t>
      </w:r>
      <w:r w:rsidRPr="00B13BFD">
        <w:rPr>
          <w:i/>
        </w:rPr>
        <w:t xml:space="preserve">cry1Ac(synpro) </w:t>
      </w:r>
      <w:r w:rsidRPr="00B13BFD">
        <w:t xml:space="preserve">and </w:t>
      </w:r>
      <w:r w:rsidRPr="00B13BFD">
        <w:rPr>
          <w:i/>
        </w:rPr>
        <w:t>cry1F(synpro)</w:t>
      </w:r>
      <w:r w:rsidRPr="00B13BFD">
        <w:t xml:space="preserve"> genes were introduced separately into cotton plant tissue (American cotton cultivar GC510) to generate transformation events 281-24-236 and </w:t>
      </w:r>
      <w:r>
        <w:t>3006</w:t>
      </w:r>
      <w:r>
        <w:noBreakHyphen/>
      </w:r>
      <w:r w:rsidRPr="00B13BFD">
        <w:t>210</w:t>
      </w:r>
      <w:r>
        <w:noBreakHyphen/>
      </w:r>
      <w:r w:rsidRPr="00B13BFD">
        <w:t xml:space="preserve">23, respectively. Each insecticidal gene was introduced in combination with the selectable marker gene, </w:t>
      </w:r>
      <w:r w:rsidRPr="00B13BFD">
        <w:rPr>
          <w:i/>
        </w:rPr>
        <w:t>pat</w:t>
      </w:r>
      <w:r w:rsidRPr="00B13BFD">
        <w:t xml:space="preserve">, providing a means of selection of plant cells expressing the desired modifications. The gene constructs were introduced into the original events by </w:t>
      </w:r>
      <w:r w:rsidRPr="00B13BFD">
        <w:rPr>
          <w:i/>
        </w:rPr>
        <w:t>Agrobacterium</w:t>
      </w:r>
      <w:r w:rsidRPr="00B13BFD">
        <w:t>-mediated transformation. This method has been widely used in Australia and overseas for introducing new genes into plants.</w:t>
      </w:r>
    </w:p>
    <w:p w:rsidR="00E94652" w:rsidRPr="00B13BFD" w:rsidRDefault="00E94652" w:rsidP="00E94652">
      <w:pPr>
        <w:pStyle w:val="Paranonumbers"/>
      </w:pPr>
      <w:r w:rsidRPr="00B13BFD">
        <w:t xml:space="preserve">The two cotton events expressing the insecticidal genes were combined by conventional breeding to generate the GM cotton proposed for release (WideStrike™ cotton). This GM cotton contains both the </w:t>
      </w:r>
      <w:r w:rsidRPr="00B13BFD">
        <w:rPr>
          <w:i/>
        </w:rPr>
        <w:t>cry1Ac(synpro)</w:t>
      </w:r>
      <w:r w:rsidRPr="00B13BFD">
        <w:t xml:space="preserve"> and </w:t>
      </w:r>
      <w:r w:rsidRPr="00B13BFD">
        <w:rPr>
          <w:i/>
        </w:rPr>
        <w:t>cry1F(synpro)</w:t>
      </w:r>
      <w:r w:rsidRPr="00B13BFD">
        <w:t xml:space="preserve"> genes and two complete copies of the </w:t>
      </w:r>
      <w:r w:rsidRPr="00B13BFD">
        <w:rPr>
          <w:i/>
        </w:rPr>
        <w:t>pat</w:t>
      </w:r>
      <w:r w:rsidRPr="00B13BFD">
        <w:t xml:space="preserve"> gene; as well as a small additional fragment of the </w:t>
      </w:r>
      <w:r w:rsidRPr="00B13BFD">
        <w:rPr>
          <w:i/>
        </w:rPr>
        <w:t>pat</w:t>
      </w:r>
      <w:r w:rsidRPr="00B13BFD">
        <w:t xml:space="preserve"> gene.</w:t>
      </w:r>
    </w:p>
    <w:p w:rsidR="00E94652" w:rsidRPr="00B13BFD" w:rsidRDefault="00E94652" w:rsidP="00E94652">
      <w:pPr>
        <w:pStyle w:val="Paranonumbers"/>
      </w:pPr>
      <w:r w:rsidRPr="00B13BFD">
        <w:t xml:space="preserve">WideStrike™ cotton has been previously approved for field trials in Australia under licences DIR 040/2003 and DIR 044/2003 issued to Dow. There have been no reports of adverse effects on human health and safety or the environment resulting from these releases. </w:t>
      </w:r>
    </w:p>
    <w:p w:rsidR="00E94652" w:rsidRPr="00B13BFD" w:rsidRDefault="00E94652" w:rsidP="00E94652">
      <w:pPr>
        <w:pStyle w:val="Paranonumbers"/>
      </w:pPr>
      <w:r w:rsidRPr="00B13BFD">
        <w:t>The oil and cotton linters derived from this GM cotton have been approved by Food Standards Australia New Zealand (FSANZ) for use in human food</w:t>
      </w:r>
      <w:r w:rsidRPr="00B13BFD">
        <w:rPr>
          <w:rStyle w:val="FootnoteReference"/>
        </w:rPr>
        <w:footnoteReference w:id="2"/>
      </w:r>
      <w:r w:rsidRPr="00B13BFD">
        <w:t>.</w:t>
      </w:r>
    </w:p>
    <w:p w:rsidR="00E94652" w:rsidRDefault="00E94652" w:rsidP="00E94652">
      <w:pPr>
        <w:pStyle w:val="HeadingRARMP2"/>
      </w:pPr>
      <w:r>
        <w:t>Confidential Commercial Information</w:t>
      </w:r>
    </w:p>
    <w:p w:rsidR="00E94652" w:rsidRPr="00B13BFD" w:rsidRDefault="00E94652" w:rsidP="00E94652">
      <w:pPr>
        <w:pStyle w:val="Paranonumbers"/>
      </w:pPr>
      <w:r w:rsidRPr="00B13BFD">
        <w:t>Some details, including the gene and protein sequences of the introduced synthetic genes and molecular characterisation of WideStrike™ cotton, have been declared Confidential Commercial Information (CCI) under section 185 of the Act. The confidential information was made available to the prescribed experts and agencies that were consulted on the RARMP for this application.</w:t>
      </w:r>
    </w:p>
    <w:p w:rsidR="00E94652" w:rsidRDefault="00E94652" w:rsidP="00E94652">
      <w:pPr>
        <w:pStyle w:val="HeadingRARMP2"/>
      </w:pPr>
      <w:r>
        <w:t>Risk assessment</w:t>
      </w:r>
    </w:p>
    <w:p w:rsidR="00E94652" w:rsidRPr="00D030BF" w:rsidRDefault="00E94652" w:rsidP="00E94652">
      <w:pPr>
        <w:pStyle w:val="Paranonumbers"/>
      </w:pPr>
      <w:r w:rsidRPr="00D030BF">
        <w:t xml:space="preserve">The risk assessment takes into account information in the application, relevant previous approvals, current scientific knowledge, and advice received from a wide range of experts, agencies and authorities consulted on the preparation of the RARMP and on the consultation RARMP. </w:t>
      </w:r>
    </w:p>
    <w:p w:rsidR="00E94652" w:rsidRDefault="00E94652" w:rsidP="00E94652">
      <w:pPr>
        <w:pStyle w:val="Paranonumbers"/>
      </w:pPr>
      <w:r w:rsidRPr="00D030BF">
        <w:t xml:space="preserve">A reference document, </w:t>
      </w:r>
      <w:r w:rsidRPr="00D030BF">
        <w:rPr>
          <w:i/>
        </w:rPr>
        <w:t xml:space="preserve">The Biology of </w:t>
      </w:r>
      <w:r w:rsidRPr="00D030BF">
        <w:t xml:space="preserve">Gossypium hirsutum </w:t>
      </w:r>
      <w:r w:rsidRPr="00D030BF">
        <w:rPr>
          <w:i/>
        </w:rPr>
        <w:t>and</w:t>
      </w:r>
      <w:r w:rsidRPr="00D030BF">
        <w:t xml:space="preserve"> Gossypium barbadense </w:t>
      </w:r>
      <w:r w:rsidRPr="00D030BF">
        <w:rPr>
          <w:i/>
        </w:rPr>
        <w:t>(cotton)</w:t>
      </w:r>
      <w:r w:rsidRPr="00D030BF">
        <w:t>, was produced to inform the risk assessment process for licence applications involving GM cotton plants. The document is available fr</w:t>
      </w:r>
      <w:r>
        <w:t xml:space="preserve">om the OGTR or from the </w:t>
      </w:r>
      <w:hyperlink r:id="rId7" w:history="1">
        <w:r w:rsidRPr="00E94652">
          <w:rPr>
            <w:rStyle w:val="Hyperlink"/>
          </w:rPr>
          <w:t>website.</w:t>
        </w:r>
      </w:hyperlink>
      <w:bookmarkStart w:id="3" w:name="_GoBack"/>
      <w:bookmarkEnd w:id="3"/>
    </w:p>
    <w:p w:rsidR="00E94652" w:rsidRPr="00D030BF" w:rsidRDefault="00E94652" w:rsidP="00E94652">
      <w:pPr>
        <w:pStyle w:val="Paranonumbers"/>
      </w:pPr>
      <w:r w:rsidRPr="00D030BF">
        <w:lastRenderedPageBreak/>
        <w:t>The risk assessment begins with a hazard identification process, to consider what harm to the health and safety of people or the environment could arise during this release and how it could happen, in comparison to the non-GM parent organism and in the context of the proposed receiving environment. The receiving environment includes commercially approved GM cotton lines currently grown in Australia. In taking into account a potential risk, the Regulator must consider the probability and potential impact of an adverse outcome over the foreseeable future.</w:t>
      </w:r>
    </w:p>
    <w:p w:rsidR="00E94652" w:rsidRPr="00D030BF" w:rsidRDefault="00E94652" w:rsidP="00E94652">
      <w:pPr>
        <w:pStyle w:val="Paranonumbers"/>
      </w:pPr>
      <w:r w:rsidRPr="00D030BF">
        <w:t>Fourteen events were identified whereby the proposed dealings might give rise to harm to people or the environment. The risk assessment included consideration of whether or not expression of the introduced genes could result in products that are toxic or allergenic to people or other organisms; alter characteristics that may impact on the spread and persistence of the GM plants; or produce unintended changes in their biochemistry or physiology. The opportunity for gene flow to other organisms and its effects if it occurred were also assessed.</w:t>
      </w:r>
    </w:p>
    <w:p w:rsidR="00E94652" w:rsidRPr="00D030BF" w:rsidRDefault="00E94652" w:rsidP="00E94652">
      <w:pPr>
        <w:pStyle w:val="Paranonumbers"/>
      </w:pPr>
      <w:r w:rsidRPr="00D030BF">
        <w:t>A risk is only identified when a hazard is considered to have some chance of causing harm. Events that do not lead to an adverse outcome, or could not reasonably occur, do not represent an identified risk and do not advance any further in the risk assessment process. The events that are considered to have the potential to lead to adverse outcomes are assessed further to determine the seriousness of harm (consequence) that could result and how likely it is that the harm would occur. The level of risk is then estimated using the Risk Estimate Matrix (see below and Chapter 2).</w:t>
      </w:r>
    </w:p>
    <w:tbl>
      <w:tblPr>
        <w:tblW w:w="8100" w:type="dxa"/>
        <w:tblInd w:w="108" w:type="dxa"/>
        <w:tblLayout w:type="fixed"/>
        <w:tblLook w:val="01E0" w:firstRow="1" w:lastRow="1" w:firstColumn="1" w:lastColumn="1" w:noHBand="0" w:noVBand="0"/>
      </w:tblPr>
      <w:tblGrid>
        <w:gridCol w:w="540"/>
        <w:gridCol w:w="1800"/>
        <w:gridCol w:w="1440"/>
        <w:gridCol w:w="1440"/>
        <w:gridCol w:w="180"/>
        <w:gridCol w:w="1260"/>
        <w:gridCol w:w="333"/>
        <w:gridCol w:w="1107"/>
      </w:tblGrid>
      <w:tr w:rsidR="00E94652" w:rsidRPr="007B68C5" w:rsidTr="0032735F">
        <w:tc>
          <w:tcPr>
            <w:tcW w:w="540" w:type="dxa"/>
          </w:tcPr>
          <w:p w:rsidR="00E94652" w:rsidRPr="00E27B3C" w:rsidRDefault="00E94652" w:rsidP="0032735F">
            <w:pPr>
              <w:rPr>
                <w:rFonts w:ascii="Arial" w:hAnsi="Arial" w:cs="Arial"/>
                <w:sz w:val="8"/>
                <w:szCs w:val="8"/>
              </w:rPr>
            </w:pPr>
          </w:p>
        </w:tc>
        <w:tc>
          <w:tcPr>
            <w:tcW w:w="1800" w:type="dxa"/>
            <w:tcBorders>
              <w:right w:val="single" w:sz="12" w:space="0" w:color="auto"/>
            </w:tcBorders>
          </w:tcPr>
          <w:p w:rsidR="00E94652" w:rsidRPr="00E27B3C" w:rsidRDefault="00E94652" w:rsidP="0032735F">
            <w:pPr>
              <w:rPr>
                <w:rFonts w:ascii="Arial" w:hAnsi="Arial" w:cs="Arial"/>
                <w:sz w:val="8"/>
                <w:szCs w:val="8"/>
              </w:rPr>
            </w:pPr>
          </w:p>
        </w:tc>
        <w:tc>
          <w:tcPr>
            <w:tcW w:w="1440" w:type="dxa"/>
            <w:tcBorders>
              <w:top w:val="single" w:sz="12" w:space="0" w:color="auto"/>
              <w:left w:val="single" w:sz="12" w:space="0" w:color="auto"/>
            </w:tcBorders>
          </w:tcPr>
          <w:p w:rsidR="00E94652" w:rsidRPr="00E27B3C" w:rsidRDefault="00E94652" w:rsidP="0032735F">
            <w:pPr>
              <w:rPr>
                <w:rFonts w:ascii="Arial" w:hAnsi="Arial" w:cs="Arial"/>
                <w:sz w:val="8"/>
                <w:szCs w:val="8"/>
              </w:rPr>
            </w:pPr>
          </w:p>
        </w:tc>
        <w:tc>
          <w:tcPr>
            <w:tcW w:w="1620" w:type="dxa"/>
            <w:gridSpan w:val="2"/>
            <w:tcBorders>
              <w:top w:val="single" w:sz="12" w:space="0" w:color="auto"/>
            </w:tcBorders>
          </w:tcPr>
          <w:p w:rsidR="00E94652" w:rsidRPr="00E27B3C" w:rsidRDefault="00E94652" w:rsidP="0032735F">
            <w:pPr>
              <w:rPr>
                <w:rFonts w:ascii="Arial" w:hAnsi="Arial" w:cs="Arial"/>
                <w:sz w:val="8"/>
                <w:szCs w:val="8"/>
              </w:rPr>
            </w:pPr>
          </w:p>
        </w:tc>
        <w:tc>
          <w:tcPr>
            <w:tcW w:w="1593" w:type="dxa"/>
            <w:gridSpan w:val="2"/>
            <w:tcBorders>
              <w:top w:val="single" w:sz="12" w:space="0" w:color="auto"/>
            </w:tcBorders>
          </w:tcPr>
          <w:p w:rsidR="00E94652" w:rsidRPr="00E27B3C" w:rsidRDefault="00E94652" w:rsidP="0032735F">
            <w:pPr>
              <w:rPr>
                <w:rFonts w:ascii="Arial" w:hAnsi="Arial" w:cs="Arial"/>
                <w:sz w:val="8"/>
                <w:szCs w:val="8"/>
              </w:rPr>
            </w:pPr>
          </w:p>
        </w:tc>
        <w:tc>
          <w:tcPr>
            <w:tcW w:w="1107" w:type="dxa"/>
            <w:tcBorders>
              <w:top w:val="single" w:sz="12" w:space="0" w:color="auto"/>
              <w:right w:val="single" w:sz="12" w:space="0" w:color="auto"/>
            </w:tcBorders>
          </w:tcPr>
          <w:p w:rsidR="00E94652" w:rsidRPr="00E27B3C" w:rsidRDefault="00E94652" w:rsidP="0032735F">
            <w:pPr>
              <w:rPr>
                <w:rFonts w:ascii="Arial" w:hAnsi="Arial" w:cs="Arial"/>
                <w:sz w:val="8"/>
                <w:szCs w:val="8"/>
              </w:rPr>
            </w:pPr>
          </w:p>
        </w:tc>
      </w:tr>
      <w:tr w:rsidR="00E94652" w:rsidRPr="007B68C5" w:rsidTr="0032735F">
        <w:tc>
          <w:tcPr>
            <w:tcW w:w="540" w:type="dxa"/>
          </w:tcPr>
          <w:p w:rsidR="00E94652" w:rsidRPr="007B68C5" w:rsidRDefault="00E94652" w:rsidP="0032735F">
            <w:pPr>
              <w:rPr>
                <w:rFonts w:ascii="Arial" w:hAnsi="Arial" w:cs="Arial"/>
                <w:sz w:val="22"/>
                <w:szCs w:val="22"/>
              </w:rPr>
            </w:pPr>
          </w:p>
        </w:tc>
        <w:tc>
          <w:tcPr>
            <w:tcW w:w="1800" w:type="dxa"/>
            <w:tcBorders>
              <w:right w:val="single" w:sz="12" w:space="0" w:color="auto"/>
            </w:tcBorders>
          </w:tcPr>
          <w:p w:rsidR="00E94652" w:rsidRPr="007B68C5" w:rsidRDefault="00E94652" w:rsidP="0032735F">
            <w:pPr>
              <w:rPr>
                <w:rFonts w:ascii="Arial" w:hAnsi="Arial" w:cs="Arial"/>
                <w:sz w:val="22"/>
                <w:szCs w:val="22"/>
              </w:rPr>
            </w:pPr>
          </w:p>
        </w:tc>
        <w:tc>
          <w:tcPr>
            <w:tcW w:w="5760" w:type="dxa"/>
            <w:gridSpan w:val="6"/>
            <w:tcBorders>
              <w:left w:val="single" w:sz="12" w:space="0" w:color="auto"/>
              <w:right w:val="single" w:sz="12" w:space="0" w:color="auto"/>
            </w:tcBorders>
          </w:tcPr>
          <w:p w:rsidR="00E94652" w:rsidRPr="0007489E" w:rsidRDefault="00E94652" w:rsidP="0032735F">
            <w:pPr>
              <w:jc w:val="center"/>
              <w:rPr>
                <w:rFonts w:ascii="Arial" w:hAnsi="Arial" w:cs="Arial"/>
                <w:b/>
                <w:sz w:val="22"/>
                <w:szCs w:val="22"/>
              </w:rPr>
            </w:pPr>
            <w:r w:rsidRPr="0007489E">
              <w:rPr>
                <w:rFonts w:ascii="Arial" w:hAnsi="Arial" w:cs="Arial"/>
                <w:b/>
                <w:sz w:val="22"/>
                <w:szCs w:val="22"/>
              </w:rPr>
              <w:t>RISK ESTIMATE</w:t>
            </w:r>
          </w:p>
        </w:tc>
      </w:tr>
      <w:tr w:rsidR="00E94652" w:rsidRPr="007B68C5" w:rsidTr="0032735F">
        <w:tc>
          <w:tcPr>
            <w:tcW w:w="540" w:type="dxa"/>
            <w:tcBorders>
              <w:bottom w:val="single" w:sz="12" w:space="0" w:color="auto"/>
            </w:tcBorders>
          </w:tcPr>
          <w:p w:rsidR="00E94652" w:rsidRPr="00E27B3C" w:rsidRDefault="00E94652" w:rsidP="0032735F">
            <w:pPr>
              <w:rPr>
                <w:rFonts w:ascii="Arial" w:hAnsi="Arial" w:cs="Arial"/>
                <w:sz w:val="4"/>
                <w:szCs w:val="4"/>
              </w:rPr>
            </w:pPr>
          </w:p>
        </w:tc>
        <w:tc>
          <w:tcPr>
            <w:tcW w:w="1800" w:type="dxa"/>
            <w:tcBorders>
              <w:bottom w:val="single" w:sz="12" w:space="0" w:color="auto"/>
              <w:right w:val="single" w:sz="12" w:space="0" w:color="auto"/>
            </w:tcBorders>
          </w:tcPr>
          <w:p w:rsidR="00E94652" w:rsidRPr="00E27B3C" w:rsidRDefault="00E94652" w:rsidP="0032735F">
            <w:pPr>
              <w:rPr>
                <w:rFonts w:ascii="Arial" w:hAnsi="Arial" w:cs="Arial"/>
                <w:sz w:val="4"/>
                <w:szCs w:val="4"/>
              </w:rPr>
            </w:pPr>
          </w:p>
        </w:tc>
        <w:tc>
          <w:tcPr>
            <w:tcW w:w="1440" w:type="dxa"/>
            <w:tcBorders>
              <w:left w:val="single" w:sz="12" w:space="0" w:color="auto"/>
              <w:bottom w:val="single" w:sz="2" w:space="0" w:color="auto"/>
            </w:tcBorders>
          </w:tcPr>
          <w:p w:rsidR="00E94652" w:rsidRPr="00E27B3C" w:rsidRDefault="00E94652" w:rsidP="0032735F">
            <w:pPr>
              <w:rPr>
                <w:rFonts w:ascii="Arial" w:hAnsi="Arial" w:cs="Arial"/>
                <w:sz w:val="4"/>
                <w:szCs w:val="4"/>
              </w:rPr>
            </w:pPr>
          </w:p>
        </w:tc>
        <w:tc>
          <w:tcPr>
            <w:tcW w:w="1440" w:type="dxa"/>
            <w:tcBorders>
              <w:bottom w:val="single" w:sz="2" w:space="0" w:color="auto"/>
            </w:tcBorders>
          </w:tcPr>
          <w:p w:rsidR="00E94652" w:rsidRPr="00E27B3C" w:rsidRDefault="00E94652" w:rsidP="0032735F">
            <w:pPr>
              <w:rPr>
                <w:rFonts w:ascii="Arial" w:hAnsi="Arial" w:cs="Arial"/>
                <w:sz w:val="4"/>
                <w:szCs w:val="4"/>
              </w:rPr>
            </w:pPr>
          </w:p>
        </w:tc>
        <w:tc>
          <w:tcPr>
            <w:tcW w:w="1440" w:type="dxa"/>
            <w:gridSpan w:val="2"/>
            <w:tcBorders>
              <w:bottom w:val="single" w:sz="2" w:space="0" w:color="auto"/>
            </w:tcBorders>
          </w:tcPr>
          <w:p w:rsidR="00E94652" w:rsidRPr="00E27B3C" w:rsidRDefault="00E94652" w:rsidP="0032735F">
            <w:pPr>
              <w:rPr>
                <w:rFonts w:ascii="Arial" w:hAnsi="Arial" w:cs="Arial"/>
                <w:sz w:val="4"/>
                <w:szCs w:val="4"/>
              </w:rPr>
            </w:pPr>
          </w:p>
        </w:tc>
        <w:tc>
          <w:tcPr>
            <w:tcW w:w="1440" w:type="dxa"/>
            <w:gridSpan w:val="2"/>
            <w:tcBorders>
              <w:bottom w:val="single" w:sz="2" w:space="0" w:color="auto"/>
              <w:right w:val="single" w:sz="12" w:space="0" w:color="auto"/>
            </w:tcBorders>
          </w:tcPr>
          <w:p w:rsidR="00E94652" w:rsidRPr="00E27B3C" w:rsidRDefault="00E94652" w:rsidP="0032735F">
            <w:pPr>
              <w:rPr>
                <w:rFonts w:ascii="Arial" w:hAnsi="Arial" w:cs="Arial"/>
                <w:sz w:val="4"/>
                <w:szCs w:val="4"/>
              </w:rPr>
            </w:pPr>
          </w:p>
        </w:tc>
      </w:tr>
      <w:tr w:rsidR="00E94652" w:rsidRPr="007B68C5" w:rsidTr="0032735F">
        <w:tc>
          <w:tcPr>
            <w:tcW w:w="540" w:type="dxa"/>
            <w:vMerge w:val="restart"/>
            <w:tcBorders>
              <w:top w:val="single" w:sz="12" w:space="0" w:color="auto"/>
              <w:left w:val="single" w:sz="12" w:space="0" w:color="auto"/>
              <w:right w:val="single" w:sz="2" w:space="0" w:color="auto"/>
            </w:tcBorders>
            <w:textDirection w:val="btLr"/>
          </w:tcPr>
          <w:p w:rsidR="00E94652" w:rsidRPr="0007489E" w:rsidRDefault="00E94652" w:rsidP="0032735F">
            <w:pPr>
              <w:ind w:left="113" w:right="113"/>
              <w:jc w:val="center"/>
              <w:rPr>
                <w:rFonts w:ascii="Arial" w:hAnsi="Arial" w:cs="Arial"/>
                <w:b/>
                <w:sz w:val="22"/>
                <w:szCs w:val="22"/>
              </w:rPr>
            </w:pPr>
            <w:r w:rsidRPr="0007489E">
              <w:rPr>
                <w:rFonts w:ascii="Arial" w:hAnsi="Arial" w:cs="Arial"/>
                <w:b/>
                <w:sz w:val="22"/>
                <w:szCs w:val="22"/>
              </w:rPr>
              <w:t>LIKELIHOOD</w:t>
            </w:r>
          </w:p>
        </w:tc>
        <w:tc>
          <w:tcPr>
            <w:tcW w:w="1800" w:type="dxa"/>
            <w:tcBorders>
              <w:top w:val="single" w:sz="12" w:space="0" w:color="auto"/>
              <w:left w:val="single" w:sz="2" w:space="0" w:color="auto"/>
              <w:right w:val="single" w:sz="12" w:space="0" w:color="auto"/>
            </w:tcBorders>
          </w:tcPr>
          <w:p w:rsidR="00E94652" w:rsidRPr="00686C99" w:rsidRDefault="00E94652" w:rsidP="0032735F">
            <w:pPr>
              <w:rPr>
                <w:rFonts w:ascii="Arial" w:hAnsi="Arial" w:cs="Arial"/>
                <w:sz w:val="8"/>
                <w:szCs w:val="8"/>
              </w:rPr>
            </w:pPr>
          </w:p>
        </w:tc>
        <w:tc>
          <w:tcPr>
            <w:tcW w:w="1440" w:type="dxa"/>
            <w:tcBorders>
              <w:top w:val="single" w:sz="2" w:space="0" w:color="auto"/>
              <w:left w:val="single" w:sz="12" w:space="0" w:color="auto"/>
              <w:right w:val="single" w:sz="2" w:space="0" w:color="auto"/>
            </w:tcBorders>
            <w:shd w:val="clear" w:color="auto" w:fill="EAEAEA"/>
          </w:tcPr>
          <w:p w:rsidR="00E94652" w:rsidRPr="00686C99" w:rsidRDefault="00E94652" w:rsidP="0032735F">
            <w:pPr>
              <w:rPr>
                <w:rFonts w:ascii="Arial" w:hAnsi="Arial" w:cs="Arial"/>
                <w:sz w:val="8"/>
                <w:szCs w:val="8"/>
              </w:rPr>
            </w:pPr>
          </w:p>
        </w:tc>
        <w:tc>
          <w:tcPr>
            <w:tcW w:w="1440" w:type="dxa"/>
            <w:tcBorders>
              <w:top w:val="single" w:sz="2" w:space="0" w:color="auto"/>
              <w:left w:val="single" w:sz="2" w:space="0" w:color="auto"/>
              <w:right w:val="single" w:sz="2" w:space="0" w:color="auto"/>
            </w:tcBorders>
            <w:shd w:val="clear" w:color="auto" w:fill="C0C0C0"/>
          </w:tcPr>
          <w:p w:rsidR="00E94652" w:rsidRPr="00686C99" w:rsidRDefault="00E94652" w:rsidP="0032735F">
            <w:pPr>
              <w:rPr>
                <w:rFonts w:ascii="Arial" w:hAnsi="Arial" w:cs="Arial"/>
                <w:sz w:val="8"/>
                <w:szCs w:val="8"/>
              </w:rPr>
            </w:pPr>
          </w:p>
        </w:tc>
        <w:tc>
          <w:tcPr>
            <w:tcW w:w="1440" w:type="dxa"/>
            <w:gridSpan w:val="2"/>
            <w:tcBorders>
              <w:top w:val="single" w:sz="2" w:space="0" w:color="auto"/>
              <w:left w:val="single" w:sz="2" w:space="0" w:color="auto"/>
              <w:right w:val="single" w:sz="2" w:space="0" w:color="auto"/>
            </w:tcBorders>
            <w:shd w:val="clear" w:color="auto" w:fill="969696"/>
          </w:tcPr>
          <w:p w:rsidR="00E94652" w:rsidRPr="00686C99" w:rsidRDefault="00E94652" w:rsidP="0032735F">
            <w:pPr>
              <w:rPr>
                <w:rFonts w:ascii="Arial" w:hAnsi="Arial" w:cs="Arial"/>
                <w:sz w:val="8"/>
                <w:szCs w:val="8"/>
              </w:rPr>
            </w:pPr>
          </w:p>
        </w:tc>
        <w:tc>
          <w:tcPr>
            <w:tcW w:w="1440" w:type="dxa"/>
            <w:gridSpan w:val="2"/>
            <w:tcBorders>
              <w:top w:val="single" w:sz="2" w:space="0" w:color="auto"/>
              <w:left w:val="single" w:sz="2" w:space="0" w:color="auto"/>
              <w:right w:val="single" w:sz="12" w:space="0" w:color="auto"/>
            </w:tcBorders>
            <w:shd w:val="clear" w:color="auto" w:fill="969696"/>
          </w:tcPr>
          <w:p w:rsidR="00E94652" w:rsidRPr="00686C99" w:rsidRDefault="00E94652" w:rsidP="0032735F">
            <w:pPr>
              <w:rPr>
                <w:rFonts w:ascii="Arial" w:hAnsi="Arial" w:cs="Arial"/>
                <w:sz w:val="8"/>
                <w:szCs w:val="8"/>
              </w:rPr>
            </w:pPr>
          </w:p>
        </w:tc>
      </w:tr>
      <w:tr w:rsidR="00E94652" w:rsidRPr="007B68C5" w:rsidTr="0032735F">
        <w:tc>
          <w:tcPr>
            <w:tcW w:w="540" w:type="dxa"/>
            <w:vMerge/>
            <w:tcBorders>
              <w:left w:val="single" w:sz="12" w:space="0" w:color="auto"/>
              <w:right w:val="single" w:sz="2" w:space="0" w:color="auto"/>
            </w:tcBorders>
          </w:tcPr>
          <w:p w:rsidR="00E94652" w:rsidRPr="007B68C5" w:rsidRDefault="00E94652" w:rsidP="0032735F">
            <w:pPr>
              <w:rPr>
                <w:rFonts w:ascii="Arial" w:hAnsi="Arial" w:cs="Arial"/>
                <w:sz w:val="22"/>
                <w:szCs w:val="22"/>
              </w:rPr>
            </w:pPr>
          </w:p>
        </w:tc>
        <w:tc>
          <w:tcPr>
            <w:tcW w:w="1800" w:type="dxa"/>
            <w:tcBorders>
              <w:left w:val="single" w:sz="2" w:space="0" w:color="auto"/>
              <w:right w:val="single" w:sz="12" w:space="0" w:color="auto"/>
            </w:tcBorders>
          </w:tcPr>
          <w:p w:rsidR="00E94652" w:rsidRPr="0007489E" w:rsidRDefault="00E94652" w:rsidP="0032735F">
            <w:pPr>
              <w:rPr>
                <w:rFonts w:ascii="Arial" w:hAnsi="Arial" w:cs="Arial"/>
                <w:sz w:val="20"/>
                <w:szCs w:val="20"/>
              </w:rPr>
            </w:pPr>
            <w:r w:rsidRPr="0007489E">
              <w:rPr>
                <w:rFonts w:ascii="Arial" w:hAnsi="Arial" w:cs="Arial"/>
                <w:sz w:val="20"/>
                <w:szCs w:val="20"/>
              </w:rPr>
              <w:t>Highly likely</w:t>
            </w:r>
          </w:p>
        </w:tc>
        <w:tc>
          <w:tcPr>
            <w:tcW w:w="1440" w:type="dxa"/>
            <w:tcBorders>
              <w:left w:val="single" w:sz="12" w:space="0" w:color="auto"/>
              <w:right w:val="single" w:sz="2" w:space="0" w:color="auto"/>
            </w:tcBorders>
            <w:shd w:val="clear" w:color="auto" w:fill="EAEAEA"/>
          </w:tcPr>
          <w:p w:rsidR="00E94652" w:rsidRPr="0007489E" w:rsidRDefault="00E94652" w:rsidP="0032735F">
            <w:pPr>
              <w:rPr>
                <w:rFonts w:ascii="Arial" w:hAnsi="Arial" w:cs="Arial"/>
                <w:b/>
                <w:sz w:val="20"/>
                <w:szCs w:val="20"/>
              </w:rPr>
            </w:pPr>
            <w:r w:rsidRPr="0007489E">
              <w:rPr>
                <w:rFonts w:ascii="Arial" w:hAnsi="Arial" w:cs="Arial"/>
                <w:b/>
                <w:sz w:val="20"/>
                <w:szCs w:val="20"/>
              </w:rPr>
              <w:t>Low</w:t>
            </w:r>
          </w:p>
        </w:tc>
        <w:tc>
          <w:tcPr>
            <w:tcW w:w="1440" w:type="dxa"/>
            <w:tcBorders>
              <w:left w:val="single" w:sz="2" w:space="0" w:color="auto"/>
              <w:right w:val="single" w:sz="2" w:space="0" w:color="auto"/>
            </w:tcBorders>
            <w:shd w:val="clear" w:color="auto" w:fill="C0C0C0"/>
          </w:tcPr>
          <w:p w:rsidR="00E94652" w:rsidRPr="0007489E" w:rsidRDefault="00E94652" w:rsidP="0032735F">
            <w:pPr>
              <w:rPr>
                <w:rFonts w:ascii="Arial" w:hAnsi="Arial" w:cs="Arial"/>
                <w:b/>
                <w:sz w:val="20"/>
                <w:szCs w:val="20"/>
              </w:rPr>
            </w:pPr>
            <w:r w:rsidRPr="0007489E">
              <w:rPr>
                <w:rFonts w:ascii="Arial" w:hAnsi="Arial" w:cs="Arial"/>
                <w:b/>
                <w:sz w:val="20"/>
                <w:szCs w:val="20"/>
              </w:rPr>
              <w:t>Moderate</w:t>
            </w:r>
          </w:p>
        </w:tc>
        <w:tc>
          <w:tcPr>
            <w:tcW w:w="1440" w:type="dxa"/>
            <w:gridSpan w:val="2"/>
            <w:tcBorders>
              <w:left w:val="single" w:sz="2" w:space="0" w:color="auto"/>
              <w:right w:val="single" w:sz="2" w:space="0" w:color="auto"/>
            </w:tcBorders>
            <w:shd w:val="clear" w:color="auto" w:fill="969696"/>
          </w:tcPr>
          <w:p w:rsidR="00E94652" w:rsidRPr="0007489E" w:rsidRDefault="00E94652" w:rsidP="0032735F">
            <w:pPr>
              <w:rPr>
                <w:rFonts w:ascii="Arial" w:hAnsi="Arial" w:cs="Arial"/>
                <w:b/>
                <w:sz w:val="20"/>
                <w:szCs w:val="20"/>
              </w:rPr>
            </w:pPr>
            <w:r w:rsidRPr="0007489E">
              <w:rPr>
                <w:rFonts w:ascii="Arial" w:hAnsi="Arial" w:cs="Arial"/>
                <w:b/>
                <w:sz w:val="20"/>
                <w:szCs w:val="20"/>
              </w:rPr>
              <w:t>High</w:t>
            </w:r>
          </w:p>
        </w:tc>
        <w:tc>
          <w:tcPr>
            <w:tcW w:w="1440" w:type="dxa"/>
            <w:gridSpan w:val="2"/>
            <w:tcBorders>
              <w:left w:val="single" w:sz="2" w:space="0" w:color="auto"/>
              <w:right w:val="single" w:sz="12" w:space="0" w:color="auto"/>
            </w:tcBorders>
            <w:shd w:val="clear" w:color="auto" w:fill="969696"/>
          </w:tcPr>
          <w:p w:rsidR="00E94652" w:rsidRPr="0007489E" w:rsidRDefault="00E94652" w:rsidP="0032735F">
            <w:pPr>
              <w:rPr>
                <w:rFonts w:ascii="Arial" w:hAnsi="Arial" w:cs="Arial"/>
                <w:b/>
                <w:sz w:val="20"/>
                <w:szCs w:val="20"/>
              </w:rPr>
            </w:pPr>
            <w:r w:rsidRPr="0007489E">
              <w:rPr>
                <w:rFonts w:ascii="Arial" w:hAnsi="Arial" w:cs="Arial"/>
                <w:b/>
                <w:sz w:val="20"/>
                <w:szCs w:val="20"/>
              </w:rPr>
              <w:t>High</w:t>
            </w:r>
          </w:p>
        </w:tc>
      </w:tr>
      <w:tr w:rsidR="00E94652" w:rsidRPr="007B68C5" w:rsidTr="0032735F">
        <w:tc>
          <w:tcPr>
            <w:tcW w:w="540" w:type="dxa"/>
            <w:vMerge/>
            <w:tcBorders>
              <w:left w:val="single" w:sz="12" w:space="0" w:color="auto"/>
              <w:right w:val="single" w:sz="2" w:space="0" w:color="auto"/>
            </w:tcBorders>
          </w:tcPr>
          <w:p w:rsidR="00E94652" w:rsidRPr="007B68C5" w:rsidRDefault="00E94652" w:rsidP="0032735F">
            <w:pPr>
              <w:rPr>
                <w:rFonts w:ascii="Arial" w:hAnsi="Arial" w:cs="Arial"/>
                <w:sz w:val="22"/>
                <w:szCs w:val="22"/>
              </w:rPr>
            </w:pPr>
          </w:p>
        </w:tc>
        <w:tc>
          <w:tcPr>
            <w:tcW w:w="1800" w:type="dxa"/>
            <w:tcBorders>
              <w:left w:val="single" w:sz="2" w:space="0" w:color="auto"/>
              <w:bottom w:val="single" w:sz="2" w:space="0" w:color="auto"/>
              <w:right w:val="single" w:sz="12" w:space="0" w:color="auto"/>
            </w:tcBorders>
          </w:tcPr>
          <w:p w:rsidR="00E94652" w:rsidRPr="00686C99" w:rsidRDefault="00E94652" w:rsidP="0032735F">
            <w:pPr>
              <w:rPr>
                <w:rFonts w:ascii="Arial" w:hAnsi="Arial" w:cs="Arial"/>
                <w:sz w:val="8"/>
                <w:szCs w:val="8"/>
              </w:rPr>
            </w:pPr>
          </w:p>
        </w:tc>
        <w:tc>
          <w:tcPr>
            <w:tcW w:w="1440" w:type="dxa"/>
            <w:tcBorders>
              <w:left w:val="single" w:sz="12" w:space="0" w:color="auto"/>
              <w:bottom w:val="single" w:sz="2" w:space="0" w:color="auto"/>
              <w:right w:val="single" w:sz="2" w:space="0" w:color="auto"/>
            </w:tcBorders>
            <w:shd w:val="clear" w:color="auto" w:fill="EAEAEA"/>
          </w:tcPr>
          <w:p w:rsidR="00E94652" w:rsidRPr="00B65EF1" w:rsidRDefault="00E94652" w:rsidP="0032735F">
            <w:pPr>
              <w:rPr>
                <w:rFonts w:ascii="Arial" w:hAnsi="Arial" w:cs="Arial"/>
                <w:b/>
                <w:sz w:val="8"/>
                <w:szCs w:val="8"/>
              </w:rPr>
            </w:pPr>
          </w:p>
        </w:tc>
        <w:tc>
          <w:tcPr>
            <w:tcW w:w="1440" w:type="dxa"/>
            <w:tcBorders>
              <w:left w:val="single" w:sz="2" w:space="0" w:color="auto"/>
              <w:bottom w:val="single" w:sz="2" w:space="0" w:color="auto"/>
              <w:right w:val="single" w:sz="2" w:space="0" w:color="auto"/>
            </w:tcBorders>
            <w:shd w:val="clear" w:color="auto" w:fill="C0C0C0"/>
          </w:tcPr>
          <w:p w:rsidR="00E94652" w:rsidRPr="00B65EF1" w:rsidRDefault="00E94652" w:rsidP="0032735F">
            <w:pPr>
              <w:rPr>
                <w:rFonts w:ascii="Arial" w:hAnsi="Arial" w:cs="Arial"/>
                <w:b/>
                <w:sz w:val="8"/>
                <w:szCs w:val="8"/>
              </w:rPr>
            </w:pPr>
          </w:p>
        </w:tc>
        <w:tc>
          <w:tcPr>
            <w:tcW w:w="1440" w:type="dxa"/>
            <w:gridSpan w:val="2"/>
            <w:tcBorders>
              <w:left w:val="single" w:sz="2" w:space="0" w:color="auto"/>
              <w:bottom w:val="single" w:sz="2" w:space="0" w:color="auto"/>
              <w:right w:val="single" w:sz="2" w:space="0" w:color="auto"/>
            </w:tcBorders>
            <w:shd w:val="clear" w:color="auto" w:fill="969696"/>
          </w:tcPr>
          <w:p w:rsidR="00E94652" w:rsidRPr="00B65EF1" w:rsidRDefault="00E94652" w:rsidP="0032735F">
            <w:pPr>
              <w:rPr>
                <w:rFonts w:ascii="Arial" w:hAnsi="Arial" w:cs="Arial"/>
                <w:b/>
                <w:sz w:val="8"/>
                <w:szCs w:val="8"/>
              </w:rPr>
            </w:pPr>
          </w:p>
        </w:tc>
        <w:tc>
          <w:tcPr>
            <w:tcW w:w="1440" w:type="dxa"/>
            <w:gridSpan w:val="2"/>
            <w:tcBorders>
              <w:left w:val="single" w:sz="2" w:space="0" w:color="auto"/>
              <w:bottom w:val="single" w:sz="2" w:space="0" w:color="auto"/>
              <w:right w:val="single" w:sz="12" w:space="0" w:color="auto"/>
            </w:tcBorders>
            <w:shd w:val="clear" w:color="auto" w:fill="969696"/>
          </w:tcPr>
          <w:p w:rsidR="00E94652" w:rsidRPr="00B65EF1" w:rsidRDefault="00E94652" w:rsidP="0032735F">
            <w:pPr>
              <w:rPr>
                <w:rFonts w:ascii="Arial" w:hAnsi="Arial" w:cs="Arial"/>
                <w:b/>
                <w:sz w:val="8"/>
                <w:szCs w:val="8"/>
              </w:rPr>
            </w:pPr>
          </w:p>
        </w:tc>
      </w:tr>
      <w:tr w:rsidR="00E94652" w:rsidRPr="007B68C5" w:rsidTr="0032735F">
        <w:tc>
          <w:tcPr>
            <w:tcW w:w="540" w:type="dxa"/>
            <w:vMerge/>
            <w:tcBorders>
              <w:left w:val="single" w:sz="12" w:space="0" w:color="auto"/>
              <w:right w:val="single" w:sz="2" w:space="0" w:color="auto"/>
            </w:tcBorders>
          </w:tcPr>
          <w:p w:rsidR="00E94652" w:rsidRPr="007B68C5" w:rsidRDefault="00E94652" w:rsidP="0032735F">
            <w:pPr>
              <w:rPr>
                <w:rFonts w:ascii="Arial" w:hAnsi="Arial" w:cs="Arial"/>
                <w:sz w:val="22"/>
                <w:szCs w:val="22"/>
              </w:rPr>
            </w:pPr>
          </w:p>
        </w:tc>
        <w:tc>
          <w:tcPr>
            <w:tcW w:w="1800" w:type="dxa"/>
            <w:tcBorders>
              <w:top w:val="single" w:sz="2" w:space="0" w:color="auto"/>
              <w:left w:val="single" w:sz="2" w:space="0" w:color="auto"/>
              <w:right w:val="single" w:sz="12" w:space="0" w:color="auto"/>
            </w:tcBorders>
          </w:tcPr>
          <w:p w:rsidR="00E94652" w:rsidRPr="00686C99" w:rsidRDefault="00E94652" w:rsidP="0032735F">
            <w:pPr>
              <w:rPr>
                <w:rFonts w:ascii="Arial" w:hAnsi="Arial" w:cs="Arial"/>
                <w:sz w:val="8"/>
                <w:szCs w:val="8"/>
              </w:rPr>
            </w:pPr>
          </w:p>
        </w:tc>
        <w:tc>
          <w:tcPr>
            <w:tcW w:w="1440" w:type="dxa"/>
            <w:tcBorders>
              <w:top w:val="single" w:sz="2" w:space="0" w:color="auto"/>
              <w:left w:val="single" w:sz="12" w:space="0" w:color="auto"/>
              <w:right w:val="single" w:sz="2" w:space="0" w:color="auto"/>
            </w:tcBorders>
          </w:tcPr>
          <w:p w:rsidR="00E94652" w:rsidRPr="00B65EF1" w:rsidRDefault="00E94652" w:rsidP="0032735F">
            <w:pPr>
              <w:rPr>
                <w:rFonts w:ascii="Arial" w:hAnsi="Arial" w:cs="Arial"/>
                <w:b/>
                <w:sz w:val="8"/>
                <w:szCs w:val="8"/>
              </w:rPr>
            </w:pPr>
          </w:p>
        </w:tc>
        <w:tc>
          <w:tcPr>
            <w:tcW w:w="1440" w:type="dxa"/>
            <w:tcBorders>
              <w:top w:val="single" w:sz="2" w:space="0" w:color="auto"/>
              <w:left w:val="single" w:sz="2" w:space="0" w:color="auto"/>
              <w:right w:val="single" w:sz="2" w:space="0" w:color="auto"/>
            </w:tcBorders>
            <w:shd w:val="clear" w:color="auto" w:fill="EAEAEA"/>
          </w:tcPr>
          <w:p w:rsidR="00E94652" w:rsidRPr="00B65EF1" w:rsidRDefault="00E94652" w:rsidP="0032735F">
            <w:pPr>
              <w:rPr>
                <w:rFonts w:ascii="Arial" w:hAnsi="Arial" w:cs="Arial"/>
                <w:b/>
                <w:sz w:val="8"/>
                <w:szCs w:val="8"/>
              </w:rPr>
            </w:pPr>
          </w:p>
        </w:tc>
        <w:tc>
          <w:tcPr>
            <w:tcW w:w="1440" w:type="dxa"/>
            <w:gridSpan w:val="2"/>
            <w:tcBorders>
              <w:top w:val="single" w:sz="2" w:space="0" w:color="auto"/>
              <w:left w:val="single" w:sz="2" w:space="0" w:color="auto"/>
              <w:right w:val="single" w:sz="2" w:space="0" w:color="auto"/>
            </w:tcBorders>
            <w:shd w:val="clear" w:color="auto" w:fill="969696"/>
          </w:tcPr>
          <w:p w:rsidR="00E94652" w:rsidRPr="00B65EF1" w:rsidRDefault="00E94652" w:rsidP="0032735F">
            <w:pPr>
              <w:rPr>
                <w:rFonts w:ascii="Arial" w:hAnsi="Arial" w:cs="Arial"/>
                <w:b/>
                <w:sz w:val="8"/>
                <w:szCs w:val="8"/>
              </w:rPr>
            </w:pPr>
          </w:p>
        </w:tc>
        <w:tc>
          <w:tcPr>
            <w:tcW w:w="1440" w:type="dxa"/>
            <w:gridSpan w:val="2"/>
            <w:tcBorders>
              <w:top w:val="single" w:sz="2" w:space="0" w:color="auto"/>
              <w:left w:val="single" w:sz="2" w:space="0" w:color="auto"/>
              <w:right w:val="single" w:sz="12" w:space="0" w:color="auto"/>
            </w:tcBorders>
            <w:shd w:val="clear" w:color="auto" w:fill="969696"/>
          </w:tcPr>
          <w:p w:rsidR="00E94652" w:rsidRPr="00B65EF1" w:rsidRDefault="00E94652" w:rsidP="0032735F">
            <w:pPr>
              <w:rPr>
                <w:rFonts w:ascii="Arial" w:hAnsi="Arial" w:cs="Arial"/>
                <w:b/>
                <w:sz w:val="8"/>
                <w:szCs w:val="8"/>
              </w:rPr>
            </w:pPr>
          </w:p>
        </w:tc>
      </w:tr>
      <w:tr w:rsidR="00E94652" w:rsidRPr="007B68C5" w:rsidTr="0032735F">
        <w:tc>
          <w:tcPr>
            <w:tcW w:w="540" w:type="dxa"/>
            <w:vMerge/>
            <w:tcBorders>
              <w:left w:val="single" w:sz="12" w:space="0" w:color="auto"/>
              <w:right w:val="single" w:sz="2" w:space="0" w:color="auto"/>
            </w:tcBorders>
          </w:tcPr>
          <w:p w:rsidR="00E94652" w:rsidRPr="007B68C5" w:rsidRDefault="00E94652" w:rsidP="0032735F">
            <w:pPr>
              <w:rPr>
                <w:rFonts w:ascii="Arial" w:hAnsi="Arial" w:cs="Arial"/>
                <w:sz w:val="22"/>
                <w:szCs w:val="22"/>
              </w:rPr>
            </w:pPr>
          </w:p>
        </w:tc>
        <w:tc>
          <w:tcPr>
            <w:tcW w:w="1800" w:type="dxa"/>
            <w:tcBorders>
              <w:left w:val="single" w:sz="2" w:space="0" w:color="auto"/>
              <w:right w:val="single" w:sz="12" w:space="0" w:color="auto"/>
            </w:tcBorders>
          </w:tcPr>
          <w:p w:rsidR="00E94652" w:rsidRPr="0007489E" w:rsidRDefault="00E94652" w:rsidP="0032735F">
            <w:pPr>
              <w:rPr>
                <w:rFonts w:ascii="Arial" w:hAnsi="Arial" w:cs="Arial"/>
                <w:sz w:val="20"/>
                <w:szCs w:val="20"/>
              </w:rPr>
            </w:pPr>
            <w:r w:rsidRPr="0007489E">
              <w:rPr>
                <w:rFonts w:ascii="Arial" w:hAnsi="Arial" w:cs="Arial"/>
                <w:sz w:val="20"/>
                <w:szCs w:val="20"/>
              </w:rPr>
              <w:t>Likely</w:t>
            </w:r>
          </w:p>
        </w:tc>
        <w:tc>
          <w:tcPr>
            <w:tcW w:w="1440" w:type="dxa"/>
            <w:tcBorders>
              <w:left w:val="single" w:sz="12" w:space="0" w:color="auto"/>
              <w:right w:val="single" w:sz="2" w:space="0" w:color="auto"/>
            </w:tcBorders>
          </w:tcPr>
          <w:p w:rsidR="00E94652" w:rsidRPr="0007489E" w:rsidRDefault="00E94652" w:rsidP="0032735F">
            <w:pPr>
              <w:rPr>
                <w:rFonts w:ascii="Arial" w:hAnsi="Arial" w:cs="Arial"/>
                <w:b/>
                <w:sz w:val="20"/>
                <w:szCs w:val="20"/>
              </w:rPr>
            </w:pPr>
            <w:r w:rsidRPr="0007489E">
              <w:rPr>
                <w:rFonts w:ascii="Arial" w:hAnsi="Arial" w:cs="Arial"/>
                <w:b/>
                <w:sz w:val="20"/>
                <w:szCs w:val="20"/>
              </w:rPr>
              <w:t>Negligible</w:t>
            </w:r>
          </w:p>
        </w:tc>
        <w:tc>
          <w:tcPr>
            <w:tcW w:w="1440" w:type="dxa"/>
            <w:tcBorders>
              <w:left w:val="single" w:sz="2" w:space="0" w:color="auto"/>
              <w:right w:val="single" w:sz="2" w:space="0" w:color="auto"/>
            </w:tcBorders>
            <w:shd w:val="clear" w:color="auto" w:fill="EAEAEA"/>
          </w:tcPr>
          <w:p w:rsidR="00E94652" w:rsidRPr="0007489E" w:rsidRDefault="00E94652" w:rsidP="0032735F">
            <w:pPr>
              <w:rPr>
                <w:rFonts w:ascii="Arial" w:hAnsi="Arial" w:cs="Arial"/>
                <w:b/>
                <w:sz w:val="20"/>
                <w:szCs w:val="20"/>
              </w:rPr>
            </w:pPr>
            <w:r w:rsidRPr="0007489E">
              <w:rPr>
                <w:rFonts w:ascii="Arial" w:hAnsi="Arial" w:cs="Arial"/>
                <w:b/>
                <w:sz w:val="20"/>
                <w:szCs w:val="20"/>
              </w:rPr>
              <w:t>Low</w:t>
            </w:r>
          </w:p>
        </w:tc>
        <w:tc>
          <w:tcPr>
            <w:tcW w:w="1440" w:type="dxa"/>
            <w:gridSpan w:val="2"/>
            <w:tcBorders>
              <w:left w:val="single" w:sz="2" w:space="0" w:color="auto"/>
              <w:right w:val="single" w:sz="2" w:space="0" w:color="auto"/>
            </w:tcBorders>
            <w:shd w:val="clear" w:color="auto" w:fill="969696"/>
          </w:tcPr>
          <w:p w:rsidR="00E94652" w:rsidRPr="0007489E" w:rsidRDefault="00E94652" w:rsidP="0032735F">
            <w:pPr>
              <w:rPr>
                <w:rFonts w:ascii="Arial" w:hAnsi="Arial" w:cs="Arial"/>
                <w:b/>
                <w:sz w:val="20"/>
                <w:szCs w:val="20"/>
              </w:rPr>
            </w:pPr>
            <w:r w:rsidRPr="0007489E">
              <w:rPr>
                <w:rFonts w:ascii="Arial" w:hAnsi="Arial" w:cs="Arial"/>
                <w:b/>
                <w:sz w:val="20"/>
                <w:szCs w:val="20"/>
              </w:rPr>
              <w:t>High</w:t>
            </w:r>
          </w:p>
        </w:tc>
        <w:tc>
          <w:tcPr>
            <w:tcW w:w="1440" w:type="dxa"/>
            <w:gridSpan w:val="2"/>
            <w:tcBorders>
              <w:left w:val="single" w:sz="2" w:space="0" w:color="auto"/>
              <w:right w:val="single" w:sz="12" w:space="0" w:color="auto"/>
            </w:tcBorders>
            <w:shd w:val="clear" w:color="auto" w:fill="969696"/>
          </w:tcPr>
          <w:p w:rsidR="00E94652" w:rsidRPr="0007489E" w:rsidRDefault="00E94652" w:rsidP="0032735F">
            <w:pPr>
              <w:rPr>
                <w:rFonts w:ascii="Arial" w:hAnsi="Arial" w:cs="Arial"/>
                <w:b/>
                <w:sz w:val="20"/>
                <w:szCs w:val="20"/>
              </w:rPr>
            </w:pPr>
            <w:r w:rsidRPr="0007489E">
              <w:rPr>
                <w:rFonts w:ascii="Arial" w:hAnsi="Arial" w:cs="Arial"/>
                <w:b/>
                <w:sz w:val="20"/>
                <w:szCs w:val="20"/>
              </w:rPr>
              <w:t>High</w:t>
            </w:r>
          </w:p>
        </w:tc>
      </w:tr>
      <w:tr w:rsidR="00E94652" w:rsidRPr="007B68C5" w:rsidTr="0032735F">
        <w:tc>
          <w:tcPr>
            <w:tcW w:w="540" w:type="dxa"/>
            <w:vMerge/>
            <w:tcBorders>
              <w:left w:val="single" w:sz="12" w:space="0" w:color="auto"/>
              <w:right w:val="single" w:sz="2" w:space="0" w:color="auto"/>
            </w:tcBorders>
          </w:tcPr>
          <w:p w:rsidR="00E94652" w:rsidRPr="007B68C5" w:rsidRDefault="00E94652" w:rsidP="0032735F">
            <w:pPr>
              <w:rPr>
                <w:rFonts w:ascii="Arial" w:hAnsi="Arial" w:cs="Arial"/>
                <w:sz w:val="22"/>
                <w:szCs w:val="22"/>
              </w:rPr>
            </w:pPr>
          </w:p>
        </w:tc>
        <w:tc>
          <w:tcPr>
            <w:tcW w:w="1800" w:type="dxa"/>
            <w:tcBorders>
              <w:left w:val="single" w:sz="2" w:space="0" w:color="auto"/>
              <w:bottom w:val="single" w:sz="2" w:space="0" w:color="auto"/>
              <w:right w:val="single" w:sz="12" w:space="0" w:color="auto"/>
            </w:tcBorders>
          </w:tcPr>
          <w:p w:rsidR="00E94652" w:rsidRPr="00686C99" w:rsidRDefault="00E94652" w:rsidP="0032735F">
            <w:pPr>
              <w:rPr>
                <w:rFonts w:ascii="Arial" w:hAnsi="Arial" w:cs="Arial"/>
                <w:sz w:val="8"/>
                <w:szCs w:val="8"/>
              </w:rPr>
            </w:pPr>
          </w:p>
        </w:tc>
        <w:tc>
          <w:tcPr>
            <w:tcW w:w="1440" w:type="dxa"/>
            <w:tcBorders>
              <w:left w:val="single" w:sz="12" w:space="0" w:color="auto"/>
              <w:bottom w:val="single" w:sz="2" w:space="0" w:color="auto"/>
              <w:right w:val="single" w:sz="2" w:space="0" w:color="auto"/>
            </w:tcBorders>
          </w:tcPr>
          <w:p w:rsidR="00E94652" w:rsidRPr="00B65EF1" w:rsidRDefault="00E94652" w:rsidP="0032735F">
            <w:pPr>
              <w:rPr>
                <w:rFonts w:ascii="Arial" w:hAnsi="Arial" w:cs="Arial"/>
                <w:b/>
                <w:sz w:val="8"/>
                <w:szCs w:val="8"/>
              </w:rPr>
            </w:pPr>
          </w:p>
        </w:tc>
        <w:tc>
          <w:tcPr>
            <w:tcW w:w="1440" w:type="dxa"/>
            <w:tcBorders>
              <w:left w:val="single" w:sz="2" w:space="0" w:color="auto"/>
              <w:bottom w:val="single" w:sz="2" w:space="0" w:color="auto"/>
              <w:right w:val="single" w:sz="2" w:space="0" w:color="auto"/>
            </w:tcBorders>
            <w:shd w:val="clear" w:color="auto" w:fill="EAEAEA"/>
          </w:tcPr>
          <w:p w:rsidR="00E94652" w:rsidRPr="00B65EF1" w:rsidRDefault="00E94652" w:rsidP="0032735F">
            <w:pPr>
              <w:rPr>
                <w:rFonts w:ascii="Arial" w:hAnsi="Arial" w:cs="Arial"/>
                <w:b/>
                <w:sz w:val="8"/>
                <w:szCs w:val="8"/>
              </w:rPr>
            </w:pPr>
          </w:p>
        </w:tc>
        <w:tc>
          <w:tcPr>
            <w:tcW w:w="1440" w:type="dxa"/>
            <w:gridSpan w:val="2"/>
            <w:tcBorders>
              <w:left w:val="single" w:sz="2" w:space="0" w:color="auto"/>
              <w:bottom w:val="single" w:sz="2" w:space="0" w:color="auto"/>
              <w:right w:val="single" w:sz="2" w:space="0" w:color="auto"/>
            </w:tcBorders>
            <w:shd w:val="clear" w:color="auto" w:fill="969696"/>
          </w:tcPr>
          <w:p w:rsidR="00E94652" w:rsidRPr="00B65EF1" w:rsidRDefault="00E94652" w:rsidP="0032735F">
            <w:pPr>
              <w:rPr>
                <w:rFonts w:ascii="Arial" w:hAnsi="Arial" w:cs="Arial"/>
                <w:b/>
                <w:sz w:val="8"/>
                <w:szCs w:val="8"/>
              </w:rPr>
            </w:pPr>
          </w:p>
        </w:tc>
        <w:tc>
          <w:tcPr>
            <w:tcW w:w="1440" w:type="dxa"/>
            <w:gridSpan w:val="2"/>
            <w:tcBorders>
              <w:left w:val="single" w:sz="2" w:space="0" w:color="auto"/>
              <w:bottom w:val="single" w:sz="2" w:space="0" w:color="auto"/>
              <w:right w:val="single" w:sz="12" w:space="0" w:color="auto"/>
            </w:tcBorders>
            <w:shd w:val="clear" w:color="auto" w:fill="969696"/>
          </w:tcPr>
          <w:p w:rsidR="00E94652" w:rsidRPr="00B65EF1" w:rsidRDefault="00E94652" w:rsidP="0032735F">
            <w:pPr>
              <w:rPr>
                <w:rFonts w:ascii="Arial" w:hAnsi="Arial" w:cs="Arial"/>
                <w:b/>
                <w:sz w:val="8"/>
                <w:szCs w:val="8"/>
              </w:rPr>
            </w:pPr>
          </w:p>
        </w:tc>
      </w:tr>
      <w:tr w:rsidR="00E94652" w:rsidRPr="007B68C5" w:rsidTr="0032735F">
        <w:tc>
          <w:tcPr>
            <w:tcW w:w="540" w:type="dxa"/>
            <w:vMerge/>
            <w:tcBorders>
              <w:left w:val="single" w:sz="12" w:space="0" w:color="auto"/>
              <w:right w:val="single" w:sz="2" w:space="0" w:color="auto"/>
            </w:tcBorders>
          </w:tcPr>
          <w:p w:rsidR="00E94652" w:rsidRPr="007B68C5" w:rsidRDefault="00E94652" w:rsidP="0032735F">
            <w:pPr>
              <w:rPr>
                <w:rFonts w:ascii="Arial" w:hAnsi="Arial" w:cs="Arial"/>
                <w:sz w:val="22"/>
                <w:szCs w:val="22"/>
              </w:rPr>
            </w:pPr>
          </w:p>
        </w:tc>
        <w:tc>
          <w:tcPr>
            <w:tcW w:w="1800" w:type="dxa"/>
            <w:tcBorders>
              <w:top w:val="single" w:sz="2" w:space="0" w:color="auto"/>
              <w:left w:val="single" w:sz="2" w:space="0" w:color="auto"/>
              <w:right w:val="single" w:sz="12" w:space="0" w:color="auto"/>
            </w:tcBorders>
          </w:tcPr>
          <w:p w:rsidR="00E94652" w:rsidRPr="00686C99" w:rsidRDefault="00E94652" w:rsidP="0032735F">
            <w:pPr>
              <w:rPr>
                <w:rFonts w:ascii="Arial" w:hAnsi="Arial" w:cs="Arial"/>
                <w:sz w:val="8"/>
                <w:szCs w:val="8"/>
              </w:rPr>
            </w:pPr>
          </w:p>
        </w:tc>
        <w:tc>
          <w:tcPr>
            <w:tcW w:w="1440" w:type="dxa"/>
            <w:tcBorders>
              <w:top w:val="single" w:sz="2" w:space="0" w:color="auto"/>
              <w:left w:val="single" w:sz="12" w:space="0" w:color="auto"/>
              <w:right w:val="single" w:sz="2" w:space="0" w:color="auto"/>
            </w:tcBorders>
          </w:tcPr>
          <w:p w:rsidR="00E94652" w:rsidRPr="00B65EF1" w:rsidRDefault="00E94652" w:rsidP="0032735F">
            <w:pPr>
              <w:rPr>
                <w:rFonts w:ascii="Arial" w:hAnsi="Arial" w:cs="Arial"/>
                <w:b/>
                <w:sz w:val="8"/>
                <w:szCs w:val="8"/>
              </w:rPr>
            </w:pPr>
          </w:p>
        </w:tc>
        <w:tc>
          <w:tcPr>
            <w:tcW w:w="1440" w:type="dxa"/>
            <w:tcBorders>
              <w:top w:val="single" w:sz="2" w:space="0" w:color="auto"/>
              <w:left w:val="single" w:sz="2" w:space="0" w:color="auto"/>
              <w:right w:val="single" w:sz="2" w:space="0" w:color="auto"/>
            </w:tcBorders>
            <w:shd w:val="clear" w:color="auto" w:fill="EAEAEA"/>
          </w:tcPr>
          <w:p w:rsidR="00E94652" w:rsidRPr="00B65EF1" w:rsidRDefault="00E94652" w:rsidP="0032735F">
            <w:pPr>
              <w:rPr>
                <w:rFonts w:ascii="Arial" w:hAnsi="Arial" w:cs="Arial"/>
                <w:b/>
                <w:sz w:val="8"/>
                <w:szCs w:val="8"/>
              </w:rPr>
            </w:pPr>
          </w:p>
        </w:tc>
        <w:tc>
          <w:tcPr>
            <w:tcW w:w="1440" w:type="dxa"/>
            <w:gridSpan w:val="2"/>
            <w:tcBorders>
              <w:top w:val="single" w:sz="2" w:space="0" w:color="auto"/>
              <w:left w:val="single" w:sz="2" w:space="0" w:color="auto"/>
              <w:right w:val="single" w:sz="2" w:space="0" w:color="auto"/>
            </w:tcBorders>
            <w:shd w:val="clear" w:color="auto" w:fill="C0C0C0"/>
          </w:tcPr>
          <w:p w:rsidR="00E94652" w:rsidRPr="00B65EF1" w:rsidRDefault="00E94652" w:rsidP="0032735F">
            <w:pPr>
              <w:rPr>
                <w:rFonts w:ascii="Arial" w:hAnsi="Arial" w:cs="Arial"/>
                <w:b/>
                <w:sz w:val="8"/>
                <w:szCs w:val="8"/>
              </w:rPr>
            </w:pPr>
          </w:p>
        </w:tc>
        <w:tc>
          <w:tcPr>
            <w:tcW w:w="1440" w:type="dxa"/>
            <w:gridSpan w:val="2"/>
            <w:tcBorders>
              <w:top w:val="single" w:sz="2" w:space="0" w:color="auto"/>
              <w:left w:val="single" w:sz="2" w:space="0" w:color="auto"/>
              <w:right w:val="single" w:sz="12" w:space="0" w:color="auto"/>
            </w:tcBorders>
            <w:shd w:val="clear" w:color="auto" w:fill="969696"/>
          </w:tcPr>
          <w:p w:rsidR="00E94652" w:rsidRPr="00B65EF1" w:rsidRDefault="00E94652" w:rsidP="0032735F">
            <w:pPr>
              <w:rPr>
                <w:rFonts w:ascii="Arial" w:hAnsi="Arial" w:cs="Arial"/>
                <w:b/>
                <w:sz w:val="8"/>
                <w:szCs w:val="8"/>
              </w:rPr>
            </w:pPr>
          </w:p>
        </w:tc>
      </w:tr>
      <w:tr w:rsidR="00E94652" w:rsidRPr="007B68C5" w:rsidTr="0032735F">
        <w:tc>
          <w:tcPr>
            <w:tcW w:w="540" w:type="dxa"/>
            <w:vMerge/>
            <w:tcBorders>
              <w:left w:val="single" w:sz="12" w:space="0" w:color="auto"/>
              <w:right w:val="single" w:sz="2" w:space="0" w:color="auto"/>
            </w:tcBorders>
          </w:tcPr>
          <w:p w:rsidR="00E94652" w:rsidRPr="007B68C5" w:rsidRDefault="00E94652" w:rsidP="0032735F">
            <w:pPr>
              <w:rPr>
                <w:rFonts w:ascii="Arial" w:hAnsi="Arial" w:cs="Arial"/>
                <w:sz w:val="22"/>
                <w:szCs w:val="22"/>
              </w:rPr>
            </w:pPr>
          </w:p>
        </w:tc>
        <w:tc>
          <w:tcPr>
            <w:tcW w:w="1800" w:type="dxa"/>
            <w:tcBorders>
              <w:left w:val="single" w:sz="2" w:space="0" w:color="auto"/>
              <w:right w:val="single" w:sz="12" w:space="0" w:color="auto"/>
            </w:tcBorders>
          </w:tcPr>
          <w:p w:rsidR="00E94652" w:rsidRPr="0007489E" w:rsidRDefault="00E94652" w:rsidP="0032735F">
            <w:pPr>
              <w:rPr>
                <w:rFonts w:ascii="Arial" w:hAnsi="Arial" w:cs="Arial"/>
                <w:sz w:val="20"/>
                <w:szCs w:val="20"/>
              </w:rPr>
            </w:pPr>
            <w:r w:rsidRPr="0007489E">
              <w:rPr>
                <w:rFonts w:ascii="Arial" w:hAnsi="Arial" w:cs="Arial"/>
                <w:sz w:val="20"/>
                <w:szCs w:val="20"/>
              </w:rPr>
              <w:t>Unlikely</w:t>
            </w:r>
          </w:p>
        </w:tc>
        <w:tc>
          <w:tcPr>
            <w:tcW w:w="1440" w:type="dxa"/>
            <w:tcBorders>
              <w:left w:val="single" w:sz="12" w:space="0" w:color="auto"/>
              <w:right w:val="single" w:sz="2" w:space="0" w:color="auto"/>
            </w:tcBorders>
          </w:tcPr>
          <w:p w:rsidR="00E94652" w:rsidRPr="0007489E" w:rsidRDefault="00E94652" w:rsidP="0032735F">
            <w:pPr>
              <w:rPr>
                <w:rFonts w:ascii="Arial" w:hAnsi="Arial" w:cs="Arial"/>
                <w:b/>
                <w:sz w:val="20"/>
                <w:szCs w:val="20"/>
              </w:rPr>
            </w:pPr>
            <w:r w:rsidRPr="0007489E">
              <w:rPr>
                <w:rFonts w:ascii="Arial" w:hAnsi="Arial" w:cs="Arial"/>
                <w:b/>
                <w:sz w:val="20"/>
                <w:szCs w:val="20"/>
              </w:rPr>
              <w:t>Negligible</w:t>
            </w:r>
          </w:p>
        </w:tc>
        <w:tc>
          <w:tcPr>
            <w:tcW w:w="1440" w:type="dxa"/>
            <w:tcBorders>
              <w:left w:val="single" w:sz="2" w:space="0" w:color="auto"/>
              <w:right w:val="single" w:sz="2" w:space="0" w:color="auto"/>
            </w:tcBorders>
            <w:shd w:val="clear" w:color="auto" w:fill="EAEAEA"/>
          </w:tcPr>
          <w:p w:rsidR="00E94652" w:rsidRPr="0007489E" w:rsidRDefault="00E94652" w:rsidP="0032735F">
            <w:pPr>
              <w:rPr>
                <w:rFonts w:ascii="Arial" w:hAnsi="Arial" w:cs="Arial"/>
                <w:b/>
                <w:sz w:val="20"/>
                <w:szCs w:val="20"/>
              </w:rPr>
            </w:pPr>
            <w:r w:rsidRPr="0007489E">
              <w:rPr>
                <w:rFonts w:ascii="Arial" w:hAnsi="Arial" w:cs="Arial"/>
                <w:b/>
                <w:sz w:val="20"/>
                <w:szCs w:val="20"/>
              </w:rPr>
              <w:t>Low</w:t>
            </w:r>
          </w:p>
        </w:tc>
        <w:tc>
          <w:tcPr>
            <w:tcW w:w="1440" w:type="dxa"/>
            <w:gridSpan w:val="2"/>
            <w:tcBorders>
              <w:left w:val="single" w:sz="2" w:space="0" w:color="auto"/>
              <w:right w:val="single" w:sz="2" w:space="0" w:color="auto"/>
            </w:tcBorders>
            <w:shd w:val="clear" w:color="auto" w:fill="C0C0C0"/>
          </w:tcPr>
          <w:p w:rsidR="00E94652" w:rsidRPr="0007489E" w:rsidRDefault="00E94652" w:rsidP="0032735F">
            <w:pPr>
              <w:rPr>
                <w:rFonts w:ascii="Arial" w:hAnsi="Arial" w:cs="Arial"/>
                <w:b/>
                <w:sz w:val="20"/>
                <w:szCs w:val="20"/>
              </w:rPr>
            </w:pPr>
            <w:r w:rsidRPr="0007489E">
              <w:rPr>
                <w:rFonts w:ascii="Arial" w:hAnsi="Arial" w:cs="Arial"/>
                <w:b/>
                <w:sz w:val="20"/>
                <w:szCs w:val="20"/>
              </w:rPr>
              <w:t>Moderate</w:t>
            </w:r>
          </w:p>
        </w:tc>
        <w:tc>
          <w:tcPr>
            <w:tcW w:w="1440" w:type="dxa"/>
            <w:gridSpan w:val="2"/>
            <w:tcBorders>
              <w:left w:val="single" w:sz="2" w:space="0" w:color="auto"/>
              <w:right w:val="single" w:sz="12" w:space="0" w:color="auto"/>
            </w:tcBorders>
            <w:shd w:val="clear" w:color="auto" w:fill="969696"/>
          </w:tcPr>
          <w:p w:rsidR="00E94652" w:rsidRPr="0007489E" w:rsidRDefault="00E94652" w:rsidP="0032735F">
            <w:pPr>
              <w:rPr>
                <w:rFonts w:ascii="Arial" w:hAnsi="Arial" w:cs="Arial"/>
                <w:b/>
                <w:sz w:val="20"/>
                <w:szCs w:val="20"/>
              </w:rPr>
            </w:pPr>
            <w:r w:rsidRPr="0007489E">
              <w:rPr>
                <w:rFonts w:ascii="Arial" w:hAnsi="Arial" w:cs="Arial"/>
                <w:b/>
                <w:sz w:val="20"/>
                <w:szCs w:val="20"/>
              </w:rPr>
              <w:t>High</w:t>
            </w:r>
          </w:p>
        </w:tc>
      </w:tr>
      <w:tr w:rsidR="00E94652" w:rsidRPr="007B68C5" w:rsidTr="0032735F">
        <w:tc>
          <w:tcPr>
            <w:tcW w:w="540" w:type="dxa"/>
            <w:vMerge/>
            <w:tcBorders>
              <w:left w:val="single" w:sz="12" w:space="0" w:color="auto"/>
              <w:right w:val="single" w:sz="2" w:space="0" w:color="auto"/>
            </w:tcBorders>
          </w:tcPr>
          <w:p w:rsidR="00E94652" w:rsidRPr="007B68C5" w:rsidRDefault="00E94652" w:rsidP="0032735F">
            <w:pPr>
              <w:rPr>
                <w:rFonts w:ascii="Arial" w:hAnsi="Arial" w:cs="Arial"/>
                <w:sz w:val="22"/>
                <w:szCs w:val="22"/>
              </w:rPr>
            </w:pPr>
          </w:p>
        </w:tc>
        <w:tc>
          <w:tcPr>
            <w:tcW w:w="1800" w:type="dxa"/>
            <w:tcBorders>
              <w:left w:val="single" w:sz="2" w:space="0" w:color="auto"/>
              <w:bottom w:val="single" w:sz="2" w:space="0" w:color="auto"/>
              <w:right w:val="single" w:sz="12" w:space="0" w:color="auto"/>
            </w:tcBorders>
          </w:tcPr>
          <w:p w:rsidR="00E94652" w:rsidRPr="00686C99" w:rsidRDefault="00E94652" w:rsidP="0032735F">
            <w:pPr>
              <w:rPr>
                <w:rFonts w:ascii="Arial" w:hAnsi="Arial" w:cs="Arial"/>
                <w:sz w:val="8"/>
                <w:szCs w:val="8"/>
              </w:rPr>
            </w:pPr>
          </w:p>
        </w:tc>
        <w:tc>
          <w:tcPr>
            <w:tcW w:w="1440" w:type="dxa"/>
            <w:tcBorders>
              <w:left w:val="single" w:sz="12" w:space="0" w:color="auto"/>
              <w:bottom w:val="single" w:sz="2" w:space="0" w:color="auto"/>
              <w:right w:val="single" w:sz="2" w:space="0" w:color="auto"/>
            </w:tcBorders>
          </w:tcPr>
          <w:p w:rsidR="00E94652" w:rsidRPr="00B65EF1" w:rsidRDefault="00E94652" w:rsidP="0032735F">
            <w:pPr>
              <w:rPr>
                <w:rFonts w:ascii="Arial" w:hAnsi="Arial" w:cs="Arial"/>
                <w:b/>
                <w:sz w:val="8"/>
                <w:szCs w:val="8"/>
              </w:rPr>
            </w:pPr>
          </w:p>
        </w:tc>
        <w:tc>
          <w:tcPr>
            <w:tcW w:w="1440" w:type="dxa"/>
            <w:tcBorders>
              <w:left w:val="single" w:sz="2" w:space="0" w:color="auto"/>
              <w:bottom w:val="single" w:sz="2" w:space="0" w:color="auto"/>
              <w:right w:val="single" w:sz="2" w:space="0" w:color="auto"/>
            </w:tcBorders>
            <w:shd w:val="clear" w:color="auto" w:fill="EAEAEA"/>
          </w:tcPr>
          <w:p w:rsidR="00E94652" w:rsidRPr="00B65EF1" w:rsidRDefault="00E94652" w:rsidP="0032735F">
            <w:pPr>
              <w:rPr>
                <w:rFonts w:ascii="Arial" w:hAnsi="Arial" w:cs="Arial"/>
                <w:b/>
                <w:sz w:val="8"/>
                <w:szCs w:val="8"/>
              </w:rPr>
            </w:pPr>
          </w:p>
        </w:tc>
        <w:tc>
          <w:tcPr>
            <w:tcW w:w="1440" w:type="dxa"/>
            <w:gridSpan w:val="2"/>
            <w:tcBorders>
              <w:left w:val="single" w:sz="2" w:space="0" w:color="auto"/>
              <w:bottom w:val="single" w:sz="2" w:space="0" w:color="auto"/>
              <w:right w:val="single" w:sz="2" w:space="0" w:color="auto"/>
            </w:tcBorders>
            <w:shd w:val="clear" w:color="auto" w:fill="C0C0C0"/>
          </w:tcPr>
          <w:p w:rsidR="00E94652" w:rsidRPr="00B65EF1" w:rsidRDefault="00E94652" w:rsidP="0032735F">
            <w:pPr>
              <w:rPr>
                <w:rFonts w:ascii="Arial" w:hAnsi="Arial" w:cs="Arial"/>
                <w:b/>
                <w:sz w:val="8"/>
                <w:szCs w:val="8"/>
              </w:rPr>
            </w:pPr>
          </w:p>
        </w:tc>
        <w:tc>
          <w:tcPr>
            <w:tcW w:w="1440" w:type="dxa"/>
            <w:gridSpan w:val="2"/>
            <w:tcBorders>
              <w:left w:val="single" w:sz="2" w:space="0" w:color="auto"/>
              <w:bottom w:val="single" w:sz="2" w:space="0" w:color="auto"/>
              <w:right w:val="single" w:sz="12" w:space="0" w:color="auto"/>
            </w:tcBorders>
            <w:shd w:val="clear" w:color="auto" w:fill="969696"/>
          </w:tcPr>
          <w:p w:rsidR="00E94652" w:rsidRPr="00B65EF1" w:rsidRDefault="00E94652" w:rsidP="0032735F">
            <w:pPr>
              <w:rPr>
                <w:rFonts w:ascii="Arial" w:hAnsi="Arial" w:cs="Arial"/>
                <w:b/>
                <w:sz w:val="8"/>
                <w:szCs w:val="8"/>
              </w:rPr>
            </w:pPr>
          </w:p>
        </w:tc>
      </w:tr>
      <w:tr w:rsidR="00E94652" w:rsidRPr="007B68C5" w:rsidTr="0032735F">
        <w:tc>
          <w:tcPr>
            <w:tcW w:w="540" w:type="dxa"/>
            <w:vMerge/>
            <w:tcBorders>
              <w:left w:val="single" w:sz="12" w:space="0" w:color="auto"/>
              <w:right w:val="single" w:sz="2" w:space="0" w:color="auto"/>
            </w:tcBorders>
          </w:tcPr>
          <w:p w:rsidR="00E94652" w:rsidRPr="007B68C5" w:rsidRDefault="00E94652" w:rsidP="0032735F">
            <w:pPr>
              <w:rPr>
                <w:rFonts w:ascii="Arial" w:hAnsi="Arial" w:cs="Arial"/>
                <w:sz w:val="22"/>
                <w:szCs w:val="22"/>
              </w:rPr>
            </w:pPr>
          </w:p>
        </w:tc>
        <w:tc>
          <w:tcPr>
            <w:tcW w:w="1800" w:type="dxa"/>
            <w:tcBorders>
              <w:top w:val="single" w:sz="2" w:space="0" w:color="auto"/>
              <w:left w:val="single" w:sz="2" w:space="0" w:color="auto"/>
              <w:right w:val="single" w:sz="12" w:space="0" w:color="auto"/>
            </w:tcBorders>
          </w:tcPr>
          <w:p w:rsidR="00E94652" w:rsidRPr="00686C99" w:rsidRDefault="00E94652" w:rsidP="0032735F">
            <w:pPr>
              <w:rPr>
                <w:rFonts w:ascii="Arial" w:hAnsi="Arial" w:cs="Arial"/>
                <w:sz w:val="8"/>
                <w:szCs w:val="8"/>
              </w:rPr>
            </w:pPr>
          </w:p>
        </w:tc>
        <w:tc>
          <w:tcPr>
            <w:tcW w:w="1440" w:type="dxa"/>
            <w:tcBorders>
              <w:top w:val="single" w:sz="2" w:space="0" w:color="auto"/>
              <w:left w:val="single" w:sz="12" w:space="0" w:color="auto"/>
              <w:right w:val="single" w:sz="2" w:space="0" w:color="auto"/>
            </w:tcBorders>
          </w:tcPr>
          <w:p w:rsidR="00E94652" w:rsidRPr="00B65EF1" w:rsidRDefault="00E94652" w:rsidP="0032735F">
            <w:pPr>
              <w:rPr>
                <w:rFonts w:ascii="Arial" w:hAnsi="Arial" w:cs="Arial"/>
                <w:b/>
                <w:sz w:val="8"/>
                <w:szCs w:val="8"/>
              </w:rPr>
            </w:pPr>
          </w:p>
        </w:tc>
        <w:tc>
          <w:tcPr>
            <w:tcW w:w="1440" w:type="dxa"/>
            <w:tcBorders>
              <w:top w:val="single" w:sz="2" w:space="0" w:color="auto"/>
              <w:left w:val="single" w:sz="2" w:space="0" w:color="auto"/>
              <w:right w:val="single" w:sz="2" w:space="0" w:color="auto"/>
            </w:tcBorders>
          </w:tcPr>
          <w:p w:rsidR="00E94652" w:rsidRPr="00B65EF1" w:rsidRDefault="00E94652" w:rsidP="0032735F">
            <w:pPr>
              <w:rPr>
                <w:rFonts w:ascii="Arial" w:hAnsi="Arial" w:cs="Arial"/>
                <w:b/>
                <w:sz w:val="8"/>
                <w:szCs w:val="8"/>
              </w:rPr>
            </w:pPr>
          </w:p>
        </w:tc>
        <w:tc>
          <w:tcPr>
            <w:tcW w:w="1440" w:type="dxa"/>
            <w:gridSpan w:val="2"/>
            <w:tcBorders>
              <w:top w:val="single" w:sz="2" w:space="0" w:color="auto"/>
              <w:left w:val="single" w:sz="2" w:space="0" w:color="auto"/>
              <w:right w:val="single" w:sz="2" w:space="0" w:color="auto"/>
            </w:tcBorders>
            <w:shd w:val="clear" w:color="auto" w:fill="EAEAEA"/>
          </w:tcPr>
          <w:p w:rsidR="00E94652" w:rsidRPr="00B65EF1" w:rsidRDefault="00E94652" w:rsidP="0032735F">
            <w:pPr>
              <w:rPr>
                <w:rFonts w:ascii="Arial" w:hAnsi="Arial" w:cs="Arial"/>
                <w:b/>
                <w:sz w:val="8"/>
                <w:szCs w:val="8"/>
              </w:rPr>
            </w:pPr>
          </w:p>
        </w:tc>
        <w:tc>
          <w:tcPr>
            <w:tcW w:w="1440" w:type="dxa"/>
            <w:gridSpan w:val="2"/>
            <w:tcBorders>
              <w:top w:val="single" w:sz="2" w:space="0" w:color="auto"/>
              <w:left w:val="single" w:sz="2" w:space="0" w:color="auto"/>
              <w:right w:val="single" w:sz="12" w:space="0" w:color="auto"/>
            </w:tcBorders>
            <w:shd w:val="clear" w:color="auto" w:fill="C0C0C0"/>
          </w:tcPr>
          <w:p w:rsidR="00E94652" w:rsidRPr="00B65EF1" w:rsidRDefault="00E94652" w:rsidP="0032735F">
            <w:pPr>
              <w:rPr>
                <w:rFonts w:ascii="Arial" w:hAnsi="Arial" w:cs="Arial"/>
                <w:b/>
                <w:sz w:val="8"/>
                <w:szCs w:val="8"/>
              </w:rPr>
            </w:pPr>
          </w:p>
        </w:tc>
      </w:tr>
      <w:tr w:rsidR="00E94652" w:rsidRPr="007B68C5" w:rsidTr="0032735F">
        <w:tc>
          <w:tcPr>
            <w:tcW w:w="540" w:type="dxa"/>
            <w:vMerge/>
            <w:tcBorders>
              <w:left w:val="single" w:sz="12" w:space="0" w:color="auto"/>
              <w:right w:val="single" w:sz="2" w:space="0" w:color="auto"/>
            </w:tcBorders>
          </w:tcPr>
          <w:p w:rsidR="00E94652" w:rsidRPr="007B68C5" w:rsidRDefault="00E94652" w:rsidP="0032735F">
            <w:pPr>
              <w:rPr>
                <w:rFonts w:ascii="Arial" w:hAnsi="Arial" w:cs="Arial"/>
                <w:sz w:val="22"/>
                <w:szCs w:val="22"/>
              </w:rPr>
            </w:pPr>
          </w:p>
        </w:tc>
        <w:tc>
          <w:tcPr>
            <w:tcW w:w="1800" w:type="dxa"/>
            <w:tcBorders>
              <w:left w:val="single" w:sz="2" w:space="0" w:color="auto"/>
              <w:right w:val="single" w:sz="12" w:space="0" w:color="auto"/>
            </w:tcBorders>
          </w:tcPr>
          <w:p w:rsidR="00E94652" w:rsidRPr="0007489E" w:rsidRDefault="00E94652" w:rsidP="0032735F">
            <w:pPr>
              <w:rPr>
                <w:rFonts w:ascii="Arial" w:hAnsi="Arial" w:cs="Arial"/>
                <w:sz w:val="20"/>
                <w:szCs w:val="20"/>
              </w:rPr>
            </w:pPr>
            <w:r w:rsidRPr="0007489E">
              <w:rPr>
                <w:rFonts w:ascii="Arial" w:hAnsi="Arial" w:cs="Arial"/>
                <w:sz w:val="20"/>
                <w:szCs w:val="20"/>
              </w:rPr>
              <w:t>Highly unlikely</w:t>
            </w:r>
          </w:p>
        </w:tc>
        <w:tc>
          <w:tcPr>
            <w:tcW w:w="1440" w:type="dxa"/>
            <w:tcBorders>
              <w:left w:val="single" w:sz="12" w:space="0" w:color="auto"/>
              <w:right w:val="single" w:sz="2" w:space="0" w:color="auto"/>
            </w:tcBorders>
          </w:tcPr>
          <w:p w:rsidR="00E94652" w:rsidRPr="0007489E" w:rsidRDefault="00E94652" w:rsidP="0032735F">
            <w:pPr>
              <w:rPr>
                <w:rFonts w:ascii="Arial" w:hAnsi="Arial" w:cs="Arial"/>
                <w:b/>
                <w:sz w:val="20"/>
                <w:szCs w:val="20"/>
              </w:rPr>
            </w:pPr>
            <w:r w:rsidRPr="0007489E">
              <w:rPr>
                <w:rFonts w:ascii="Arial" w:hAnsi="Arial" w:cs="Arial"/>
                <w:b/>
                <w:sz w:val="20"/>
                <w:szCs w:val="20"/>
              </w:rPr>
              <w:t>Negligible</w:t>
            </w:r>
          </w:p>
        </w:tc>
        <w:tc>
          <w:tcPr>
            <w:tcW w:w="1440" w:type="dxa"/>
            <w:tcBorders>
              <w:left w:val="single" w:sz="2" w:space="0" w:color="auto"/>
              <w:right w:val="single" w:sz="2" w:space="0" w:color="auto"/>
            </w:tcBorders>
          </w:tcPr>
          <w:p w:rsidR="00E94652" w:rsidRPr="0007489E" w:rsidRDefault="00E94652" w:rsidP="0032735F">
            <w:pPr>
              <w:rPr>
                <w:rFonts w:ascii="Arial" w:hAnsi="Arial" w:cs="Arial"/>
                <w:b/>
                <w:sz w:val="20"/>
                <w:szCs w:val="20"/>
              </w:rPr>
            </w:pPr>
            <w:r w:rsidRPr="0007489E">
              <w:rPr>
                <w:rFonts w:ascii="Arial" w:hAnsi="Arial" w:cs="Arial"/>
                <w:b/>
                <w:sz w:val="20"/>
                <w:szCs w:val="20"/>
              </w:rPr>
              <w:t>Negligible</w:t>
            </w:r>
          </w:p>
        </w:tc>
        <w:tc>
          <w:tcPr>
            <w:tcW w:w="1440" w:type="dxa"/>
            <w:gridSpan w:val="2"/>
            <w:tcBorders>
              <w:left w:val="single" w:sz="2" w:space="0" w:color="auto"/>
              <w:right w:val="single" w:sz="2" w:space="0" w:color="auto"/>
            </w:tcBorders>
            <w:shd w:val="clear" w:color="auto" w:fill="EAEAEA"/>
          </w:tcPr>
          <w:p w:rsidR="00E94652" w:rsidRPr="0007489E" w:rsidRDefault="00E94652" w:rsidP="0032735F">
            <w:pPr>
              <w:rPr>
                <w:rFonts w:ascii="Arial" w:hAnsi="Arial" w:cs="Arial"/>
                <w:b/>
                <w:sz w:val="20"/>
                <w:szCs w:val="20"/>
              </w:rPr>
            </w:pPr>
            <w:r w:rsidRPr="0007489E">
              <w:rPr>
                <w:rFonts w:ascii="Arial" w:hAnsi="Arial" w:cs="Arial"/>
                <w:b/>
                <w:sz w:val="20"/>
                <w:szCs w:val="20"/>
              </w:rPr>
              <w:t>Low</w:t>
            </w:r>
          </w:p>
        </w:tc>
        <w:tc>
          <w:tcPr>
            <w:tcW w:w="1440" w:type="dxa"/>
            <w:gridSpan w:val="2"/>
            <w:tcBorders>
              <w:left w:val="single" w:sz="2" w:space="0" w:color="auto"/>
              <w:right w:val="single" w:sz="12" w:space="0" w:color="auto"/>
            </w:tcBorders>
            <w:shd w:val="clear" w:color="auto" w:fill="C0C0C0"/>
          </w:tcPr>
          <w:p w:rsidR="00E94652" w:rsidRPr="0007489E" w:rsidRDefault="00E94652" w:rsidP="0032735F">
            <w:pPr>
              <w:rPr>
                <w:rFonts w:ascii="Arial" w:hAnsi="Arial" w:cs="Arial"/>
                <w:b/>
                <w:sz w:val="20"/>
                <w:szCs w:val="20"/>
              </w:rPr>
            </w:pPr>
            <w:r w:rsidRPr="0007489E">
              <w:rPr>
                <w:rFonts w:ascii="Arial" w:hAnsi="Arial" w:cs="Arial"/>
                <w:b/>
                <w:sz w:val="20"/>
                <w:szCs w:val="20"/>
              </w:rPr>
              <w:t>Moderate</w:t>
            </w:r>
          </w:p>
        </w:tc>
      </w:tr>
      <w:tr w:rsidR="00E94652" w:rsidRPr="007B68C5" w:rsidTr="0032735F">
        <w:tc>
          <w:tcPr>
            <w:tcW w:w="540" w:type="dxa"/>
            <w:vMerge/>
            <w:tcBorders>
              <w:left w:val="single" w:sz="12" w:space="0" w:color="auto"/>
              <w:bottom w:val="single" w:sz="12" w:space="0" w:color="auto"/>
              <w:right w:val="single" w:sz="2" w:space="0" w:color="auto"/>
            </w:tcBorders>
          </w:tcPr>
          <w:p w:rsidR="00E94652" w:rsidRPr="007B68C5" w:rsidRDefault="00E94652" w:rsidP="0032735F">
            <w:pPr>
              <w:rPr>
                <w:rFonts w:ascii="Arial" w:hAnsi="Arial" w:cs="Arial"/>
                <w:sz w:val="22"/>
                <w:szCs w:val="22"/>
              </w:rPr>
            </w:pPr>
          </w:p>
        </w:tc>
        <w:tc>
          <w:tcPr>
            <w:tcW w:w="1800" w:type="dxa"/>
            <w:tcBorders>
              <w:left w:val="single" w:sz="2" w:space="0" w:color="auto"/>
              <w:bottom w:val="single" w:sz="12" w:space="0" w:color="auto"/>
              <w:right w:val="single" w:sz="12" w:space="0" w:color="auto"/>
            </w:tcBorders>
          </w:tcPr>
          <w:p w:rsidR="00E94652" w:rsidRPr="00686C99" w:rsidRDefault="00E94652" w:rsidP="0032735F">
            <w:pPr>
              <w:rPr>
                <w:rFonts w:ascii="Arial" w:hAnsi="Arial" w:cs="Arial"/>
                <w:sz w:val="8"/>
                <w:szCs w:val="8"/>
              </w:rPr>
            </w:pPr>
          </w:p>
        </w:tc>
        <w:tc>
          <w:tcPr>
            <w:tcW w:w="1440" w:type="dxa"/>
            <w:tcBorders>
              <w:left w:val="single" w:sz="12" w:space="0" w:color="auto"/>
              <w:bottom w:val="single" w:sz="12" w:space="0" w:color="auto"/>
              <w:right w:val="single" w:sz="2" w:space="0" w:color="auto"/>
            </w:tcBorders>
          </w:tcPr>
          <w:p w:rsidR="00E94652" w:rsidRPr="00686C99" w:rsidRDefault="00E94652" w:rsidP="0032735F">
            <w:pPr>
              <w:rPr>
                <w:rFonts w:ascii="Arial" w:hAnsi="Arial" w:cs="Arial"/>
                <w:sz w:val="8"/>
                <w:szCs w:val="8"/>
              </w:rPr>
            </w:pPr>
          </w:p>
        </w:tc>
        <w:tc>
          <w:tcPr>
            <w:tcW w:w="1440" w:type="dxa"/>
            <w:tcBorders>
              <w:left w:val="single" w:sz="2" w:space="0" w:color="auto"/>
              <w:bottom w:val="single" w:sz="12" w:space="0" w:color="auto"/>
              <w:right w:val="single" w:sz="2" w:space="0" w:color="auto"/>
            </w:tcBorders>
          </w:tcPr>
          <w:p w:rsidR="00E94652" w:rsidRPr="00686C99" w:rsidRDefault="00E94652" w:rsidP="0032735F">
            <w:pPr>
              <w:rPr>
                <w:rFonts w:ascii="Arial" w:hAnsi="Arial" w:cs="Arial"/>
                <w:sz w:val="8"/>
                <w:szCs w:val="8"/>
              </w:rPr>
            </w:pPr>
          </w:p>
        </w:tc>
        <w:tc>
          <w:tcPr>
            <w:tcW w:w="1440" w:type="dxa"/>
            <w:gridSpan w:val="2"/>
            <w:tcBorders>
              <w:left w:val="single" w:sz="2" w:space="0" w:color="auto"/>
              <w:bottom w:val="single" w:sz="12" w:space="0" w:color="auto"/>
              <w:right w:val="single" w:sz="2" w:space="0" w:color="auto"/>
            </w:tcBorders>
            <w:shd w:val="clear" w:color="auto" w:fill="EAEAEA"/>
          </w:tcPr>
          <w:p w:rsidR="00E94652" w:rsidRPr="00686C99" w:rsidRDefault="00E94652" w:rsidP="0032735F">
            <w:pPr>
              <w:rPr>
                <w:rFonts w:ascii="Arial" w:hAnsi="Arial" w:cs="Arial"/>
                <w:sz w:val="8"/>
                <w:szCs w:val="8"/>
              </w:rPr>
            </w:pPr>
          </w:p>
        </w:tc>
        <w:tc>
          <w:tcPr>
            <w:tcW w:w="1440" w:type="dxa"/>
            <w:gridSpan w:val="2"/>
            <w:tcBorders>
              <w:left w:val="single" w:sz="2" w:space="0" w:color="auto"/>
              <w:bottom w:val="single" w:sz="12" w:space="0" w:color="auto"/>
              <w:right w:val="single" w:sz="12" w:space="0" w:color="auto"/>
            </w:tcBorders>
            <w:shd w:val="clear" w:color="auto" w:fill="C0C0C0"/>
          </w:tcPr>
          <w:p w:rsidR="00E94652" w:rsidRPr="00686C99" w:rsidRDefault="00E94652" w:rsidP="0032735F">
            <w:pPr>
              <w:rPr>
                <w:rFonts w:ascii="Arial" w:hAnsi="Arial" w:cs="Arial"/>
                <w:sz w:val="8"/>
                <w:szCs w:val="8"/>
              </w:rPr>
            </w:pPr>
          </w:p>
        </w:tc>
      </w:tr>
      <w:tr w:rsidR="00E94652" w:rsidRPr="007B68C5" w:rsidTr="0032735F">
        <w:tc>
          <w:tcPr>
            <w:tcW w:w="540" w:type="dxa"/>
            <w:tcBorders>
              <w:top w:val="single" w:sz="12" w:space="0" w:color="auto"/>
            </w:tcBorders>
          </w:tcPr>
          <w:p w:rsidR="00E94652" w:rsidRPr="00686C99" w:rsidRDefault="00E94652" w:rsidP="0032735F">
            <w:pPr>
              <w:rPr>
                <w:rFonts w:ascii="Arial" w:hAnsi="Arial" w:cs="Arial"/>
                <w:sz w:val="8"/>
                <w:szCs w:val="8"/>
              </w:rPr>
            </w:pPr>
          </w:p>
        </w:tc>
        <w:tc>
          <w:tcPr>
            <w:tcW w:w="1800" w:type="dxa"/>
            <w:tcBorders>
              <w:top w:val="single" w:sz="12" w:space="0" w:color="auto"/>
              <w:right w:val="single" w:sz="12" w:space="0" w:color="auto"/>
            </w:tcBorders>
          </w:tcPr>
          <w:p w:rsidR="00E94652" w:rsidRPr="00686C99" w:rsidRDefault="00E94652" w:rsidP="0032735F">
            <w:pPr>
              <w:rPr>
                <w:rFonts w:ascii="Arial" w:hAnsi="Arial" w:cs="Arial"/>
                <w:sz w:val="8"/>
                <w:szCs w:val="8"/>
              </w:rPr>
            </w:pPr>
          </w:p>
        </w:tc>
        <w:tc>
          <w:tcPr>
            <w:tcW w:w="1440" w:type="dxa"/>
            <w:tcBorders>
              <w:left w:val="single" w:sz="12" w:space="0" w:color="auto"/>
              <w:right w:val="single" w:sz="2" w:space="0" w:color="auto"/>
            </w:tcBorders>
          </w:tcPr>
          <w:p w:rsidR="00E94652" w:rsidRPr="00686C99" w:rsidRDefault="00E94652" w:rsidP="0032735F">
            <w:pPr>
              <w:rPr>
                <w:rFonts w:ascii="Arial" w:hAnsi="Arial" w:cs="Arial"/>
                <w:sz w:val="8"/>
                <w:szCs w:val="8"/>
              </w:rPr>
            </w:pPr>
          </w:p>
        </w:tc>
        <w:tc>
          <w:tcPr>
            <w:tcW w:w="1440" w:type="dxa"/>
            <w:tcBorders>
              <w:left w:val="single" w:sz="2" w:space="0" w:color="auto"/>
              <w:right w:val="single" w:sz="2" w:space="0" w:color="auto"/>
            </w:tcBorders>
          </w:tcPr>
          <w:p w:rsidR="00E94652" w:rsidRPr="00686C99" w:rsidRDefault="00E94652" w:rsidP="0032735F">
            <w:pPr>
              <w:rPr>
                <w:rFonts w:ascii="Arial" w:hAnsi="Arial" w:cs="Arial"/>
                <w:sz w:val="8"/>
                <w:szCs w:val="8"/>
              </w:rPr>
            </w:pPr>
          </w:p>
        </w:tc>
        <w:tc>
          <w:tcPr>
            <w:tcW w:w="1440" w:type="dxa"/>
            <w:gridSpan w:val="2"/>
            <w:tcBorders>
              <w:left w:val="single" w:sz="2" w:space="0" w:color="auto"/>
              <w:right w:val="single" w:sz="2" w:space="0" w:color="auto"/>
            </w:tcBorders>
          </w:tcPr>
          <w:p w:rsidR="00E94652" w:rsidRPr="00686C99" w:rsidRDefault="00E94652" w:rsidP="0032735F">
            <w:pPr>
              <w:rPr>
                <w:rFonts w:ascii="Arial" w:hAnsi="Arial" w:cs="Arial"/>
                <w:sz w:val="8"/>
                <w:szCs w:val="8"/>
              </w:rPr>
            </w:pPr>
          </w:p>
        </w:tc>
        <w:tc>
          <w:tcPr>
            <w:tcW w:w="1440" w:type="dxa"/>
            <w:gridSpan w:val="2"/>
            <w:tcBorders>
              <w:left w:val="single" w:sz="2" w:space="0" w:color="auto"/>
              <w:right w:val="single" w:sz="12" w:space="0" w:color="auto"/>
            </w:tcBorders>
          </w:tcPr>
          <w:p w:rsidR="00E94652" w:rsidRPr="00686C99" w:rsidRDefault="00E94652" w:rsidP="0032735F">
            <w:pPr>
              <w:rPr>
                <w:rFonts w:ascii="Arial" w:hAnsi="Arial" w:cs="Arial"/>
                <w:sz w:val="8"/>
                <w:szCs w:val="8"/>
              </w:rPr>
            </w:pPr>
          </w:p>
        </w:tc>
      </w:tr>
      <w:tr w:rsidR="00E94652" w:rsidRPr="007B68C5" w:rsidTr="0032735F">
        <w:tc>
          <w:tcPr>
            <w:tcW w:w="540" w:type="dxa"/>
          </w:tcPr>
          <w:p w:rsidR="00E94652" w:rsidRPr="007B68C5" w:rsidRDefault="00E94652" w:rsidP="0032735F">
            <w:pPr>
              <w:rPr>
                <w:rFonts w:ascii="Arial" w:hAnsi="Arial" w:cs="Arial"/>
                <w:sz w:val="22"/>
                <w:szCs w:val="22"/>
              </w:rPr>
            </w:pPr>
          </w:p>
        </w:tc>
        <w:tc>
          <w:tcPr>
            <w:tcW w:w="1800" w:type="dxa"/>
            <w:tcBorders>
              <w:right w:val="single" w:sz="12" w:space="0" w:color="auto"/>
            </w:tcBorders>
          </w:tcPr>
          <w:p w:rsidR="00E94652" w:rsidRPr="007B68C5" w:rsidRDefault="00E94652" w:rsidP="0032735F">
            <w:pPr>
              <w:rPr>
                <w:rFonts w:ascii="Arial" w:hAnsi="Arial" w:cs="Arial"/>
                <w:sz w:val="22"/>
                <w:szCs w:val="22"/>
              </w:rPr>
            </w:pPr>
          </w:p>
        </w:tc>
        <w:tc>
          <w:tcPr>
            <w:tcW w:w="1440" w:type="dxa"/>
            <w:tcBorders>
              <w:left w:val="single" w:sz="12" w:space="0" w:color="auto"/>
              <w:right w:val="single" w:sz="2" w:space="0" w:color="auto"/>
            </w:tcBorders>
          </w:tcPr>
          <w:p w:rsidR="00E94652" w:rsidRPr="0007489E" w:rsidRDefault="00E94652" w:rsidP="0032735F">
            <w:pPr>
              <w:rPr>
                <w:rFonts w:ascii="Arial" w:hAnsi="Arial" w:cs="Arial"/>
                <w:sz w:val="20"/>
                <w:szCs w:val="20"/>
              </w:rPr>
            </w:pPr>
            <w:r w:rsidRPr="0007489E">
              <w:rPr>
                <w:rFonts w:ascii="Arial" w:hAnsi="Arial" w:cs="Arial"/>
                <w:sz w:val="20"/>
                <w:szCs w:val="20"/>
              </w:rPr>
              <w:t>Marginal</w:t>
            </w:r>
          </w:p>
        </w:tc>
        <w:tc>
          <w:tcPr>
            <w:tcW w:w="1440" w:type="dxa"/>
            <w:tcBorders>
              <w:left w:val="single" w:sz="2" w:space="0" w:color="auto"/>
              <w:right w:val="single" w:sz="2" w:space="0" w:color="auto"/>
            </w:tcBorders>
          </w:tcPr>
          <w:p w:rsidR="00E94652" w:rsidRPr="0007489E" w:rsidRDefault="00E94652" w:rsidP="0032735F">
            <w:pPr>
              <w:rPr>
                <w:rFonts w:ascii="Arial" w:hAnsi="Arial" w:cs="Arial"/>
                <w:sz w:val="20"/>
                <w:szCs w:val="20"/>
              </w:rPr>
            </w:pPr>
            <w:r w:rsidRPr="0007489E">
              <w:rPr>
                <w:rFonts w:ascii="Arial" w:hAnsi="Arial" w:cs="Arial"/>
                <w:sz w:val="20"/>
                <w:szCs w:val="20"/>
              </w:rPr>
              <w:t>Minor</w:t>
            </w:r>
          </w:p>
        </w:tc>
        <w:tc>
          <w:tcPr>
            <w:tcW w:w="1440" w:type="dxa"/>
            <w:gridSpan w:val="2"/>
            <w:tcBorders>
              <w:left w:val="single" w:sz="2" w:space="0" w:color="auto"/>
              <w:right w:val="single" w:sz="2" w:space="0" w:color="auto"/>
            </w:tcBorders>
          </w:tcPr>
          <w:p w:rsidR="00E94652" w:rsidRPr="0007489E" w:rsidRDefault="00E94652" w:rsidP="0032735F">
            <w:pPr>
              <w:rPr>
                <w:rFonts w:ascii="Arial" w:hAnsi="Arial" w:cs="Arial"/>
                <w:sz w:val="20"/>
                <w:szCs w:val="20"/>
              </w:rPr>
            </w:pPr>
            <w:r w:rsidRPr="0007489E">
              <w:rPr>
                <w:rFonts w:ascii="Arial" w:hAnsi="Arial" w:cs="Arial"/>
                <w:sz w:val="20"/>
                <w:szCs w:val="20"/>
              </w:rPr>
              <w:t>Intermediate</w:t>
            </w:r>
          </w:p>
        </w:tc>
        <w:tc>
          <w:tcPr>
            <w:tcW w:w="1440" w:type="dxa"/>
            <w:gridSpan w:val="2"/>
            <w:tcBorders>
              <w:left w:val="single" w:sz="2" w:space="0" w:color="auto"/>
              <w:right w:val="single" w:sz="12" w:space="0" w:color="auto"/>
            </w:tcBorders>
          </w:tcPr>
          <w:p w:rsidR="00E94652" w:rsidRPr="0007489E" w:rsidRDefault="00E94652" w:rsidP="0032735F">
            <w:pPr>
              <w:rPr>
                <w:rFonts w:ascii="Arial" w:hAnsi="Arial" w:cs="Arial"/>
                <w:sz w:val="20"/>
                <w:szCs w:val="20"/>
              </w:rPr>
            </w:pPr>
            <w:r w:rsidRPr="0007489E">
              <w:rPr>
                <w:rFonts w:ascii="Arial" w:hAnsi="Arial" w:cs="Arial"/>
                <w:sz w:val="20"/>
                <w:szCs w:val="20"/>
              </w:rPr>
              <w:t>Major</w:t>
            </w:r>
          </w:p>
        </w:tc>
      </w:tr>
      <w:tr w:rsidR="00E94652" w:rsidRPr="007B68C5" w:rsidTr="0032735F">
        <w:tc>
          <w:tcPr>
            <w:tcW w:w="540" w:type="dxa"/>
          </w:tcPr>
          <w:p w:rsidR="00E94652" w:rsidRPr="00686C99" w:rsidRDefault="00E94652" w:rsidP="0032735F">
            <w:pPr>
              <w:rPr>
                <w:rFonts w:ascii="Arial" w:hAnsi="Arial" w:cs="Arial"/>
                <w:sz w:val="8"/>
                <w:szCs w:val="8"/>
              </w:rPr>
            </w:pPr>
          </w:p>
        </w:tc>
        <w:tc>
          <w:tcPr>
            <w:tcW w:w="1800" w:type="dxa"/>
            <w:tcBorders>
              <w:right w:val="single" w:sz="12" w:space="0" w:color="auto"/>
            </w:tcBorders>
          </w:tcPr>
          <w:p w:rsidR="00E94652" w:rsidRPr="00686C99" w:rsidRDefault="00E94652" w:rsidP="0032735F">
            <w:pPr>
              <w:rPr>
                <w:rFonts w:ascii="Arial" w:hAnsi="Arial" w:cs="Arial"/>
                <w:sz w:val="8"/>
                <w:szCs w:val="8"/>
              </w:rPr>
            </w:pPr>
          </w:p>
        </w:tc>
        <w:tc>
          <w:tcPr>
            <w:tcW w:w="1440" w:type="dxa"/>
            <w:tcBorders>
              <w:left w:val="single" w:sz="12" w:space="0" w:color="auto"/>
              <w:bottom w:val="single" w:sz="2" w:space="0" w:color="auto"/>
              <w:right w:val="single" w:sz="2" w:space="0" w:color="auto"/>
            </w:tcBorders>
          </w:tcPr>
          <w:p w:rsidR="00E94652" w:rsidRPr="00686C99" w:rsidRDefault="00E94652" w:rsidP="0032735F">
            <w:pPr>
              <w:rPr>
                <w:rFonts w:ascii="Arial" w:hAnsi="Arial" w:cs="Arial"/>
                <w:sz w:val="8"/>
                <w:szCs w:val="8"/>
              </w:rPr>
            </w:pPr>
          </w:p>
        </w:tc>
        <w:tc>
          <w:tcPr>
            <w:tcW w:w="1440" w:type="dxa"/>
            <w:tcBorders>
              <w:left w:val="single" w:sz="2" w:space="0" w:color="auto"/>
              <w:bottom w:val="single" w:sz="2" w:space="0" w:color="auto"/>
              <w:right w:val="single" w:sz="2" w:space="0" w:color="auto"/>
            </w:tcBorders>
          </w:tcPr>
          <w:p w:rsidR="00E94652" w:rsidRPr="00686C99" w:rsidRDefault="00E94652" w:rsidP="0032735F">
            <w:pPr>
              <w:rPr>
                <w:rFonts w:ascii="Arial" w:hAnsi="Arial" w:cs="Arial"/>
                <w:sz w:val="8"/>
                <w:szCs w:val="8"/>
              </w:rPr>
            </w:pPr>
          </w:p>
        </w:tc>
        <w:tc>
          <w:tcPr>
            <w:tcW w:w="1440" w:type="dxa"/>
            <w:gridSpan w:val="2"/>
            <w:tcBorders>
              <w:left w:val="single" w:sz="2" w:space="0" w:color="auto"/>
              <w:bottom w:val="single" w:sz="2" w:space="0" w:color="auto"/>
              <w:right w:val="single" w:sz="2" w:space="0" w:color="auto"/>
            </w:tcBorders>
          </w:tcPr>
          <w:p w:rsidR="00E94652" w:rsidRPr="00686C99" w:rsidRDefault="00E94652" w:rsidP="0032735F">
            <w:pPr>
              <w:rPr>
                <w:rFonts w:ascii="Arial" w:hAnsi="Arial" w:cs="Arial"/>
                <w:sz w:val="8"/>
                <w:szCs w:val="8"/>
              </w:rPr>
            </w:pPr>
          </w:p>
        </w:tc>
        <w:tc>
          <w:tcPr>
            <w:tcW w:w="1440" w:type="dxa"/>
            <w:gridSpan w:val="2"/>
            <w:tcBorders>
              <w:left w:val="single" w:sz="2" w:space="0" w:color="auto"/>
              <w:bottom w:val="single" w:sz="2" w:space="0" w:color="auto"/>
              <w:right w:val="single" w:sz="12" w:space="0" w:color="auto"/>
            </w:tcBorders>
          </w:tcPr>
          <w:p w:rsidR="00E94652" w:rsidRPr="00686C99" w:rsidRDefault="00E94652" w:rsidP="0032735F">
            <w:pPr>
              <w:rPr>
                <w:rFonts w:ascii="Arial" w:hAnsi="Arial" w:cs="Arial"/>
                <w:sz w:val="8"/>
                <w:szCs w:val="8"/>
              </w:rPr>
            </w:pPr>
          </w:p>
        </w:tc>
      </w:tr>
      <w:tr w:rsidR="00E94652" w:rsidRPr="007B68C5" w:rsidTr="0032735F">
        <w:tc>
          <w:tcPr>
            <w:tcW w:w="540" w:type="dxa"/>
          </w:tcPr>
          <w:p w:rsidR="00E94652" w:rsidRPr="00E27B3C" w:rsidRDefault="00E94652" w:rsidP="0032735F">
            <w:pPr>
              <w:rPr>
                <w:rFonts w:ascii="Arial" w:hAnsi="Arial" w:cs="Arial"/>
                <w:sz w:val="8"/>
                <w:szCs w:val="8"/>
              </w:rPr>
            </w:pPr>
          </w:p>
        </w:tc>
        <w:tc>
          <w:tcPr>
            <w:tcW w:w="1800" w:type="dxa"/>
            <w:tcBorders>
              <w:right w:val="single" w:sz="12" w:space="0" w:color="auto"/>
            </w:tcBorders>
          </w:tcPr>
          <w:p w:rsidR="00E94652" w:rsidRPr="00E27B3C" w:rsidRDefault="00E94652" w:rsidP="0032735F">
            <w:pPr>
              <w:rPr>
                <w:rFonts w:ascii="Arial" w:hAnsi="Arial" w:cs="Arial"/>
                <w:sz w:val="8"/>
                <w:szCs w:val="8"/>
              </w:rPr>
            </w:pPr>
          </w:p>
        </w:tc>
        <w:tc>
          <w:tcPr>
            <w:tcW w:w="1440" w:type="dxa"/>
            <w:tcBorders>
              <w:top w:val="single" w:sz="2" w:space="0" w:color="auto"/>
              <w:left w:val="single" w:sz="12" w:space="0" w:color="auto"/>
            </w:tcBorders>
          </w:tcPr>
          <w:p w:rsidR="00E94652" w:rsidRPr="00E27B3C" w:rsidRDefault="00E94652" w:rsidP="0032735F">
            <w:pPr>
              <w:rPr>
                <w:rFonts w:ascii="Arial" w:hAnsi="Arial" w:cs="Arial"/>
                <w:sz w:val="8"/>
                <w:szCs w:val="8"/>
              </w:rPr>
            </w:pPr>
          </w:p>
        </w:tc>
        <w:tc>
          <w:tcPr>
            <w:tcW w:w="1440" w:type="dxa"/>
            <w:tcBorders>
              <w:top w:val="single" w:sz="2" w:space="0" w:color="auto"/>
            </w:tcBorders>
          </w:tcPr>
          <w:p w:rsidR="00E94652" w:rsidRPr="00E27B3C" w:rsidRDefault="00E94652" w:rsidP="0032735F">
            <w:pPr>
              <w:rPr>
                <w:rFonts w:ascii="Arial" w:hAnsi="Arial" w:cs="Arial"/>
                <w:sz w:val="8"/>
                <w:szCs w:val="8"/>
              </w:rPr>
            </w:pPr>
          </w:p>
        </w:tc>
        <w:tc>
          <w:tcPr>
            <w:tcW w:w="1440" w:type="dxa"/>
            <w:gridSpan w:val="2"/>
            <w:tcBorders>
              <w:top w:val="single" w:sz="2" w:space="0" w:color="auto"/>
            </w:tcBorders>
          </w:tcPr>
          <w:p w:rsidR="00E94652" w:rsidRPr="00E27B3C" w:rsidRDefault="00E94652" w:rsidP="0032735F">
            <w:pPr>
              <w:rPr>
                <w:rFonts w:ascii="Arial" w:hAnsi="Arial" w:cs="Arial"/>
                <w:sz w:val="8"/>
                <w:szCs w:val="8"/>
              </w:rPr>
            </w:pPr>
          </w:p>
        </w:tc>
        <w:tc>
          <w:tcPr>
            <w:tcW w:w="1440" w:type="dxa"/>
            <w:gridSpan w:val="2"/>
            <w:tcBorders>
              <w:top w:val="single" w:sz="2" w:space="0" w:color="auto"/>
              <w:right w:val="single" w:sz="12" w:space="0" w:color="auto"/>
            </w:tcBorders>
          </w:tcPr>
          <w:p w:rsidR="00E94652" w:rsidRPr="00E27B3C" w:rsidRDefault="00E94652" w:rsidP="0032735F">
            <w:pPr>
              <w:rPr>
                <w:rFonts w:ascii="Arial" w:hAnsi="Arial" w:cs="Arial"/>
                <w:sz w:val="8"/>
                <w:szCs w:val="8"/>
              </w:rPr>
            </w:pPr>
          </w:p>
        </w:tc>
      </w:tr>
      <w:tr w:rsidR="00E94652" w:rsidRPr="007B68C5" w:rsidTr="0032735F">
        <w:tc>
          <w:tcPr>
            <w:tcW w:w="540" w:type="dxa"/>
          </w:tcPr>
          <w:p w:rsidR="00E94652" w:rsidRPr="007B68C5" w:rsidRDefault="00E94652" w:rsidP="0032735F">
            <w:pPr>
              <w:rPr>
                <w:rFonts w:ascii="Arial" w:hAnsi="Arial" w:cs="Arial"/>
                <w:sz w:val="22"/>
                <w:szCs w:val="22"/>
              </w:rPr>
            </w:pPr>
          </w:p>
        </w:tc>
        <w:tc>
          <w:tcPr>
            <w:tcW w:w="1800" w:type="dxa"/>
            <w:tcBorders>
              <w:right w:val="single" w:sz="12" w:space="0" w:color="auto"/>
            </w:tcBorders>
          </w:tcPr>
          <w:p w:rsidR="00E94652" w:rsidRPr="007B68C5" w:rsidRDefault="00E94652" w:rsidP="0032735F">
            <w:pPr>
              <w:rPr>
                <w:rFonts w:ascii="Arial" w:hAnsi="Arial" w:cs="Arial"/>
                <w:sz w:val="22"/>
                <w:szCs w:val="22"/>
              </w:rPr>
            </w:pPr>
          </w:p>
        </w:tc>
        <w:tc>
          <w:tcPr>
            <w:tcW w:w="5760" w:type="dxa"/>
            <w:gridSpan w:val="6"/>
            <w:tcBorders>
              <w:left w:val="single" w:sz="12" w:space="0" w:color="auto"/>
              <w:right w:val="single" w:sz="12" w:space="0" w:color="auto"/>
            </w:tcBorders>
          </w:tcPr>
          <w:p w:rsidR="00E94652" w:rsidRPr="0007489E" w:rsidRDefault="00E94652" w:rsidP="0032735F">
            <w:pPr>
              <w:jc w:val="center"/>
              <w:rPr>
                <w:rFonts w:ascii="Arial" w:hAnsi="Arial" w:cs="Arial"/>
                <w:b/>
                <w:sz w:val="22"/>
                <w:szCs w:val="22"/>
              </w:rPr>
            </w:pPr>
            <w:r w:rsidRPr="0007489E">
              <w:rPr>
                <w:rFonts w:ascii="Arial" w:hAnsi="Arial" w:cs="Arial"/>
                <w:b/>
                <w:sz w:val="22"/>
                <w:szCs w:val="22"/>
              </w:rPr>
              <w:t>CONSEQUENCES</w:t>
            </w:r>
          </w:p>
        </w:tc>
      </w:tr>
      <w:tr w:rsidR="00E94652" w:rsidRPr="007B68C5" w:rsidTr="0032735F">
        <w:tc>
          <w:tcPr>
            <w:tcW w:w="540" w:type="dxa"/>
          </w:tcPr>
          <w:p w:rsidR="00E94652" w:rsidRPr="00E27B3C" w:rsidRDefault="00E94652" w:rsidP="0032735F">
            <w:pPr>
              <w:rPr>
                <w:rFonts w:ascii="Arial" w:hAnsi="Arial" w:cs="Arial"/>
                <w:sz w:val="4"/>
                <w:szCs w:val="4"/>
              </w:rPr>
            </w:pPr>
          </w:p>
        </w:tc>
        <w:tc>
          <w:tcPr>
            <w:tcW w:w="1800" w:type="dxa"/>
            <w:tcBorders>
              <w:right w:val="single" w:sz="12" w:space="0" w:color="auto"/>
            </w:tcBorders>
          </w:tcPr>
          <w:p w:rsidR="00E94652" w:rsidRPr="00E27B3C" w:rsidRDefault="00E94652" w:rsidP="0032735F">
            <w:pPr>
              <w:rPr>
                <w:rFonts w:ascii="Arial" w:hAnsi="Arial" w:cs="Arial"/>
                <w:sz w:val="4"/>
                <w:szCs w:val="4"/>
              </w:rPr>
            </w:pPr>
          </w:p>
        </w:tc>
        <w:tc>
          <w:tcPr>
            <w:tcW w:w="1440" w:type="dxa"/>
            <w:tcBorders>
              <w:left w:val="single" w:sz="12" w:space="0" w:color="auto"/>
              <w:bottom w:val="single" w:sz="12" w:space="0" w:color="auto"/>
            </w:tcBorders>
          </w:tcPr>
          <w:p w:rsidR="00E94652" w:rsidRPr="00E27B3C" w:rsidRDefault="00E94652" w:rsidP="0032735F">
            <w:pPr>
              <w:rPr>
                <w:rFonts w:ascii="Arial" w:hAnsi="Arial" w:cs="Arial"/>
                <w:sz w:val="4"/>
                <w:szCs w:val="4"/>
              </w:rPr>
            </w:pPr>
          </w:p>
        </w:tc>
        <w:tc>
          <w:tcPr>
            <w:tcW w:w="1620" w:type="dxa"/>
            <w:gridSpan w:val="2"/>
            <w:tcBorders>
              <w:bottom w:val="single" w:sz="12" w:space="0" w:color="auto"/>
            </w:tcBorders>
          </w:tcPr>
          <w:p w:rsidR="00E94652" w:rsidRPr="00E27B3C" w:rsidRDefault="00E94652" w:rsidP="0032735F">
            <w:pPr>
              <w:rPr>
                <w:rFonts w:ascii="Arial" w:hAnsi="Arial" w:cs="Arial"/>
                <w:sz w:val="4"/>
                <w:szCs w:val="4"/>
              </w:rPr>
            </w:pPr>
          </w:p>
        </w:tc>
        <w:tc>
          <w:tcPr>
            <w:tcW w:w="1593" w:type="dxa"/>
            <w:gridSpan w:val="2"/>
            <w:tcBorders>
              <w:bottom w:val="single" w:sz="12" w:space="0" w:color="auto"/>
            </w:tcBorders>
          </w:tcPr>
          <w:p w:rsidR="00E94652" w:rsidRPr="00E27B3C" w:rsidRDefault="00E94652" w:rsidP="0032735F">
            <w:pPr>
              <w:rPr>
                <w:rFonts w:ascii="Arial" w:hAnsi="Arial" w:cs="Arial"/>
                <w:sz w:val="4"/>
                <w:szCs w:val="4"/>
              </w:rPr>
            </w:pPr>
          </w:p>
        </w:tc>
        <w:tc>
          <w:tcPr>
            <w:tcW w:w="1107" w:type="dxa"/>
            <w:tcBorders>
              <w:bottom w:val="single" w:sz="12" w:space="0" w:color="auto"/>
              <w:right w:val="single" w:sz="12" w:space="0" w:color="auto"/>
            </w:tcBorders>
          </w:tcPr>
          <w:p w:rsidR="00E94652" w:rsidRPr="00E27B3C" w:rsidRDefault="00E94652" w:rsidP="0032735F">
            <w:pPr>
              <w:rPr>
                <w:rFonts w:ascii="Arial" w:hAnsi="Arial" w:cs="Arial"/>
                <w:sz w:val="4"/>
                <w:szCs w:val="4"/>
              </w:rPr>
            </w:pPr>
          </w:p>
        </w:tc>
      </w:tr>
    </w:tbl>
    <w:p w:rsidR="00E94652" w:rsidRDefault="00E94652" w:rsidP="00E94652">
      <w:pPr>
        <w:pStyle w:val="Caption"/>
      </w:pPr>
      <w:bookmarkStart w:id="4" w:name="_Ref242263353"/>
      <w:r>
        <w:t xml:space="preserve">Figure </w:t>
      </w:r>
      <w:r>
        <w:fldChar w:fldCharType="begin"/>
      </w:r>
      <w:r>
        <w:instrText xml:space="preserve"> SEQ Figure \* ARABIC </w:instrText>
      </w:r>
      <w:r>
        <w:fldChar w:fldCharType="separate"/>
      </w:r>
      <w:r>
        <w:rPr>
          <w:noProof/>
        </w:rPr>
        <w:t>1</w:t>
      </w:r>
      <w:r>
        <w:fldChar w:fldCharType="end"/>
      </w:r>
      <w:bookmarkEnd w:id="4"/>
      <w:r>
        <w:tab/>
        <w:t xml:space="preserve">The OGTR Risk Estimate Matrix </w:t>
      </w:r>
      <w:r>
        <w:fldChar w:fldCharType="begin"/>
      </w:r>
      <w:r>
        <w:instrText xml:space="preserve"> ADDIN REFMGR.CITE &lt;Refman&gt;&lt;Cite&gt;&lt;Author&gt;OGTR&lt;/Author&gt;&lt;Year&gt;2007&lt;/Year&gt;&lt;RecNum&gt;12991&lt;/RecNum&gt;&lt;IDText&gt;Risk Analysis Framework&lt;/IDText&gt;&lt;MDL Ref_Type="Report"&gt;&lt;Ref_Type&gt;Report&lt;/Ref_Type&gt;&lt;Ref_ID&gt;12991&lt;/Ref_ID&gt;&lt;Title_Primary&gt;Risk Analysis Framework&lt;/Title_Primary&gt;&lt;Authors_Primary&gt;OGTR&lt;/Authors_Primary&gt;&lt;Date_Primary&gt;2007&lt;/Date_Primary&gt;&lt;Keywords&gt;risk&lt;/Keywords&gt;&lt;Keywords&gt;analysis&lt;/Keywords&gt;&lt;Reprint&gt;In File&lt;/Reprint&gt;&lt;Publisher&gt;Version 2.2, Document produced by the Australian Government Office of the Gene Technology Regulator, available online from http://www.ogtr.gov.au/&lt;/Publisher&gt;&lt;Web_URL&gt;&lt;u&gt;http://www.ogtr.gov.au/&lt;/u&gt;&lt;/Web_URL&gt;&lt;ZZ_WorkformID&gt;24&lt;/ZZ_WorkformID&gt;&lt;/MDL&gt;&lt;/Cite&gt;&lt;/Refman&gt;</w:instrText>
      </w:r>
      <w:r>
        <w:fldChar w:fldCharType="separate"/>
      </w:r>
      <w:r>
        <w:t>(OGTR 2007)</w:t>
      </w:r>
      <w:r>
        <w:fldChar w:fldCharType="end"/>
      </w:r>
    </w:p>
    <w:p w:rsidR="00E94652" w:rsidRDefault="00E94652" w:rsidP="00E94652">
      <w:pPr>
        <w:pStyle w:val="Legend"/>
      </w:pPr>
      <w:r>
        <w:t>Risk Estimate Matrix: A negligible risk is considered to be insubstantial with no present need to invoke actions for mitigation. A low risk is considered to be minimal but may invoke actions for mitigation beyond normal practices. A moderate risk is considered to be of marked concern that will necessitate actions for mitigation that need to be demonstrated as effective. A high risk is considered to be unacceptable unless actions for mitigation are highly feasible and effective.</w:t>
      </w:r>
    </w:p>
    <w:p w:rsidR="00E94652" w:rsidRPr="00D030BF" w:rsidRDefault="00E94652" w:rsidP="00E94652">
      <w:pPr>
        <w:pStyle w:val="Paranonumbers"/>
      </w:pPr>
      <w:r w:rsidRPr="00D030BF">
        <w:t xml:space="preserve">The characterisation of the fourteen events in relation to both the magnitude and probability of harm, in the context of the control measures proposed by the applicant, gave rise to three identified risks that required further assessment to determine their level of harm to people or the environment. </w:t>
      </w:r>
    </w:p>
    <w:p w:rsidR="00E94652" w:rsidRPr="00D030BF" w:rsidRDefault="00E94652" w:rsidP="00E94652">
      <w:pPr>
        <w:pStyle w:val="Paranonumbers"/>
      </w:pPr>
      <w:r w:rsidRPr="00D030BF">
        <w:t>The consequence and likelihood assessments used to derive risk estimates for the three Identified Risks are summarised in Table 1 (the detailed risk assessments are in Chapters 3 and 4 of the RARMP). More information on the remaining events that were considered not to give rise to an identified risk is provided in Chapter 2. If a risk is estimated to be higher than negligible, risk treatment measures may be required to protect the health and safety of people or the environment.</w:t>
      </w:r>
    </w:p>
    <w:p w:rsidR="00E94652" w:rsidRDefault="00E94652" w:rsidP="00E94652">
      <w:pPr>
        <w:pStyle w:val="Caption"/>
        <w:keepNext/>
      </w:pPr>
      <w:bookmarkStart w:id="5" w:name="_Ref243993351"/>
      <w:r>
        <w:br w:type="page"/>
      </w:r>
      <w:r>
        <w:lastRenderedPageBreak/>
        <w:t xml:space="preserve">Table </w:t>
      </w:r>
      <w:r>
        <w:fldChar w:fldCharType="begin"/>
      </w:r>
      <w:r>
        <w:instrText xml:space="preserve"> SEQ Table \* ARABIC </w:instrText>
      </w:r>
      <w:r>
        <w:fldChar w:fldCharType="separate"/>
      </w:r>
      <w:r>
        <w:rPr>
          <w:noProof/>
        </w:rPr>
        <w:t>1</w:t>
      </w:r>
      <w:r>
        <w:fldChar w:fldCharType="end"/>
      </w:r>
      <w:bookmarkEnd w:id="5"/>
      <w:r>
        <w:tab/>
        <w:t>Summary table for the risk assessment</w:t>
      </w:r>
    </w:p>
    <w:tbl>
      <w:tblPr>
        <w:tblStyle w:val="RARMPtable"/>
        <w:tblW w:w="9180" w:type="dxa"/>
        <w:tblLayout w:type="fixed"/>
        <w:tblLook w:val="01E0" w:firstRow="1" w:lastRow="1" w:firstColumn="1" w:lastColumn="1" w:noHBand="0" w:noVBand="0"/>
        <w:tblCaption w:val="Table 1 Summary table for the risk assessment"/>
        <w:tblDescription w:val="This table contains 6 columns"/>
      </w:tblPr>
      <w:tblGrid>
        <w:gridCol w:w="1140"/>
        <w:gridCol w:w="1257"/>
        <w:gridCol w:w="2160"/>
        <w:gridCol w:w="2700"/>
        <w:gridCol w:w="900"/>
        <w:gridCol w:w="1023"/>
      </w:tblGrid>
      <w:tr w:rsidR="00E94652" w:rsidRPr="0029507A" w:rsidTr="0032735F">
        <w:trPr>
          <w:cnfStyle w:val="100000000000" w:firstRow="1" w:lastRow="0" w:firstColumn="0" w:lastColumn="0" w:oddVBand="0" w:evenVBand="0" w:oddHBand="0" w:evenHBand="0" w:firstRowFirstColumn="0" w:firstRowLastColumn="0" w:lastRowFirstColumn="0" w:lastRowLastColumn="0"/>
          <w:tblHeader/>
        </w:trPr>
        <w:tc>
          <w:tcPr>
            <w:tcW w:w="1140" w:type="dxa"/>
            <w:tcMar>
              <w:left w:w="57" w:type="dxa"/>
              <w:right w:w="57" w:type="dxa"/>
            </w:tcMar>
          </w:tcPr>
          <w:p w:rsidR="00E94652" w:rsidRPr="0029507A" w:rsidRDefault="00E94652" w:rsidP="0032735F">
            <w:r w:rsidRPr="0029507A">
              <w:t>Potential adverse outcome</w:t>
            </w:r>
          </w:p>
        </w:tc>
        <w:tc>
          <w:tcPr>
            <w:tcW w:w="1257" w:type="dxa"/>
            <w:tcMar>
              <w:left w:w="57" w:type="dxa"/>
              <w:right w:w="57" w:type="dxa"/>
            </w:tcMar>
          </w:tcPr>
          <w:p w:rsidR="00E94652" w:rsidRPr="0029507A" w:rsidRDefault="00E94652" w:rsidP="0032735F">
            <w:r w:rsidRPr="0029507A">
              <w:t xml:space="preserve">Event that may give rise to the adverse outcome </w:t>
            </w:r>
          </w:p>
        </w:tc>
        <w:tc>
          <w:tcPr>
            <w:tcW w:w="2160" w:type="dxa"/>
            <w:tcMar>
              <w:left w:w="57" w:type="dxa"/>
              <w:right w:w="57" w:type="dxa"/>
            </w:tcMar>
          </w:tcPr>
          <w:p w:rsidR="00E94652" w:rsidRPr="0029507A" w:rsidRDefault="00E94652" w:rsidP="0032735F">
            <w:r w:rsidRPr="0029507A">
              <w:t>Consequence assessment</w:t>
            </w:r>
          </w:p>
        </w:tc>
        <w:tc>
          <w:tcPr>
            <w:tcW w:w="2700" w:type="dxa"/>
            <w:tcMar>
              <w:left w:w="57" w:type="dxa"/>
              <w:right w:w="57" w:type="dxa"/>
            </w:tcMar>
          </w:tcPr>
          <w:p w:rsidR="00E94652" w:rsidRPr="0029507A" w:rsidRDefault="00E94652" w:rsidP="0032735F">
            <w:r w:rsidRPr="0029507A">
              <w:t>Likelihood assessment</w:t>
            </w:r>
          </w:p>
        </w:tc>
        <w:tc>
          <w:tcPr>
            <w:tcW w:w="900" w:type="dxa"/>
            <w:tcMar>
              <w:left w:w="57" w:type="dxa"/>
              <w:right w:w="57" w:type="dxa"/>
            </w:tcMar>
          </w:tcPr>
          <w:p w:rsidR="00E94652" w:rsidRPr="0029507A" w:rsidRDefault="00E94652" w:rsidP="0032735F">
            <w:r>
              <w:t xml:space="preserve">Risk </w:t>
            </w:r>
            <w:r w:rsidRPr="0029507A">
              <w:t>estimate</w:t>
            </w:r>
          </w:p>
        </w:tc>
        <w:tc>
          <w:tcPr>
            <w:tcW w:w="1023" w:type="dxa"/>
            <w:tcMar>
              <w:left w:w="57" w:type="dxa"/>
              <w:right w:w="57" w:type="dxa"/>
            </w:tcMar>
          </w:tcPr>
          <w:p w:rsidR="00E94652" w:rsidRPr="0029507A" w:rsidRDefault="00E94652" w:rsidP="0032735F">
            <w:r w:rsidRPr="0029507A">
              <w:t>Risk treatment required?</w:t>
            </w:r>
          </w:p>
        </w:tc>
      </w:tr>
      <w:tr w:rsidR="00E94652" w:rsidRPr="0029507A" w:rsidTr="0032735F">
        <w:tc>
          <w:tcPr>
            <w:tcW w:w="1140" w:type="dxa"/>
            <w:tcMar>
              <w:left w:w="57" w:type="dxa"/>
              <w:right w:w="57" w:type="dxa"/>
            </w:tcMar>
          </w:tcPr>
          <w:p w:rsidR="00E94652" w:rsidRPr="0029507A" w:rsidRDefault="00E94652" w:rsidP="0032735F">
            <w:r w:rsidRPr="00887C76">
              <w:rPr>
                <w:b/>
              </w:rPr>
              <w:t>Toxicity to non-target invertebrates</w:t>
            </w:r>
            <w:r w:rsidRPr="0029507A">
              <w:t xml:space="preserve"> (see Chapter 3)</w:t>
            </w:r>
          </w:p>
        </w:tc>
        <w:tc>
          <w:tcPr>
            <w:tcW w:w="1257" w:type="dxa"/>
            <w:tcMar>
              <w:left w:w="57" w:type="dxa"/>
              <w:right w:w="57" w:type="dxa"/>
            </w:tcMar>
          </w:tcPr>
          <w:p w:rsidR="00E94652" w:rsidRPr="002838E7" w:rsidRDefault="00E94652" w:rsidP="0032735F">
            <w:pPr>
              <w:rPr>
                <w:b/>
              </w:rPr>
            </w:pPr>
            <w:r w:rsidRPr="002838E7">
              <w:rPr>
                <w:b/>
              </w:rPr>
              <w:t xml:space="preserve">Identified Risk 1 </w:t>
            </w:r>
          </w:p>
          <w:p w:rsidR="00E94652" w:rsidRPr="0029507A" w:rsidRDefault="00E94652" w:rsidP="0032735F">
            <w:r w:rsidRPr="0029507A">
              <w:t>Direct or indirect ingestion of the introduced Cry1Ac(synpro) and Cry1F(synpro) proteins by non-target invertebrates.</w:t>
            </w:r>
          </w:p>
        </w:tc>
        <w:tc>
          <w:tcPr>
            <w:tcW w:w="2160" w:type="dxa"/>
            <w:tcMar>
              <w:left w:w="57" w:type="dxa"/>
              <w:right w:w="57" w:type="dxa"/>
            </w:tcMar>
          </w:tcPr>
          <w:p w:rsidR="00E94652" w:rsidRPr="002838E7" w:rsidRDefault="00E94652" w:rsidP="0032735F">
            <w:pPr>
              <w:rPr>
                <w:b/>
              </w:rPr>
            </w:pPr>
            <w:r w:rsidRPr="002838E7">
              <w:rPr>
                <w:b/>
              </w:rPr>
              <w:t>Minor</w:t>
            </w:r>
          </w:p>
          <w:p w:rsidR="00E94652" w:rsidRPr="00D17A7A" w:rsidRDefault="00E94652" w:rsidP="0032735F">
            <w:pPr>
              <w:pStyle w:val="ListBullet"/>
              <w:ind w:left="0" w:firstLine="0"/>
            </w:pPr>
            <w:r w:rsidRPr="00D17A7A">
              <w:t>Non-target dietary toxicity studies suggest Cry1Ac(synpro) and Cry1F(synpro) proteins are toxic or growth inhibitory only to a limited range of insects, including the specified target insects.</w:t>
            </w:r>
          </w:p>
          <w:p w:rsidR="00E94652" w:rsidRPr="00D17A7A" w:rsidRDefault="00E94652" w:rsidP="0032735F">
            <w:pPr>
              <w:pStyle w:val="ListBullet"/>
              <w:ind w:left="0" w:firstLine="0"/>
            </w:pPr>
            <w:r w:rsidRPr="00D17A7A">
              <w:t>A field study suggests that growing WideStrike</w:t>
            </w:r>
            <w:r w:rsidRPr="00D17A7A">
              <w:rPr>
                <w:vertAlign w:val="superscript"/>
              </w:rPr>
              <w:t>TM</w:t>
            </w:r>
            <w:r w:rsidRPr="00D17A7A">
              <w:t xml:space="preserve"> cotton plants has no significant effect on non-target invertebrate populations when compared to unsprayed non-GM cotton.</w:t>
            </w:r>
          </w:p>
          <w:p w:rsidR="00E94652" w:rsidRPr="0029507A" w:rsidRDefault="00E94652" w:rsidP="0032735F">
            <w:pPr>
              <w:pStyle w:val="ListBullet"/>
              <w:ind w:left="0" w:firstLine="0"/>
            </w:pPr>
            <w:r w:rsidRPr="00D17A7A">
              <w:t>Non-GM cotton is sprayed with insecticides which impact on non-target insects.</w:t>
            </w:r>
          </w:p>
        </w:tc>
        <w:tc>
          <w:tcPr>
            <w:tcW w:w="2700" w:type="dxa"/>
            <w:tcMar>
              <w:left w:w="57" w:type="dxa"/>
              <w:right w:w="57" w:type="dxa"/>
            </w:tcMar>
          </w:tcPr>
          <w:p w:rsidR="00E94652" w:rsidRPr="002838E7" w:rsidRDefault="00E94652" w:rsidP="0032735F">
            <w:pPr>
              <w:rPr>
                <w:b/>
              </w:rPr>
            </w:pPr>
            <w:r w:rsidRPr="002838E7">
              <w:rPr>
                <w:b/>
              </w:rPr>
              <w:t>Unlikely</w:t>
            </w:r>
          </w:p>
          <w:p w:rsidR="00E94652" w:rsidRPr="00D17A7A" w:rsidRDefault="00E94652" w:rsidP="0032735F">
            <w:pPr>
              <w:pStyle w:val="ListBullet"/>
              <w:ind w:left="0" w:firstLine="0"/>
            </w:pPr>
            <w:r w:rsidRPr="00D17A7A">
              <w:t>Exposure to the GM cotton lines and the Cry proteins would occur mostly to those non-target invertebrates directly/indirectly consuming the GM cotton within the cotton field.</w:t>
            </w:r>
          </w:p>
          <w:p w:rsidR="00E94652" w:rsidRPr="0029507A" w:rsidRDefault="00E94652" w:rsidP="0032735F">
            <w:pPr>
              <w:pStyle w:val="ListBullet"/>
              <w:ind w:left="0" w:firstLine="0"/>
            </w:pPr>
            <w:r>
              <w:t>N</w:t>
            </w:r>
            <w:r w:rsidRPr="00D17A7A">
              <w:t>on-target invertebrates appear insensitive to the levels of Cry1Ac(synpro) and Cry1F(synpro) proteins expressed in the WideStrike</w:t>
            </w:r>
            <w:r w:rsidRPr="00D17A7A">
              <w:rPr>
                <w:vertAlign w:val="superscript"/>
              </w:rPr>
              <w:t>TM</w:t>
            </w:r>
            <w:r w:rsidRPr="00D17A7A">
              <w:t xml:space="preserve"> plants.</w:t>
            </w:r>
          </w:p>
        </w:tc>
        <w:tc>
          <w:tcPr>
            <w:tcW w:w="900" w:type="dxa"/>
            <w:tcMar>
              <w:left w:w="57" w:type="dxa"/>
              <w:right w:w="57" w:type="dxa"/>
            </w:tcMar>
          </w:tcPr>
          <w:p w:rsidR="00E94652" w:rsidRPr="002838E7" w:rsidRDefault="00E94652" w:rsidP="0032735F">
            <w:pPr>
              <w:rPr>
                <w:b/>
              </w:rPr>
            </w:pPr>
            <w:r w:rsidRPr="002838E7">
              <w:rPr>
                <w:b/>
              </w:rPr>
              <w:t>Low</w:t>
            </w:r>
          </w:p>
        </w:tc>
        <w:tc>
          <w:tcPr>
            <w:tcW w:w="1023" w:type="dxa"/>
            <w:tcMar>
              <w:left w:w="57" w:type="dxa"/>
              <w:right w:w="57" w:type="dxa"/>
            </w:tcMar>
          </w:tcPr>
          <w:p w:rsidR="00E94652" w:rsidRPr="00D17A7A" w:rsidRDefault="00E94652" w:rsidP="0032735F">
            <w:r w:rsidRPr="00D17A7A">
              <w:rPr>
                <w:b/>
              </w:rPr>
              <w:t>No</w:t>
            </w:r>
            <w:r w:rsidRPr="00D17A7A">
              <w:t>, however PRR conditions are imposed.</w:t>
            </w:r>
          </w:p>
        </w:tc>
      </w:tr>
      <w:tr w:rsidR="00E94652" w:rsidRPr="0029507A" w:rsidTr="0032735F">
        <w:tc>
          <w:tcPr>
            <w:tcW w:w="1140" w:type="dxa"/>
            <w:tcMar>
              <w:left w:w="57" w:type="dxa"/>
              <w:right w:w="57" w:type="dxa"/>
            </w:tcMar>
          </w:tcPr>
          <w:p w:rsidR="00E94652" w:rsidRDefault="00E94652" w:rsidP="0032735F">
            <w:pPr>
              <w:rPr>
                <w:b/>
              </w:rPr>
            </w:pPr>
            <w:r>
              <w:rPr>
                <w:b/>
              </w:rPr>
              <w:t>Weediness</w:t>
            </w:r>
          </w:p>
          <w:p w:rsidR="00E94652" w:rsidRPr="00887C76" w:rsidRDefault="00E94652" w:rsidP="0032735F">
            <w:pPr>
              <w:rPr>
                <w:b/>
              </w:rPr>
            </w:pPr>
            <w:r w:rsidRPr="00F262F9">
              <w:t>(see Chapter 4)</w:t>
            </w:r>
          </w:p>
        </w:tc>
        <w:tc>
          <w:tcPr>
            <w:tcW w:w="1257" w:type="dxa"/>
            <w:tcMar>
              <w:left w:w="57" w:type="dxa"/>
              <w:right w:w="57" w:type="dxa"/>
            </w:tcMar>
          </w:tcPr>
          <w:p w:rsidR="00E94652" w:rsidRPr="00D32958" w:rsidRDefault="00E94652" w:rsidP="0032735F">
            <w:pPr>
              <w:rPr>
                <w:b/>
              </w:rPr>
            </w:pPr>
            <w:r w:rsidRPr="00D32958">
              <w:rPr>
                <w:b/>
              </w:rPr>
              <w:t>Identified risk 2</w:t>
            </w:r>
          </w:p>
          <w:p w:rsidR="00E94652" w:rsidRPr="002838E7" w:rsidRDefault="00E94652" w:rsidP="0032735F">
            <w:pPr>
              <w:rPr>
                <w:b/>
              </w:rPr>
            </w:pPr>
            <w:r>
              <w:t>Expression of the introduced genes for insect resistance improving the survival of GM cotton plants and leading to increased spread and persistence north of latitude 22º South.</w:t>
            </w:r>
          </w:p>
        </w:tc>
        <w:tc>
          <w:tcPr>
            <w:tcW w:w="2160" w:type="dxa"/>
            <w:tcMar>
              <w:left w:w="57" w:type="dxa"/>
              <w:right w:w="57" w:type="dxa"/>
            </w:tcMar>
          </w:tcPr>
          <w:p w:rsidR="00E94652" w:rsidRPr="00D32958" w:rsidRDefault="00E94652" w:rsidP="0032735F">
            <w:pPr>
              <w:rPr>
                <w:b/>
              </w:rPr>
            </w:pPr>
            <w:r w:rsidRPr="00D32958">
              <w:rPr>
                <w:b/>
              </w:rPr>
              <w:t>Minor</w:t>
            </w:r>
          </w:p>
          <w:p w:rsidR="00E94652" w:rsidRDefault="00E94652" w:rsidP="0032735F">
            <w:pPr>
              <w:pStyle w:val="ListBullet"/>
              <w:ind w:left="0" w:firstLine="0"/>
            </w:pPr>
            <w:r>
              <w:t>The expressed genes for insect resistance are not expected to impact on health of humans, other vertebrates or microorganisms.</w:t>
            </w:r>
          </w:p>
          <w:p w:rsidR="00E94652" w:rsidRPr="000F58DE" w:rsidRDefault="00E94652" w:rsidP="0032735F">
            <w:pPr>
              <w:pStyle w:val="ListBullet"/>
              <w:ind w:left="0" w:firstLine="0"/>
            </w:pPr>
            <w:r>
              <w:t xml:space="preserve">The expression of </w:t>
            </w:r>
            <w:r w:rsidRPr="000C2ED5">
              <w:rPr>
                <w:i/>
              </w:rPr>
              <w:t>cry</w:t>
            </w:r>
            <w:r>
              <w:t xml:space="preserve"> genes will not extend the range of GM cotton compared to non-GM cotton.</w:t>
            </w:r>
          </w:p>
        </w:tc>
        <w:tc>
          <w:tcPr>
            <w:tcW w:w="2700" w:type="dxa"/>
            <w:tcMar>
              <w:left w:w="57" w:type="dxa"/>
              <w:right w:w="57" w:type="dxa"/>
            </w:tcMar>
          </w:tcPr>
          <w:p w:rsidR="00E94652" w:rsidRPr="00D32958" w:rsidRDefault="00E94652" w:rsidP="0032735F">
            <w:pPr>
              <w:rPr>
                <w:b/>
              </w:rPr>
            </w:pPr>
            <w:r w:rsidRPr="00D32958">
              <w:rPr>
                <w:b/>
              </w:rPr>
              <w:t>Unlikely</w:t>
            </w:r>
          </w:p>
          <w:p w:rsidR="00E94652" w:rsidRDefault="00E94652" w:rsidP="0032735F">
            <w:pPr>
              <w:pStyle w:val="ListBullet"/>
              <w:ind w:left="0" w:firstLine="0"/>
            </w:pPr>
            <w:r>
              <w:t>WideStrike™ cotton will not be grown north of latitude 22º South.</w:t>
            </w:r>
          </w:p>
          <w:p w:rsidR="00E94652" w:rsidRDefault="00E94652" w:rsidP="0032735F">
            <w:pPr>
              <w:pStyle w:val="ListBullet"/>
              <w:ind w:left="0" w:firstLine="0"/>
            </w:pPr>
            <w:r>
              <w:t>WideStrike™ cotton volunteers can be effectively controlled by mechanical means, or if still at the seedling stage by the use of herbicides.</w:t>
            </w:r>
          </w:p>
          <w:p w:rsidR="00E94652" w:rsidRDefault="00E94652" w:rsidP="0032735F">
            <w:pPr>
              <w:pStyle w:val="ListBullet"/>
              <w:ind w:left="0" w:firstLine="0"/>
            </w:pPr>
            <w:r>
              <w:t>The chance of GM volunteer plants arising from unintended seed dispersal finding suitable ecological niches and establishing as weeds would be no greater than for non-GM cotton.</w:t>
            </w:r>
          </w:p>
          <w:p w:rsidR="00E94652" w:rsidRPr="002838E7" w:rsidRDefault="00E94652" w:rsidP="0032735F">
            <w:pPr>
              <w:pStyle w:val="ListBullet"/>
              <w:ind w:left="0" w:firstLine="0"/>
              <w:rPr>
                <w:b/>
              </w:rPr>
            </w:pPr>
            <w:r>
              <w:t>The expressed genes for insect resistance would only confer a selective advantage in areas where insect predation limits cotton.</w:t>
            </w:r>
          </w:p>
        </w:tc>
        <w:tc>
          <w:tcPr>
            <w:tcW w:w="900" w:type="dxa"/>
            <w:tcMar>
              <w:left w:w="57" w:type="dxa"/>
              <w:right w:w="57" w:type="dxa"/>
            </w:tcMar>
          </w:tcPr>
          <w:p w:rsidR="00E94652" w:rsidRPr="00D32958" w:rsidRDefault="00E94652" w:rsidP="0032735F">
            <w:pPr>
              <w:rPr>
                <w:b/>
              </w:rPr>
            </w:pPr>
            <w:r w:rsidRPr="00D32958">
              <w:rPr>
                <w:b/>
              </w:rPr>
              <w:t>Low</w:t>
            </w:r>
          </w:p>
        </w:tc>
        <w:tc>
          <w:tcPr>
            <w:tcW w:w="1023" w:type="dxa"/>
            <w:tcMar>
              <w:left w:w="57" w:type="dxa"/>
              <w:right w:w="57" w:type="dxa"/>
            </w:tcMar>
          </w:tcPr>
          <w:p w:rsidR="00E94652" w:rsidRDefault="00E94652" w:rsidP="0032735F">
            <w:pPr>
              <w:rPr>
                <w:b/>
              </w:rPr>
            </w:pPr>
            <w:r w:rsidRPr="00D32958">
              <w:rPr>
                <w:b/>
              </w:rPr>
              <w:t>Yes</w:t>
            </w:r>
          </w:p>
          <w:p w:rsidR="00E94652" w:rsidRPr="00812CE8" w:rsidRDefault="00E94652" w:rsidP="0032735F">
            <w:r w:rsidRPr="00812CE8">
              <w:t>PRR conditions are imposed</w:t>
            </w:r>
            <w:r>
              <w:t>.</w:t>
            </w:r>
          </w:p>
        </w:tc>
      </w:tr>
      <w:tr w:rsidR="00E94652" w:rsidRPr="0029507A" w:rsidTr="0032735F">
        <w:tc>
          <w:tcPr>
            <w:tcW w:w="1140" w:type="dxa"/>
            <w:tcMar>
              <w:left w:w="57" w:type="dxa"/>
              <w:right w:w="57" w:type="dxa"/>
            </w:tcMar>
          </w:tcPr>
          <w:p w:rsidR="00E94652" w:rsidRPr="00887C76" w:rsidRDefault="00E94652" w:rsidP="0032735F">
            <w:pPr>
              <w:rPr>
                <w:b/>
              </w:rPr>
            </w:pPr>
          </w:p>
        </w:tc>
        <w:tc>
          <w:tcPr>
            <w:tcW w:w="1257" w:type="dxa"/>
            <w:tcMar>
              <w:left w:w="57" w:type="dxa"/>
              <w:right w:w="57" w:type="dxa"/>
            </w:tcMar>
          </w:tcPr>
          <w:p w:rsidR="00E94652" w:rsidRPr="00D32958" w:rsidRDefault="00E94652" w:rsidP="0032735F">
            <w:pPr>
              <w:rPr>
                <w:b/>
              </w:rPr>
            </w:pPr>
            <w:r w:rsidRPr="00D32958">
              <w:rPr>
                <w:b/>
              </w:rPr>
              <w:t>Identified risk 3</w:t>
            </w:r>
          </w:p>
          <w:p w:rsidR="00E94652" w:rsidRPr="00D32958" w:rsidRDefault="00E94652" w:rsidP="0032735F">
            <w:pPr>
              <w:rPr>
                <w:b/>
              </w:rPr>
            </w:pPr>
            <w:r>
              <w:t xml:space="preserve">Expression of the introduced </w:t>
            </w:r>
            <w:r w:rsidRPr="00D32958">
              <w:rPr>
                <w:i/>
              </w:rPr>
              <w:t>cry</w:t>
            </w:r>
            <w:r>
              <w:t xml:space="preserve"> genes in other insect resistant </w:t>
            </w:r>
            <w:r>
              <w:lastRenderedPageBreak/>
              <w:t>GM cotton plants as a result of gene transfer leading to increased spread and persistence.</w:t>
            </w:r>
          </w:p>
        </w:tc>
        <w:tc>
          <w:tcPr>
            <w:tcW w:w="2160" w:type="dxa"/>
            <w:tcMar>
              <w:left w:w="57" w:type="dxa"/>
              <w:right w:w="57" w:type="dxa"/>
            </w:tcMar>
          </w:tcPr>
          <w:p w:rsidR="00E94652" w:rsidRPr="00D32958" w:rsidRDefault="00E94652" w:rsidP="0032735F">
            <w:pPr>
              <w:rPr>
                <w:b/>
              </w:rPr>
            </w:pPr>
            <w:r w:rsidRPr="00D32958">
              <w:rPr>
                <w:b/>
              </w:rPr>
              <w:lastRenderedPageBreak/>
              <w:t>Minor</w:t>
            </w:r>
          </w:p>
          <w:p w:rsidR="00E94652" w:rsidRDefault="00E94652" w:rsidP="0032735F">
            <w:pPr>
              <w:pStyle w:val="ListBullet"/>
              <w:ind w:left="0" w:firstLine="0"/>
            </w:pPr>
            <w:r>
              <w:t>The expressed genes for insect resistance are not expected to impact on health of humans, other vertebrates or microorganisms.</w:t>
            </w:r>
          </w:p>
          <w:p w:rsidR="00E94652" w:rsidRDefault="00E94652" w:rsidP="0032735F">
            <w:pPr>
              <w:pStyle w:val="ListBullet"/>
              <w:ind w:left="0" w:firstLine="0"/>
            </w:pPr>
            <w:r>
              <w:t xml:space="preserve">The expression of </w:t>
            </w:r>
            <w:r w:rsidRPr="000C2ED5">
              <w:rPr>
                <w:i/>
              </w:rPr>
              <w:t>cry</w:t>
            </w:r>
            <w:r>
              <w:t xml:space="preserve"> genes will not extend the range of GM cotton compared to non-GM cotton.</w:t>
            </w:r>
          </w:p>
          <w:p w:rsidR="00E94652" w:rsidRPr="00D32958" w:rsidRDefault="00E94652" w:rsidP="0032735F">
            <w:pPr>
              <w:pStyle w:val="ListBullet"/>
              <w:ind w:left="0" w:firstLine="0"/>
              <w:rPr>
                <w:b/>
              </w:rPr>
            </w:pPr>
            <w:r>
              <w:lastRenderedPageBreak/>
              <w:t xml:space="preserve">Although the effects of combining the </w:t>
            </w:r>
            <w:r w:rsidRPr="000C2ED5">
              <w:rPr>
                <w:i/>
              </w:rPr>
              <w:t>cry</w:t>
            </w:r>
            <w:r>
              <w:t xml:space="preserve"> genes from WideStrike™ and Bollgard</w:t>
            </w:r>
            <w:r>
              <w:rPr>
                <w:vertAlign w:val="superscript"/>
              </w:rPr>
              <w:t>®</w:t>
            </w:r>
            <w:r>
              <w:t xml:space="preserve"> cotton could provide unexpected protection from herbivory, if GM cotton were to spread and persist it is expected to have a limited impact on native vegetation and this would only occur in areas with suitable environmental conditions.</w:t>
            </w:r>
            <w:r>
              <w:tab/>
            </w:r>
          </w:p>
        </w:tc>
        <w:tc>
          <w:tcPr>
            <w:tcW w:w="2700" w:type="dxa"/>
            <w:tcMar>
              <w:left w:w="57" w:type="dxa"/>
              <w:right w:w="57" w:type="dxa"/>
            </w:tcMar>
          </w:tcPr>
          <w:p w:rsidR="00E94652" w:rsidRPr="00D32958" w:rsidRDefault="00E94652" w:rsidP="0032735F">
            <w:pPr>
              <w:rPr>
                <w:b/>
              </w:rPr>
            </w:pPr>
            <w:r w:rsidRPr="00D32958">
              <w:rPr>
                <w:b/>
              </w:rPr>
              <w:lastRenderedPageBreak/>
              <w:t>Highly unlikely</w:t>
            </w:r>
          </w:p>
          <w:p w:rsidR="00E94652" w:rsidRDefault="00E94652" w:rsidP="0032735F">
            <w:pPr>
              <w:pStyle w:val="ListBullet"/>
              <w:ind w:left="0" w:firstLine="0"/>
            </w:pPr>
            <w:r>
              <w:t>Cotton is primarily self-pollinating and gene transfer to other insect resistant GM cotton plants would only occur over short distances and at low frequencies.</w:t>
            </w:r>
          </w:p>
          <w:p w:rsidR="00E94652" w:rsidRDefault="00E94652" w:rsidP="0032735F">
            <w:pPr>
              <w:pStyle w:val="ListBullet"/>
              <w:ind w:left="0" w:firstLine="0"/>
            </w:pPr>
            <w:r>
              <w:t xml:space="preserve">The GM cotton will not be grown north of latitude 22º South. </w:t>
            </w:r>
          </w:p>
          <w:p w:rsidR="00E94652" w:rsidRDefault="00E94652" w:rsidP="0032735F">
            <w:pPr>
              <w:pStyle w:val="ListBullet"/>
              <w:ind w:left="0" w:firstLine="0"/>
            </w:pPr>
            <w:r>
              <w:t xml:space="preserve">The chance of GM volunteer plants arising from seed dispersal finding suitable conditions to establish as </w:t>
            </w:r>
            <w:r>
              <w:lastRenderedPageBreak/>
              <w:t>weeds may be no greater than for non-GM cotton plants.</w:t>
            </w:r>
          </w:p>
          <w:p w:rsidR="00E94652" w:rsidRDefault="00E94652" w:rsidP="0032735F">
            <w:pPr>
              <w:pStyle w:val="ListBullet"/>
              <w:ind w:left="0" w:firstLine="0"/>
            </w:pPr>
            <w:r>
              <w:t>Although reduced lepidopteran insect herbivory may offer a small competitive advantage, abiotic and biotic factors are likely to be more important in limiting the spread and persistence of cotton, especially in southern Australia.</w:t>
            </w:r>
          </w:p>
          <w:p w:rsidR="00E94652" w:rsidRPr="00D32958" w:rsidRDefault="00E94652" w:rsidP="0032735F">
            <w:pPr>
              <w:pStyle w:val="ListBullet"/>
              <w:ind w:left="0" w:firstLine="0"/>
              <w:rPr>
                <w:b/>
              </w:rPr>
            </w:pPr>
            <w:r>
              <w:t>Insect resistant cotton volunteers can be effectively controlled by mechanical means, or if still at the seedling stage by the use of herbicides.</w:t>
            </w:r>
          </w:p>
        </w:tc>
        <w:tc>
          <w:tcPr>
            <w:tcW w:w="900" w:type="dxa"/>
            <w:tcMar>
              <w:left w:w="57" w:type="dxa"/>
              <w:right w:w="57" w:type="dxa"/>
            </w:tcMar>
          </w:tcPr>
          <w:p w:rsidR="00E94652" w:rsidRPr="00D32958" w:rsidRDefault="00E94652" w:rsidP="0032735F">
            <w:pPr>
              <w:rPr>
                <w:b/>
              </w:rPr>
            </w:pPr>
            <w:r>
              <w:rPr>
                <w:b/>
              </w:rPr>
              <w:lastRenderedPageBreak/>
              <w:t>Negligible</w:t>
            </w:r>
          </w:p>
        </w:tc>
        <w:tc>
          <w:tcPr>
            <w:tcW w:w="1023" w:type="dxa"/>
            <w:tcMar>
              <w:left w:w="57" w:type="dxa"/>
              <w:right w:w="57" w:type="dxa"/>
            </w:tcMar>
          </w:tcPr>
          <w:p w:rsidR="00E94652" w:rsidRPr="00D32958" w:rsidRDefault="00E94652" w:rsidP="0032735F">
            <w:pPr>
              <w:rPr>
                <w:b/>
              </w:rPr>
            </w:pPr>
            <w:r>
              <w:rPr>
                <w:b/>
              </w:rPr>
              <w:t>No</w:t>
            </w:r>
          </w:p>
        </w:tc>
      </w:tr>
    </w:tbl>
    <w:p w:rsidR="00E94652" w:rsidRDefault="00E94652" w:rsidP="00E94652">
      <w:pPr>
        <w:pStyle w:val="HeadingRARMP2"/>
      </w:pPr>
      <w:r>
        <w:t>Risk management</w:t>
      </w:r>
    </w:p>
    <w:p w:rsidR="00E94652" w:rsidRPr="005825D4" w:rsidRDefault="00E94652" w:rsidP="00E94652">
      <w:pPr>
        <w:pStyle w:val="Paranonumbers"/>
      </w:pPr>
      <w:r w:rsidRPr="005825D4">
        <w:t xml:space="preserve">The risk management process builds upon the risk assessment to determine whether measures are required in order to protect people and/or the environment. </w:t>
      </w:r>
    </w:p>
    <w:p w:rsidR="00E94652" w:rsidRPr="005825D4" w:rsidRDefault="00E94652" w:rsidP="00E94652">
      <w:pPr>
        <w:pStyle w:val="Paranonumbers"/>
      </w:pPr>
      <w:r w:rsidRPr="005825D4">
        <w:t xml:space="preserve">The Regulator's </w:t>
      </w:r>
      <w:r w:rsidRPr="005825D4">
        <w:rPr>
          <w:i/>
        </w:rPr>
        <w:t>Risk Analysis Framework</w:t>
      </w:r>
      <w:r w:rsidRPr="005825D4">
        <w:t xml:space="preserve"> defines negligible risks as insubstantial, with no present need to invoke actions for their mitigation in the risk management plan. Low risks are defined as minimal but may invoke actions for mitigation beyond normal practices. The level of risk to human health and safety and the environment for twelve of the fourteen events assessed was estimated as negligible. Therefore, no specific risk treatment measures are imposed in relation to these. The risk estimate for the two remaining events was low. The Regulator has proposed several licence conditions that would treat the low risk of spread and persistence of the GM cotton in northern Australia. The Regulator has also imposed licence conditions under post-release review (PRR).</w:t>
      </w:r>
    </w:p>
    <w:p w:rsidR="00E94652" w:rsidRPr="005825D4" w:rsidRDefault="00E94652" w:rsidP="00E94652">
      <w:pPr>
        <w:pStyle w:val="Event"/>
      </w:pPr>
      <w:r w:rsidRPr="005825D4">
        <w:t>Licence conditions</w:t>
      </w:r>
    </w:p>
    <w:p w:rsidR="00E94652" w:rsidRPr="005825D4" w:rsidRDefault="00E94652" w:rsidP="00E94652">
      <w:pPr>
        <w:pStyle w:val="Paranonumbers"/>
      </w:pPr>
      <w:r w:rsidRPr="005825D4">
        <w:t>The licence contains a number of general conditions relating to ongoing licence holder suitability, auditing and monitoring, and reporting requirements which include an obligation to report any unintended effects. There are also general conditions to ensure ongoing oversight of the release.</w:t>
      </w:r>
    </w:p>
    <w:p w:rsidR="00E94652" w:rsidRPr="005825D4" w:rsidRDefault="00E94652" w:rsidP="00E94652">
      <w:pPr>
        <w:pStyle w:val="Paranonumbers"/>
      </w:pPr>
      <w:r w:rsidRPr="005825D4">
        <w:t>The Regulator has also imposed several specific licence conditions including requirements to:</w:t>
      </w:r>
    </w:p>
    <w:p w:rsidR="00E94652" w:rsidRPr="005825D4" w:rsidRDefault="00E94652" w:rsidP="00E94652">
      <w:pPr>
        <w:pStyle w:val="BulletedRARMP"/>
        <w:tabs>
          <w:tab w:val="clear" w:pos="567"/>
          <w:tab w:val="num" w:pos="1134"/>
        </w:tabs>
        <w:spacing w:before="120" w:after="120"/>
        <w:ind w:left="1134" w:hanging="567"/>
      </w:pPr>
      <w:r w:rsidRPr="005825D4">
        <w:t>transport whole GM cotton seed in covered vehicles in areas north of latitude 22º South</w:t>
      </w:r>
    </w:p>
    <w:p w:rsidR="00E94652" w:rsidRPr="005825D4" w:rsidRDefault="00E94652" w:rsidP="00E94652">
      <w:pPr>
        <w:pStyle w:val="BulletedRARMP"/>
        <w:tabs>
          <w:tab w:val="clear" w:pos="567"/>
          <w:tab w:val="num" w:pos="1134"/>
        </w:tabs>
        <w:spacing w:before="120" w:after="120"/>
        <w:ind w:left="1134" w:hanging="567"/>
      </w:pPr>
      <w:r w:rsidRPr="005825D4">
        <w:t>in areas north of latitude 22º South, only feed GM cotton seed to livestock inside stockyards, feedlots or dairies</w:t>
      </w:r>
    </w:p>
    <w:p w:rsidR="00E94652" w:rsidRPr="005825D4" w:rsidRDefault="00E94652" w:rsidP="00E94652">
      <w:pPr>
        <w:pStyle w:val="BulletedRARMP"/>
        <w:tabs>
          <w:tab w:val="clear" w:pos="567"/>
          <w:tab w:val="num" w:pos="1134"/>
        </w:tabs>
        <w:spacing w:before="120" w:after="120"/>
        <w:ind w:left="1134" w:hanging="567"/>
      </w:pPr>
      <w:r w:rsidRPr="005825D4">
        <w:t>inform people of the specific conditions referred to in the above dot points</w:t>
      </w:r>
    </w:p>
    <w:p w:rsidR="00E94652" w:rsidRPr="005825D4" w:rsidRDefault="00E94652" w:rsidP="00E94652">
      <w:pPr>
        <w:pStyle w:val="BulletedRARMP"/>
        <w:tabs>
          <w:tab w:val="clear" w:pos="567"/>
          <w:tab w:val="num" w:pos="1134"/>
        </w:tabs>
        <w:spacing w:before="120" w:after="120"/>
        <w:ind w:left="1134" w:hanging="567"/>
      </w:pPr>
      <w:r w:rsidRPr="005825D4">
        <w:t xml:space="preserve">survey areas where livestock are fed GM cotton seed north of latitude 22º South, in order to determine the </w:t>
      </w:r>
      <w:r>
        <w:t>incidence</w:t>
      </w:r>
      <w:r w:rsidRPr="005825D4">
        <w:t xml:space="preserve"> of volunteer plants in these areas</w:t>
      </w:r>
    </w:p>
    <w:p w:rsidR="00E94652" w:rsidRPr="005825D4" w:rsidRDefault="00E94652" w:rsidP="00E94652">
      <w:pPr>
        <w:pStyle w:val="BulletedRARMP"/>
        <w:tabs>
          <w:tab w:val="clear" w:pos="567"/>
          <w:tab w:val="num" w:pos="1134"/>
        </w:tabs>
        <w:spacing w:before="120" w:after="120"/>
        <w:ind w:left="1134" w:hanging="567"/>
      </w:pPr>
      <w:r w:rsidRPr="005825D4">
        <w:lastRenderedPageBreak/>
        <w:t xml:space="preserve">undertake </w:t>
      </w:r>
      <w:r>
        <w:t>confirmatory</w:t>
      </w:r>
      <w:r w:rsidRPr="005825D4">
        <w:t xml:space="preserve"> research to </w:t>
      </w:r>
      <w:r>
        <w:t>collect further information on potential</w:t>
      </w:r>
      <w:r w:rsidRPr="005825D4">
        <w:t xml:space="preserve"> effects on </w:t>
      </w:r>
      <w:r>
        <w:t xml:space="preserve">key </w:t>
      </w:r>
      <w:r w:rsidRPr="005825D4">
        <w:t>non-target invertebrates.</w:t>
      </w:r>
    </w:p>
    <w:p w:rsidR="00E94652" w:rsidRDefault="00E94652" w:rsidP="00E94652">
      <w:pPr>
        <w:pStyle w:val="Event"/>
      </w:pPr>
      <w:r>
        <w:t>Other regulatory considerations</w:t>
      </w:r>
    </w:p>
    <w:p w:rsidR="00E94652" w:rsidRPr="005825D4" w:rsidRDefault="00E94652" w:rsidP="00E94652">
      <w:pPr>
        <w:pStyle w:val="Paranonumbers"/>
      </w:pPr>
      <w:r w:rsidRPr="00D75545">
        <w:t xml:space="preserve">Australia's gene technology regulatory system operates as an integrated legislative framework involving the Regulator and other regulatory agencies that avoids duplication and enhances coordinated decision making. Other agencies that also regulate GMOs or GM products include </w:t>
      </w:r>
      <w:r>
        <w:t>Food Standards Australia New Zealand (</w:t>
      </w:r>
      <w:r w:rsidRPr="00D75545">
        <w:t>FSANZ</w:t>
      </w:r>
      <w:r>
        <w:t>)</w:t>
      </w:r>
      <w:r w:rsidRPr="00D75545">
        <w:t xml:space="preserve">, </w:t>
      </w:r>
      <w:r w:rsidRPr="005825D4">
        <w:t>the Australian Pesticides and Veterinary Medicines Authority</w:t>
      </w:r>
      <w:r w:rsidRPr="00D75545">
        <w:t xml:space="preserve"> </w:t>
      </w:r>
      <w:r>
        <w:t>(</w:t>
      </w:r>
      <w:r w:rsidRPr="00D75545">
        <w:t>APVMA</w:t>
      </w:r>
      <w:r>
        <w:t>)</w:t>
      </w:r>
      <w:r w:rsidRPr="00D75545">
        <w:t xml:space="preserve">, Therapeutic Goods Administration (TGA), National Industrial Chemicals Notification and Assessment Scheme (NICNAS) and </w:t>
      </w:r>
      <w:r w:rsidRPr="005825D4">
        <w:t>Australian Quarantine and Inspection Service</w:t>
      </w:r>
      <w:r w:rsidRPr="00D75545">
        <w:t xml:space="preserve"> </w:t>
      </w:r>
      <w:r>
        <w:t>(</w:t>
      </w:r>
      <w:r w:rsidRPr="00D75545">
        <w:t>AQIS</w:t>
      </w:r>
      <w:r>
        <w:t>)</w:t>
      </w:r>
      <w:r w:rsidRPr="00D75545">
        <w:rPr>
          <w:rStyle w:val="FootnoteReference"/>
        </w:rPr>
        <w:t xml:space="preserve"> </w:t>
      </w:r>
      <w:r w:rsidRPr="005825D4">
        <w:rPr>
          <w:rStyle w:val="FootnoteReference"/>
        </w:rPr>
        <w:footnoteReference w:id="3"/>
      </w:r>
      <w:r w:rsidRPr="00D75545">
        <w:t>. Dealings conducted under a licence issued by the Regulator may also be subject to regulation by one or more of these agencies</w:t>
      </w:r>
      <w:r>
        <w:t>.</w:t>
      </w:r>
    </w:p>
    <w:p w:rsidR="00E94652" w:rsidRPr="005825D4" w:rsidRDefault="00E94652" w:rsidP="00E94652">
      <w:pPr>
        <w:pStyle w:val="Paranonumbers"/>
      </w:pPr>
      <w:r w:rsidRPr="005825D4">
        <w:t xml:space="preserve">FSANZ is responsible for human food safety assessment, including GM food. FSANZ has approved the use of linters and cotton seed oil from WideStrike™ cotton for use in human food. </w:t>
      </w:r>
    </w:p>
    <w:p w:rsidR="00E94652" w:rsidRPr="005825D4" w:rsidRDefault="00E94652" w:rsidP="00E94652">
      <w:pPr>
        <w:pStyle w:val="Paranonumbers"/>
      </w:pPr>
      <w:r w:rsidRPr="005825D4">
        <w:t xml:space="preserve">The APVMA has regulatory responsibility for agricultural chemicals, including herbicides and insecticidal products, in Australia. The GM cotton proposed for release meets the definition of an agricultural chemical product under the </w:t>
      </w:r>
      <w:r w:rsidRPr="005825D4">
        <w:rPr>
          <w:i/>
        </w:rPr>
        <w:t>Agricultural and Veterinary Chemicals Code Act 1994</w:t>
      </w:r>
      <w:r w:rsidRPr="005825D4">
        <w:t xml:space="preserve">, due to its production of insecticidal substances. Therefore, these plants are also subject to regulation by the APVMA. The APVMA is currently assessing an application from Dow for WideStrike™ cotton. </w:t>
      </w:r>
    </w:p>
    <w:p w:rsidR="00E94652" w:rsidRPr="005825D4" w:rsidRDefault="00E94652" w:rsidP="00E94652">
      <w:pPr>
        <w:pStyle w:val="Paranonumbers"/>
      </w:pPr>
      <w:r w:rsidRPr="005825D4">
        <w:t xml:space="preserve">Although the GM cotton has also been modified to be tolerant to glufosinate ammonium, the applicant does not intend this herbicide to be used on the cotton and therefore is not seeking approval for this from the APVMA. </w:t>
      </w:r>
    </w:p>
    <w:p w:rsidR="00E94652" w:rsidRPr="005825D4" w:rsidRDefault="00E94652" w:rsidP="00E94652">
      <w:pPr>
        <w:pStyle w:val="Paranonumbers"/>
      </w:pPr>
      <w:r w:rsidRPr="005825D4">
        <w:t xml:space="preserve">The Regulator is liaising closely with the APVMA during the assessment of the application pertaining to this commercial release of GM WideStrike™ cotton. </w:t>
      </w:r>
    </w:p>
    <w:p w:rsidR="00E94652" w:rsidRPr="005825D4" w:rsidRDefault="00E94652" w:rsidP="00E94652">
      <w:pPr>
        <w:pStyle w:val="Paranonumbers"/>
      </w:pPr>
      <w:r w:rsidRPr="005825D4">
        <w:t xml:space="preserve">An AQIS permit has been granted to allow the importation of seed. </w:t>
      </w:r>
    </w:p>
    <w:p w:rsidR="00E94652" w:rsidRDefault="00E94652" w:rsidP="00E94652">
      <w:pPr>
        <w:pStyle w:val="Event"/>
      </w:pPr>
      <w:r>
        <w:t>Identification of issues to be addressed for future releases</w:t>
      </w:r>
    </w:p>
    <w:p w:rsidR="00E94652" w:rsidRPr="005825D4" w:rsidRDefault="00E94652" w:rsidP="00E94652">
      <w:pPr>
        <w:pStyle w:val="Paranonumbers"/>
      </w:pPr>
      <w:r w:rsidRPr="005825D4">
        <w:t xml:space="preserve">Additional information has been identified that may be required to assess an application for reduced containment measures for the commercial release of WideStrike™ cotton north of latitude 22º South. This would include: </w:t>
      </w:r>
    </w:p>
    <w:p w:rsidR="00E94652" w:rsidRPr="005825D4" w:rsidRDefault="00E94652" w:rsidP="00E94652">
      <w:pPr>
        <w:pStyle w:val="BulletedRARMP"/>
        <w:tabs>
          <w:tab w:val="clear" w:pos="567"/>
          <w:tab w:val="num" w:pos="1134"/>
        </w:tabs>
        <w:spacing w:before="120" w:after="120"/>
        <w:ind w:left="1134" w:hanging="567"/>
      </w:pPr>
      <w:r w:rsidRPr="005825D4">
        <w:t>characteristics, type and abundance of beneficial/non-target invertebrates in crops of the GM cotton grown north of latitude 22º South</w:t>
      </w:r>
    </w:p>
    <w:p w:rsidR="00E94652" w:rsidRPr="005825D4" w:rsidRDefault="00E94652" w:rsidP="00E94652">
      <w:pPr>
        <w:pStyle w:val="BulletedRARMP"/>
        <w:tabs>
          <w:tab w:val="clear" w:pos="567"/>
          <w:tab w:val="num" w:pos="1134"/>
        </w:tabs>
        <w:spacing w:before="120" w:after="120"/>
        <w:ind w:left="1134" w:hanging="567"/>
      </w:pPr>
      <w:r w:rsidRPr="005825D4">
        <w:t>information on the potential for WideStrike™ cotton to have increased survival in the natural environment compared to other commercial GM and non-GM cottons as a result of the introduced genes for insect resistance</w:t>
      </w:r>
    </w:p>
    <w:p w:rsidR="00E94652" w:rsidRPr="005825D4" w:rsidRDefault="00E94652" w:rsidP="00E94652">
      <w:pPr>
        <w:pStyle w:val="BulletedRARMP"/>
        <w:tabs>
          <w:tab w:val="clear" w:pos="567"/>
          <w:tab w:val="num" w:pos="1134"/>
        </w:tabs>
        <w:spacing w:before="120" w:after="120"/>
        <w:ind w:left="1134" w:hanging="567"/>
      </w:pPr>
      <w:r w:rsidRPr="005825D4">
        <w:t>information on any potential synergistic effects of the introduced genetic material when stacked with Bollgard II</w:t>
      </w:r>
      <w:r w:rsidRPr="005825D4">
        <w:rPr>
          <w:vertAlign w:val="superscript"/>
        </w:rPr>
        <w:t>®</w:t>
      </w:r>
      <w:r w:rsidRPr="005825D4">
        <w:t xml:space="preserve"> cotton [either as individual genes or in combination].</w:t>
      </w:r>
    </w:p>
    <w:p w:rsidR="00E94652" w:rsidRPr="005825D4" w:rsidRDefault="00E94652" w:rsidP="00E94652">
      <w:pPr>
        <w:pStyle w:val="Paranonumbers"/>
      </w:pPr>
      <w:r w:rsidRPr="005825D4">
        <w:t xml:space="preserve">The applicant would be encouraged to work with the Regulator in the design of experiments to address these issues, and would require an additional authorisation from </w:t>
      </w:r>
      <w:r w:rsidRPr="005825D4">
        <w:lastRenderedPageBreak/>
        <w:t>the Regulator to undertake plantings of GM WideStrike™ cotton north of latitude 22º South.</w:t>
      </w:r>
    </w:p>
    <w:p w:rsidR="00E94652" w:rsidRDefault="00E94652" w:rsidP="00E94652">
      <w:pPr>
        <w:pStyle w:val="HeadingRARMP2"/>
      </w:pPr>
      <w:r>
        <w:t>Conclusions of the RARMP</w:t>
      </w:r>
    </w:p>
    <w:p w:rsidR="00E94652" w:rsidRPr="005825D4" w:rsidRDefault="00E94652" w:rsidP="00E94652">
      <w:pPr>
        <w:pStyle w:val="Paranonumbers"/>
      </w:pPr>
      <w:r w:rsidRPr="005825D4">
        <w:t xml:space="preserve">The risk assessment concludes that this commercial release of WideStrike™ cotton to be grown in areas south of latitude 22º South, and the entry of products derived from the GM cotton into general commerce Australia wide, poses </w:t>
      </w:r>
      <w:r w:rsidRPr="005825D4">
        <w:rPr>
          <w:b/>
        </w:rPr>
        <w:t>negligible</w:t>
      </w:r>
      <w:r w:rsidRPr="005825D4">
        <w:t xml:space="preserve"> risks to the health and safety of people, and </w:t>
      </w:r>
      <w:r w:rsidRPr="005825D4">
        <w:rPr>
          <w:b/>
        </w:rPr>
        <w:t>negligible</w:t>
      </w:r>
      <w:r w:rsidRPr="005825D4">
        <w:t xml:space="preserve"> to </w:t>
      </w:r>
      <w:r w:rsidRPr="005825D4">
        <w:rPr>
          <w:b/>
        </w:rPr>
        <w:t>low</w:t>
      </w:r>
      <w:r w:rsidRPr="005825D4">
        <w:t xml:space="preserve"> risks to the environment as a result of gene technology.</w:t>
      </w:r>
    </w:p>
    <w:p w:rsidR="00E94652" w:rsidRPr="005825D4" w:rsidRDefault="00E94652" w:rsidP="00E94652">
      <w:pPr>
        <w:pStyle w:val="Paranonumbers"/>
      </w:pPr>
      <w:r w:rsidRPr="005825D4">
        <w:t xml:space="preserve">The risk management plan concludes that one of the low risks requires specific risk treatment measures. General licence conditions are imposed to ensure that there is ongoing oversight of the release. </w:t>
      </w:r>
    </w:p>
    <w:p w:rsidR="00E94652" w:rsidRPr="00BF24CD" w:rsidRDefault="00E94652" w:rsidP="00E94652">
      <w:pPr>
        <w:rPr>
          <w:lang w:eastAsia="en-US"/>
        </w:rPr>
      </w:pPr>
    </w:p>
    <w:p w:rsidR="007912D5" w:rsidRDefault="007912D5"/>
    <w:sectPr w:rsidR="007912D5" w:rsidSect="00AC5B01">
      <w:headerReference w:type="default" r:id="rId8"/>
      <w:footerReference w:type="default" r:id="rId9"/>
      <w:headerReference w:type="first" r:id="rId10"/>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652" w:rsidRDefault="00E94652" w:rsidP="00E94652">
      <w:r>
        <w:separator/>
      </w:r>
    </w:p>
  </w:endnote>
  <w:endnote w:type="continuationSeparator" w:id="0">
    <w:p w:rsidR="00E94652" w:rsidRDefault="00E94652" w:rsidP="00E94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1)">
    <w:altName w:val="Arial"/>
    <w:charset w:val="00"/>
    <w:family w:val="swiss"/>
    <w:pitch w:val="variable"/>
    <w:sig w:usb0="00000000"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500" w:rsidRPr="00E62074" w:rsidRDefault="00E94652" w:rsidP="00EC55F4">
    <w:pPr>
      <w:pStyle w:val="Footer"/>
      <w:pBdr>
        <w:top w:val="single" w:sz="4" w:space="1" w:color="auto"/>
      </w:pBdr>
      <w:tabs>
        <w:tab w:val="clear" w:pos="4153"/>
        <w:tab w:val="clear" w:pos="8306"/>
        <w:tab w:val="center" w:pos="2410"/>
        <w:tab w:val="right" w:pos="9072"/>
      </w:tabs>
      <w:rPr>
        <w:rFonts w:ascii="Comic Sans MS" w:hAnsi="Comic Sans MS"/>
        <w:sz w:val="16"/>
        <w:szCs w:val="16"/>
      </w:rPr>
    </w:pPr>
    <w:r>
      <w:rPr>
        <w:rStyle w:val="PageNumber"/>
        <w:rFonts w:ascii="Arial" w:hAnsi="Arial" w:cs="Arial"/>
        <w:sz w:val="20"/>
        <w:szCs w:val="20"/>
      </w:rPr>
      <w:tab/>
    </w:r>
    <w:r>
      <w:rPr>
        <w:rStyle w:val="PageNumber"/>
        <w:rFonts w:ascii="Arial" w:hAnsi="Arial" w:cs="Arial"/>
        <w:sz w:val="20"/>
        <w:szCs w:val="20"/>
      </w:rPr>
      <w:tab/>
    </w:r>
    <w:r w:rsidRPr="00FE3B3A">
      <w:rPr>
        <w:rStyle w:val="PageNumber"/>
        <w:rFonts w:ascii="Arial" w:hAnsi="Arial" w:cs="Arial"/>
        <w:sz w:val="20"/>
        <w:szCs w:val="20"/>
      </w:rPr>
      <w:fldChar w:fldCharType="begin"/>
    </w:r>
    <w:r w:rsidRPr="00FE3B3A">
      <w:rPr>
        <w:rStyle w:val="PageNumber"/>
        <w:rFonts w:ascii="Arial" w:hAnsi="Arial" w:cs="Arial"/>
        <w:sz w:val="20"/>
        <w:szCs w:val="20"/>
      </w:rPr>
      <w:instrText xml:space="preserve"> PAGE </w:instrText>
    </w:r>
    <w:r w:rsidRPr="00FE3B3A">
      <w:rPr>
        <w:rStyle w:val="PageNumber"/>
        <w:rFonts w:ascii="Arial" w:hAnsi="Arial" w:cs="Arial"/>
        <w:sz w:val="20"/>
        <w:szCs w:val="20"/>
      </w:rPr>
      <w:fldChar w:fldCharType="separate"/>
    </w:r>
    <w:r>
      <w:rPr>
        <w:rStyle w:val="PageNumber"/>
        <w:rFonts w:ascii="Arial" w:hAnsi="Arial" w:cs="Arial"/>
        <w:noProof/>
        <w:sz w:val="20"/>
        <w:szCs w:val="20"/>
      </w:rPr>
      <w:t>3</w:t>
    </w:r>
    <w:r w:rsidRPr="00FE3B3A">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652" w:rsidRDefault="00E94652" w:rsidP="00E94652">
      <w:r>
        <w:separator/>
      </w:r>
    </w:p>
  </w:footnote>
  <w:footnote w:type="continuationSeparator" w:id="0">
    <w:p w:rsidR="00E94652" w:rsidRDefault="00E94652" w:rsidP="00E94652">
      <w:r>
        <w:continuationSeparator/>
      </w:r>
    </w:p>
  </w:footnote>
  <w:footnote w:id="1">
    <w:p w:rsidR="00E94652" w:rsidRPr="007414E8" w:rsidRDefault="00E94652" w:rsidP="00E94652">
      <w:pPr>
        <w:pStyle w:val="FootnoteText"/>
      </w:pPr>
      <w:r>
        <w:rPr>
          <w:rStyle w:val="FootnoteReference"/>
        </w:rPr>
        <w:footnoteRef/>
      </w:r>
      <w:r>
        <w:t xml:space="preserve"> </w:t>
      </w:r>
      <w:r w:rsidRPr="007414E8">
        <w:t>More information on the process for assessment of licence applications to release a genetically modified organism (GMO) into the environment is available from the Office of the Gene Technology Regulator (OGTR)</w:t>
      </w:r>
      <w:r>
        <w:t xml:space="preserve"> (Free call 1800 181 030 or at </w:t>
      </w:r>
      <w:hyperlink r:id="rId1" w:history="1">
        <w:r>
          <w:rPr>
            <w:rStyle w:val="Hyperlink"/>
          </w:rPr>
          <w:t>the OGTR website</w:t>
        </w:r>
      </w:hyperlink>
      <w:r w:rsidRPr="007414E8">
        <w:t xml:space="preserve">), and in the </w:t>
      </w:r>
      <w:hyperlink r:id="rId2" w:history="1">
        <w:r w:rsidRPr="00E94652">
          <w:rPr>
            <w:rStyle w:val="Hyperlink"/>
          </w:rPr>
          <w:t xml:space="preserve">Regulator’s </w:t>
        </w:r>
        <w:r w:rsidRPr="00E94652">
          <w:rPr>
            <w:rStyle w:val="Hyperlink"/>
            <w:i/>
          </w:rPr>
          <w:t>Risk Analysis Framework</w:t>
        </w:r>
      </w:hyperlink>
      <w:r w:rsidRPr="007414E8">
        <w:t xml:space="preserve"> </w:t>
      </w:r>
      <w:r>
        <w:fldChar w:fldCharType="begin"/>
      </w:r>
      <w:r>
        <w:instrText xml:space="preserve"> ADDIN REFMGR.CITE &lt;Refman&gt;&lt;Cite&gt;&lt;Author&gt;OGTR&lt;/Author&gt;&lt;Year&gt;2007&lt;/Year&gt;&lt;RecNum&gt;12991&lt;/RecNum&gt;&lt;IDText&gt;Risk Analysis Framework&lt;/IDText&gt;&lt;MDL Ref_Type="Report"&gt;&lt;Ref_Type&gt;Report&lt;/Ref_Type&gt;&lt;Ref_ID&gt;12991&lt;/Ref_ID&gt;&lt;Title_Primary&gt;Risk Analysis Framework&lt;/Title_Primary&gt;&lt;Authors_Primary&gt;OGTR&lt;/Authors_Primary&gt;&lt;Date_Primary&gt;2007&lt;/Date_Primary&gt;&lt;Keywords&gt;risk&lt;/Keywords&gt;&lt;Keywords&gt;analysis&lt;/Keywords&gt;&lt;Reprint&gt;In File&lt;/Reprint&gt;&lt;Publisher&gt;Version 2.2, Document produced by the Australian Government Office of the Gene Technology Regulator, available online from http://www.ogtr.gov.au/&lt;/Publisher&gt;&lt;Web_URL&gt;&lt;u&gt;http://www.ogtr.gov.au/&lt;/u&gt;&lt;/Web_URL&gt;&lt;ZZ_WorkformID&gt;24&lt;/ZZ_WorkformID&gt;&lt;/MDL&gt;&lt;/Cite&gt;&lt;/Refman&gt;</w:instrText>
      </w:r>
      <w:r>
        <w:fldChar w:fldCharType="separate"/>
      </w:r>
      <w:r>
        <w:t>(OGTR 2007)</w:t>
      </w:r>
      <w:r>
        <w:fldChar w:fldCharType="end"/>
      </w:r>
      <w:r>
        <w:t xml:space="preserve"> </w:t>
      </w:r>
    </w:p>
  </w:footnote>
  <w:footnote w:id="2">
    <w:p w:rsidR="00E94652" w:rsidRPr="00420F6C" w:rsidRDefault="00E94652" w:rsidP="00E94652">
      <w:pPr>
        <w:pStyle w:val="FootnoteText"/>
      </w:pPr>
      <w:r>
        <w:rPr>
          <w:rStyle w:val="FootnoteReference"/>
        </w:rPr>
        <w:footnoteRef/>
      </w:r>
      <w:r>
        <w:t xml:space="preserve"> </w:t>
      </w:r>
      <w:r w:rsidRPr="00420F6C">
        <w:t>Insect-protected, glufosinate ammonium-tolera</w:t>
      </w:r>
      <w:r>
        <w:t>nt cotton line MXB-13, Dow Agro</w:t>
      </w:r>
      <w:r w:rsidRPr="00420F6C">
        <w:t xml:space="preserve">Sciences, FSANZ Application </w:t>
      </w:r>
      <w:hyperlink r:id="rId3" w:anchor="search=%22application%20a518%22" w:history="1">
        <w:r w:rsidRPr="00955098">
          <w:rPr>
            <w:rStyle w:val="Hyperlink"/>
          </w:rPr>
          <w:t>A518</w:t>
        </w:r>
      </w:hyperlink>
      <w:r>
        <w:t>.</w:t>
      </w:r>
    </w:p>
  </w:footnote>
  <w:footnote w:id="3">
    <w:p w:rsidR="00E94652" w:rsidRDefault="00E94652" w:rsidP="00E94652">
      <w:pPr>
        <w:pStyle w:val="FootnoteText"/>
      </w:pPr>
      <w:r>
        <w:rPr>
          <w:rStyle w:val="FootnoteReference"/>
        </w:rPr>
        <w:footnoteRef/>
      </w:r>
      <w:r>
        <w:t xml:space="preserve"> More information on Australia’s integrated regulatory framework for gene technology is contained in the Risk Analysis Framework available from the OGTR (free call 1800 181 030 or at </w:t>
      </w:r>
      <w:hyperlink r:id="rId4" w:history="1">
        <w:r w:rsidRPr="00E92DFA">
          <w:rPr>
            <w:rStyle w:val="Hyperlink"/>
          </w:rPr>
          <w:t>the OGTR website</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500" w:rsidRDefault="00E94652" w:rsidP="00024650">
    <w:pPr>
      <w:pBdr>
        <w:bottom w:val="single" w:sz="4" w:space="1" w:color="auto"/>
      </w:pBdr>
      <w:tabs>
        <w:tab w:val="center" w:pos="4153"/>
        <w:tab w:val="right" w:pos="8306"/>
      </w:tabs>
      <w:jc w:val="center"/>
      <w:rPr>
        <w:rFonts w:ascii="Arial" w:hAnsi="Arial" w:cs="Arial"/>
        <w:sz w:val="16"/>
        <w:szCs w:val="16"/>
      </w:rPr>
    </w:pPr>
    <w:r>
      <w:rPr>
        <w:rFonts w:ascii="Arial" w:hAnsi="Arial" w:cs="Arial"/>
        <w:sz w:val="16"/>
        <w:szCs w:val="16"/>
      </w:rPr>
      <w:t>Office of the Gene Technology Regulat</w:t>
    </w:r>
    <w:r>
      <w:rPr>
        <w:rFonts w:ascii="Arial" w:hAnsi="Arial" w:cs="Arial"/>
        <w:sz w:val="16"/>
        <w:szCs w:val="16"/>
      </w:rPr>
      <w:t>or</w:t>
    </w:r>
  </w:p>
  <w:p w:rsidR="00223500" w:rsidRDefault="00E94652" w:rsidP="00024650">
    <w:pPr>
      <w:pStyle w:val="Header"/>
    </w:pPr>
  </w:p>
  <w:p w:rsidR="00223500" w:rsidRDefault="00E94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500" w:rsidRDefault="00E94652">
    <w:pPr>
      <w:pStyle w:val="Header"/>
    </w:pPr>
    <w:r>
      <w:rPr>
        <w:noProof/>
      </w:rPr>
      <w:drawing>
        <wp:inline distT="0" distB="0" distL="0" distR="0">
          <wp:extent cx="3600450" cy="866775"/>
          <wp:effectExtent l="0" t="0" r="0" b="9525"/>
          <wp:docPr id="1" name="Picture 1" title="Australian Government Department of Health OG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5949EA4"/>
    <w:lvl w:ilvl="0">
      <w:start w:val="1"/>
      <w:numFmt w:val="bullet"/>
      <w:pStyle w:val="ListBullet"/>
      <w:lvlText w:val=""/>
      <w:lvlJc w:val="left"/>
      <w:pPr>
        <w:tabs>
          <w:tab w:val="num" w:pos="284"/>
        </w:tabs>
        <w:ind w:left="284" w:hanging="284"/>
      </w:pPr>
      <w:rPr>
        <w:rFonts w:ascii="Symbol" w:hAnsi="Symbol" w:hint="default"/>
        <w:b w:val="0"/>
        <w:i w:val="0"/>
        <w:sz w:val="18"/>
        <w:szCs w:val="18"/>
      </w:rPr>
    </w:lvl>
  </w:abstractNum>
  <w:abstractNum w:abstractNumId="1" w15:restartNumberingAfterBreak="0">
    <w:nsid w:val="414A6F0C"/>
    <w:multiLevelType w:val="hybridMultilevel"/>
    <w:tmpl w:val="EC5880AE"/>
    <w:lvl w:ilvl="0" w:tplc="48A693DC">
      <w:start w:val="1"/>
      <w:numFmt w:val="bullet"/>
      <w:pStyle w:val="BulletedRARMP"/>
      <w:lvlText w:val=""/>
      <w:lvlJc w:val="left"/>
      <w:pPr>
        <w:tabs>
          <w:tab w:val="num" w:pos="567"/>
        </w:tabs>
        <w:ind w:left="567" w:hanging="283"/>
      </w:pPr>
      <w:rPr>
        <w:rFonts w:ascii="Symbol" w:hAnsi="Symbol" w:cs="Symbol" w:hint="default"/>
      </w:rPr>
    </w:lvl>
    <w:lvl w:ilvl="1" w:tplc="DC80B2F8">
      <w:start w:val="1"/>
      <w:numFmt w:val="bullet"/>
      <w:lvlText w:val="o"/>
      <w:lvlJc w:val="left"/>
      <w:pPr>
        <w:tabs>
          <w:tab w:val="num" w:pos="1440"/>
        </w:tabs>
        <w:ind w:left="1440" w:hanging="360"/>
      </w:pPr>
      <w:rPr>
        <w:rFonts w:ascii="Courier New" w:hAnsi="Courier New" w:cs="Courier New" w:hint="default"/>
      </w:rPr>
    </w:lvl>
    <w:lvl w:ilvl="2" w:tplc="586464BE">
      <w:start w:val="1"/>
      <w:numFmt w:val="bullet"/>
      <w:lvlText w:val=""/>
      <w:lvlJc w:val="left"/>
      <w:pPr>
        <w:tabs>
          <w:tab w:val="num" w:pos="2160"/>
        </w:tabs>
        <w:ind w:left="2160" w:hanging="360"/>
      </w:pPr>
      <w:rPr>
        <w:rFonts w:ascii="Wingdings" w:hAnsi="Wingdings" w:cs="Wingdings" w:hint="default"/>
      </w:rPr>
    </w:lvl>
    <w:lvl w:ilvl="3" w:tplc="36407F32">
      <w:start w:val="1"/>
      <w:numFmt w:val="bullet"/>
      <w:lvlText w:val=""/>
      <w:lvlJc w:val="left"/>
      <w:pPr>
        <w:tabs>
          <w:tab w:val="num" w:pos="2880"/>
        </w:tabs>
        <w:ind w:left="2880" w:hanging="360"/>
      </w:pPr>
      <w:rPr>
        <w:rFonts w:ascii="Symbol" w:hAnsi="Symbol" w:cs="Symbol" w:hint="default"/>
      </w:rPr>
    </w:lvl>
    <w:lvl w:ilvl="4" w:tplc="2438BFFA">
      <w:start w:val="1"/>
      <w:numFmt w:val="bullet"/>
      <w:lvlText w:val="o"/>
      <w:lvlJc w:val="left"/>
      <w:pPr>
        <w:tabs>
          <w:tab w:val="num" w:pos="3600"/>
        </w:tabs>
        <w:ind w:left="3600" w:hanging="360"/>
      </w:pPr>
      <w:rPr>
        <w:rFonts w:ascii="Courier New" w:hAnsi="Courier New" w:cs="Courier New" w:hint="default"/>
      </w:rPr>
    </w:lvl>
    <w:lvl w:ilvl="5" w:tplc="8F9E0EA4">
      <w:start w:val="1"/>
      <w:numFmt w:val="bullet"/>
      <w:lvlText w:val=""/>
      <w:lvlJc w:val="left"/>
      <w:pPr>
        <w:tabs>
          <w:tab w:val="num" w:pos="4320"/>
        </w:tabs>
        <w:ind w:left="4320" w:hanging="360"/>
      </w:pPr>
      <w:rPr>
        <w:rFonts w:ascii="Wingdings" w:hAnsi="Wingdings" w:cs="Wingdings" w:hint="default"/>
      </w:rPr>
    </w:lvl>
    <w:lvl w:ilvl="6" w:tplc="EF8427AE">
      <w:start w:val="1"/>
      <w:numFmt w:val="bullet"/>
      <w:lvlText w:val=""/>
      <w:lvlJc w:val="left"/>
      <w:pPr>
        <w:tabs>
          <w:tab w:val="num" w:pos="5040"/>
        </w:tabs>
        <w:ind w:left="5040" w:hanging="360"/>
      </w:pPr>
      <w:rPr>
        <w:rFonts w:ascii="Symbol" w:hAnsi="Symbol" w:cs="Symbol" w:hint="default"/>
      </w:rPr>
    </w:lvl>
    <w:lvl w:ilvl="7" w:tplc="C6846334">
      <w:start w:val="1"/>
      <w:numFmt w:val="bullet"/>
      <w:lvlText w:val="o"/>
      <w:lvlJc w:val="left"/>
      <w:pPr>
        <w:tabs>
          <w:tab w:val="num" w:pos="5760"/>
        </w:tabs>
        <w:ind w:left="5760" w:hanging="360"/>
      </w:pPr>
      <w:rPr>
        <w:rFonts w:ascii="Courier New" w:hAnsi="Courier New" w:cs="Courier New" w:hint="default"/>
      </w:rPr>
    </w:lvl>
    <w:lvl w:ilvl="8" w:tplc="1F1A9482">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52"/>
    <w:rsid w:val="007912D5"/>
    <w:rsid w:val="00E946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B449B"/>
  <w15:chartTrackingRefBased/>
  <w15:docId w15:val="{0CC63016-2844-4875-B6EA-265A69F7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652"/>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E9465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9465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E9465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94652"/>
    <w:rPr>
      <w:sz w:val="20"/>
      <w:szCs w:val="20"/>
    </w:rPr>
  </w:style>
  <w:style w:type="character" w:customStyle="1" w:styleId="FootnoteTextChar">
    <w:name w:val="Footnote Text Char"/>
    <w:basedOn w:val="DefaultParagraphFont"/>
    <w:link w:val="FootnoteText"/>
    <w:semiHidden/>
    <w:rsid w:val="00E94652"/>
    <w:rPr>
      <w:rFonts w:ascii="Times New Roman" w:eastAsia="Times New Roman" w:hAnsi="Times New Roman" w:cs="Times New Roman"/>
      <w:sz w:val="20"/>
      <w:szCs w:val="20"/>
      <w:lang w:eastAsia="en-AU"/>
    </w:rPr>
  </w:style>
  <w:style w:type="paragraph" w:customStyle="1" w:styleId="Paranonumbers">
    <w:name w:val="Para no numbers"/>
    <w:basedOn w:val="Normal"/>
    <w:link w:val="ParanonumbersChar"/>
    <w:rsid w:val="00E94652"/>
    <w:pPr>
      <w:spacing w:before="120" w:after="120"/>
    </w:pPr>
  </w:style>
  <w:style w:type="character" w:styleId="FootnoteReference">
    <w:name w:val="footnote reference"/>
    <w:basedOn w:val="DefaultParagraphFont"/>
    <w:semiHidden/>
    <w:rsid w:val="00E94652"/>
    <w:rPr>
      <w:vertAlign w:val="superscript"/>
    </w:rPr>
  </w:style>
  <w:style w:type="character" w:customStyle="1" w:styleId="ParanonumbersChar">
    <w:name w:val="Para no numbers Char"/>
    <w:basedOn w:val="DefaultParagraphFont"/>
    <w:link w:val="Paranonumbers"/>
    <w:rsid w:val="00E94652"/>
    <w:rPr>
      <w:rFonts w:ascii="Times New Roman" w:eastAsia="Times New Roman" w:hAnsi="Times New Roman" w:cs="Times New Roman"/>
      <w:sz w:val="24"/>
      <w:szCs w:val="24"/>
      <w:lang w:eastAsia="en-AU"/>
    </w:rPr>
  </w:style>
  <w:style w:type="paragraph" w:styleId="Header">
    <w:name w:val="header"/>
    <w:basedOn w:val="Normal"/>
    <w:link w:val="HeaderChar"/>
    <w:rsid w:val="00E94652"/>
    <w:pPr>
      <w:tabs>
        <w:tab w:val="center" w:pos="4153"/>
        <w:tab w:val="right" w:pos="8306"/>
      </w:tabs>
    </w:pPr>
  </w:style>
  <w:style w:type="character" w:customStyle="1" w:styleId="HeaderChar">
    <w:name w:val="Header Char"/>
    <w:basedOn w:val="DefaultParagraphFont"/>
    <w:link w:val="Header"/>
    <w:rsid w:val="00E94652"/>
    <w:rPr>
      <w:rFonts w:ascii="Times New Roman" w:eastAsia="Times New Roman" w:hAnsi="Times New Roman" w:cs="Times New Roman"/>
      <w:sz w:val="24"/>
      <w:szCs w:val="24"/>
      <w:lang w:eastAsia="en-AU"/>
    </w:rPr>
  </w:style>
  <w:style w:type="paragraph" w:styleId="Footer">
    <w:name w:val="footer"/>
    <w:basedOn w:val="Normal"/>
    <w:link w:val="FooterChar"/>
    <w:rsid w:val="00E94652"/>
    <w:pPr>
      <w:tabs>
        <w:tab w:val="center" w:pos="4153"/>
        <w:tab w:val="right" w:pos="8306"/>
      </w:tabs>
    </w:pPr>
  </w:style>
  <w:style w:type="character" w:customStyle="1" w:styleId="FooterChar">
    <w:name w:val="Footer Char"/>
    <w:basedOn w:val="DefaultParagraphFont"/>
    <w:link w:val="Footer"/>
    <w:rsid w:val="00E94652"/>
    <w:rPr>
      <w:rFonts w:ascii="Times New Roman" w:eastAsia="Times New Roman" w:hAnsi="Times New Roman" w:cs="Times New Roman"/>
      <w:sz w:val="24"/>
      <w:szCs w:val="24"/>
      <w:lang w:eastAsia="en-AU"/>
    </w:rPr>
  </w:style>
  <w:style w:type="character" w:styleId="PageNumber">
    <w:name w:val="page number"/>
    <w:basedOn w:val="DefaultParagraphFont"/>
    <w:rsid w:val="00E94652"/>
  </w:style>
  <w:style w:type="paragraph" w:customStyle="1" w:styleId="Heading1centered">
    <w:name w:val="Heading 1 centered"/>
    <w:basedOn w:val="Heading1"/>
    <w:rsid w:val="00E94652"/>
    <w:pPr>
      <w:keepLines w:val="0"/>
      <w:spacing w:before="120" w:after="120"/>
      <w:jc w:val="center"/>
    </w:pPr>
    <w:rPr>
      <w:rFonts w:ascii="Arial (W1)" w:eastAsia="Times New Roman" w:hAnsi="Arial (W1)" w:cs="Arial (W1)"/>
      <w:b/>
      <w:bCs/>
      <w:caps/>
      <w:color w:val="auto"/>
      <w:kern w:val="32"/>
    </w:rPr>
  </w:style>
  <w:style w:type="character" w:styleId="Hyperlink">
    <w:name w:val="Hyperlink"/>
    <w:basedOn w:val="DefaultParagraphFont"/>
    <w:rsid w:val="00E94652"/>
    <w:rPr>
      <w:color w:val="0000FF"/>
      <w:u w:val="single"/>
    </w:rPr>
  </w:style>
  <w:style w:type="paragraph" w:customStyle="1" w:styleId="CharChar1Char">
    <w:name w:val="Char Char1 Char"/>
    <w:basedOn w:val="Normal"/>
    <w:rsid w:val="00E94652"/>
    <w:rPr>
      <w:rFonts w:ascii="Arial" w:hAnsi="Arial"/>
      <w:sz w:val="22"/>
      <w:szCs w:val="20"/>
      <w:lang w:eastAsia="en-US"/>
    </w:rPr>
  </w:style>
  <w:style w:type="paragraph" w:customStyle="1" w:styleId="BulletedRARMP">
    <w:name w:val="Bulleted RARMP"/>
    <w:basedOn w:val="Normal"/>
    <w:link w:val="BulletedRARMPCharChar"/>
    <w:rsid w:val="00E94652"/>
    <w:pPr>
      <w:numPr>
        <w:numId w:val="1"/>
      </w:numPr>
      <w:spacing w:after="60"/>
    </w:pPr>
  </w:style>
  <w:style w:type="character" w:customStyle="1" w:styleId="BulletedRARMPCharChar">
    <w:name w:val="Bulleted RARMP Char Char"/>
    <w:basedOn w:val="DefaultParagraphFont"/>
    <w:link w:val="BulletedRARMP"/>
    <w:rsid w:val="00E94652"/>
    <w:rPr>
      <w:rFonts w:ascii="Times New Roman" w:eastAsia="Times New Roman" w:hAnsi="Times New Roman" w:cs="Times New Roman"/>
      <w:sz w:val="24"/>
      <w:szCs w:val="24"/>
      <w:lang w:eastAsia="en-AU"/>
    </w:rPr>
  </w:style>
  <w:style w:type="paragraph" w:styleId="ListBullet">
    <w:name w:val="List Bullet"/>
    <w:basedOn w:val="Normal"/>
    <w:rsid w:val="00E94652"/>
    <w:pPr>
      <w:numPr>
        <w:numId w:val="2"/>
      </w:numPr>
    </w:pPr>
    <w:rPr>
      <w:rFonts w:ascii="Arial Narrow" w:hAnsi="Arial Narrow"/>
      <w:sz w:val="18"/>
    </w:rPr>
  </w:style>
  <w:style w:type="paragraph" w:customStyle="1" w:styleId="Legend">
    <w:name w:val="Legend"/>
    <w:basedOn w:val="Normal"/>
    <w:rsid w:val="00E94652"/>
    <w:pPr>
      <w:spacing w:before="120" w:after="120"/>
    </w:pPr>
    <w:rPr>
      <w:rFonts w:ascii="Arial Narrow" w:hAnsi="Arial Narrow"/>
      <w:sz w:val="18"/>
    </w:rPr>
  </w:style>
  <w:style w:type="paragraph" w:customStyle="1" w:styleId="Event">
    <w:name w:val="Event"/>
    <w:basedOn w:val="Heading4"/>
    <w:next w:val="Normal"/>
    <w:autoRedefine/>
    <w:rsid w:val="00E94652"/>
    <w:pPr>
      <w:keepLines w:val="0"/>
      <w:spacing w:before="240" w:after="60"/>
    </w:pPr>
    <w:rPr>
      <w:rFonts w:ascii="Times New Roman" w:eastAsia="Times New Roman" w:hAnsi="Times New Roman" w:cs="Times New Roman"/>
      <w:b/>
      <w:iCs w:val="0"/>
      <w:color w:val="auto"/>
      <w:szCs w:val="26"/>
    </w:rPr>
  </w:style>
  <w:style w:type="table" w:customStyle="1" w:styleId="RARMPtable">
    <w:name w:val="RARMP table"/>
    <w:basedOn w:val="TableElegant"/>
    <w:rsid w:val="00E94652"/>
    <w:rPr>
      <w:rFonts w:ascii="Arial Narrow" w:eastAsia="Times New Roman" w:hAnsi="Arial Narrow" w:cs="Times New Roman"/>
      <w:sz w:val="18"/>
      <w:szCs w:val="20"/>
      <w:lang w:eastAsia="en-AU"/>
    </w:rPr>
    <w:tblPr/>
    <w:tcPr>
      <w:shd w:val="clear" w:color="auto" w:fill="auto"/>
    </w:tcPr>
    <w:tblStylePr w:type="firstRow">
      <w:rPr>
        <w:rFonts w:ascii="Calibri Light" w:hAnsi="Calibri Light"/>
        <w:b/>
        <w:i w:val="0"/>
        <w:caps w:val="0"/>
        <w:color w:val="auto"/>
        <w:sz w:val="18"/>
        <w:szCs w:val="18"/>
      </w:rPr>
      <w:tblPr/>
      <w:tcPr>
        <w:tcBorders>
          <w:top w:val="double" w:sz="4" w:space="0" w:color="auto"/>
          <w:left w:val="double" w:sz="4" w:space="0" w:color="auto"/>
          <w:bottom w:val="double" w:sz="4" w:space="0" w:color="auto"/>
          <w:right w:val="double" w:sz="4" w:space="0" w:color="auto"/>
          <w:insideH w:val="single" w:sz="6" w:space="0" w:color="auto"/>
          <w:insideV w:val="single" w:sz="6" w:space="0" w:color="auto"/>
          <w:tl2br w:val="nil"/>
          <w:tr2bl w:val="nil"/>
        </w:tcBorders>
        <w:shd w:val="clear" w:color="auto" w:fill="E0E0E0"/>
      </w:tcPr>
    </w:tblStylePr>
  </w:style>
  <w:style w:type="paragraph" w:styleId="Caption">
    <w:name w:val="caption"/>
    <w:basedOn w:val="Normal"/>
    <w:next w:val="Normal"/>
    <w:qFormat/>
    <w:rsid w:val="00E94652"/>
    <w:rPr>
      <w:b/>
      <w:bCs/>
      <w:sz w:val="20"/>
      <w:szCs w:val="20"/>
    </w:rPr>
  </w:style>
  <w:style w:type="paragraph" w:customStyle="1" w:styleId="HeadingRARMP2">
    <w:name w:val="Heading RARMP 2"/>
    <w:basedOn w:val="Heading2"/>
    <w:rsid w:val="00E94652"/>
    <w:pPr>
      <w:keepLines w:val="0"/>
      <w:spacing w:before="240" w:after="60"/>
    </w:pPr>
    <w:rPr>
      <w:rFonts w:ascii="Arial" w:eastAsia="Times New Roman" w:hAnsi="Arial" w:cs="Arial"/>
      <w:b/>
      <w:bCs/>
      <w:i/>
      <w:iCs/>
      <w:color w:val="auto"/>
      <w:sz w:val="28"/>
      <w:szCs w:val="28"/>
    </w:rPr>
  </w:style>
  <w:style w:type="character" w:customStyle="1" w:styleId="Heading1Char">
    <w:name w:val="Heading 1 Char"/>
    <w:basedOn w:val="DefaultParagraphFont"/>
    <w:link w:val="Heading1"/>
    <w:uiPriority w:val="9"/>
    <w:rsid w:val="00E94652"/>
    <w:rPr>
      <w:rFonts w:asciiTheme="majorHAnsi" w:eastAsiaTheme="majorEastAsia" w:hAnsiTheme="majorHAnsi" w:cstheme="majorBidi"/>
      <w:color w:val="2E74B5" w:themeColor="accent1" w:themeShade="BF"/>
      <w:sz w:val="32"/>
      <w:szCs w:val="32"/>
      <w:lang w:eastAsia="en-AU"/>
    </w:rPr>
  </w:style>
  <w:style w:type="character" w:customStyle="1" w:styleId="Heading4Char">
    <w:name w:val="Heading 4 Char"/>
    <w:basedOn w:val="DefaultParagraphFont"/>
    <w:link w:val="Heading4"/>
    <w:uiPriority w:val="9"/>
    <w:semiHidden/>
    <w:rsid w:val="00E94652"/>
    <w:rPr>
      <w:rFonts w:asciiTheme="majorHAnsi" w:eastAsiaTheme="majorEastAsia" w:hAnsiTheme="majorHAnsi" w:cstheme="majorBidi"/>
      <w:i/>
      <w:iCs/>
      <w:color w:val="2E74B5" w:themeColor="accent1" w:themeShade="BF"/>
      <w:sz w:val="24"/>
      <w:szCs w:val="24"/>
      <w:lang w:eastAsia="en-AU"/>
    </w:rPr>
  </w:style>
  <w:style w:type="table" w:styleId="TableElegant">
    <w:name w:val="Table Elegant"/>
    <w:basedOn w:val="TableNormal"/>
    <w:uiPriority w:val="99"/>
    <w:semiHidden/>
    <w:unhideWhenUsed/>
    <w:rsid w:val="00E94652"/>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uiPriority w:val="9"/>
    <w:semiHidden/>
    <w:rsid w:val="00E94652"/>
    <w:rPr>
      <w:rFonts w:asciiTheme="majorHAnsi" w:eastAsiaTheme="majorEastAsia" w:hAnsiTheme="majorHAnsi" w:cstheme="majorBidi"/>
      <w:color w:val="2E74B5" w:themeColor="accent1" w:themeShade="BF"/>
      <w:sz w:val="26"/>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gtr.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_srcfiles/A518%20GM%20Cotton%20FRR_.pdf" TargetMode="External"/><Relationship Id="rId2" Type="http://schemas.openxmlformats.org/officeDocument/2006/relationships/hyperlink" Target="http://www.ogtr.gov.au/internet/ogtr/publishing.nsf/Content/riskassessments-1" TargetMode="External"/><Relationship Id="rId1" Type="http://schemas.openxmlformats.org/officeDocument/2006/relationships/hyperlink" Target="http://www.ogtr.gov.au/internet/ogtr/publishing.nsf/Content/process-1" TargetMode="External"/><Relationship Id="rId4" Type="http://schemas.openxmlformats.org/officeDocument/2006/relationships/hyperlink" Target="http://ogtr.gov.au/internet/ogtr/publishing.nsf/Content/riskassessments-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2758</Words>
  <Characters>15725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091 -Technical Summary</dc:title>
  <dc:subject/>
  <dc:creator>OGTR.Voicemail@health.gov.au</dc:creator>
  <cp:keywords/>
  <dc:description/>
  <cp:lastModifiedBy>SMITH, Justine</cp:lastModifiedBy>
  <cp:revision>1</cp:revision>
  <dcterms:created xsi:type="dcterms:W3CDTF">2020-12-01T12:00:00Z</dcterms:created>
  <dcterms:modified xsi:type="dcterms:W3CDTF">2020-12-01T12:02:00Z</dcterms:modified>
</cp:coreProperties>
</file>