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80" w:rsidRPr="00C01C92" w:rsidRDefault="004B7280" w:rsidP="004B7280">
      <w:pPr>
        <w:pStyle w:val="Header"/>
        <w:tabs>
          <w:tab w:val="clear" w:pos="4153"/>
          <w:tab w:val="clear" w:pos="8306"/>
        </w:tabs>
        <w:rPr>
          <w:lang w:val="en-US"/>
        </w:rPr>
      </w:pPr>
    </w:p>
    <w:p w:rsidR="004B7280" w:rsidRPr="00C01C92" w:rsidRDefault="004B7280" w:rsidP="004B7280">
      <w:pPr>
        <w:pStyle w:val="BodyText"/>
      </w:pPr>
      <w:r w:rsidRPr="00C01C92">
        <w:t>APPLICATION FOR LICENCE FOR COMMERCIAL RELEASE OF GMO INTO THE ENVIRONMENT: Application No. DIR 066/2006</w:t>
      </w:r>
    </w:p>
    <w:p w:rsidR="004B7280" w:rsidRPr="00C01C92" w:rsidRDefault="004B7280" w:rsidP="004B7280">
      <w:pPr>
        <w:pStyle w:val="BodyText"/>
      </w:pPr>
    </w:p>
    <w:p w:rsidR="004B7280" w:rsidRPr="00C01C92" w:rsidRDefault="004B7280" w:rsidP="004B7280">
      <w:pPr>
        <w:pStyle w:val="Heading3"/>
        <w:jc w:val="center"/>
        <w:rPr>
          <w:sz w:val="28"/>
        </w:rPr>
      </w:pPr>
      <w:r w:rsidRPr="00C01C92">
        <w:rPr>
          <w:sz w:val="28"/>
        </w:rPr>
        <w:t>SUMMARY INFORMATION</w:t>
      </w:r>
    </w:p>
    <w:p w:rsidR="004B7280" w:rsidRPr="00C01C92" w:rsidRDefault="004B7280" w:rsidP="004B7280"/>
    <w:tbl>
      <w:tblPr>
        <w:tblW w:w="9072" w:type="dxa"/>
        <w:tblInd w:w="-34" w:type="dxa"/>
        <w:tblLayout w:type="fixed"/>
        <w:tblLook w:val="0000" w:firstRow="0" w:lastRow="0" w:firstColumn="0" w:lastColumn="0" w:noHBand="0" w:noVBand="0"/>
      </w:tblPr>
      <w:tblGrid>
        <w:gridCol w:w="3828"/>
        <w:gridCol w:w="5244"/>
      </w:tblGrid>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bookmarkStart w:id="0" w:name="_Toc354286329"/>
            <w:bookmarkStart w:id="1" w:name="_Toc365365034"/>
            <w:bookmarkStart w:id="2" w:name="_Toc366375608"/>
            <w:bookmarkStart w:id="3" w:name="_Toc366375979"/>
            <w:bookmarkStart w:id="4" w:name="_Toc366472959"/>
            <w:r w:rsidRPr="00C01C92">
              <w:rPr>
                <w:rFonts w:ascii="Arial Narrow" w:hAnsi="Arial Narrow"/>
                <w:b/>
                <w:szCs w:val="22"/>
              </w:rPr>
              <w:t>Project Title:</w:t>
            </w:r>
          </w:p>
        </w:tc>
        <w:tc>
          <w:tcPr>
            <w:tcW w:w="5244" w:type="dxa"/>
          </w:tcPr>
          <w:p w:rsidR="004B7280" w:rsidRPr="00C01C92" w:rsidRDefault="004B7280" w:rsidP="00F004B0">
            <w:pPr>
              <w:pStyle w:val="RIGHTLIST"/>
              <w:spacing w:after="80"/>
              <w:rPr>
                <w:sz w:val="24"/>
                <w:szCs w:val="24"/>
              </w:rPr>
            </w:pPr>
            <w:r w:rsidRPr="00C01C92">
              <w:rPr>
                <w:sz w:val="24"/>
                <w:szCs w:val="24"/>
              </w:rPr>
              <w:t>Commercial release of GM herbicide tolerant and/or insect resistant cottons north of latitude 22º South</w:t>
            </w:r>
            <w:r w:rsidRPr="00C01C92">
              <w:rPr>
                <w:sz w:val="24"/>
                <w:szCs w:val="24"/>
                <w:vertAlign w:val="superscript"/>
              </w:rPr>
              <w:t>1</w:t>
            </w:r>
            <w:r w:rsidRPr="00C01C92">
              <w:rPr>
                <w:sz w:val="24"/>
                <w:szCs w:val="24"/>
              </w:rPr>
              <w:t xml:space="preserve"> </w:t>
            </w:r>
          </w:p>
        </w:tc>
      </w:tr>
      <w:bookmarkEnd w:id="0"/>
      <w:bookmarkEnd w:id="1"/>
      <w:bookmarkEnd w:id="2"/>
      <w:bookmarkEnd w:id="3"/>
      <w:bookmarkEnd w:id="4"/>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Applicant:</w:t>
            </w:r>
          </w:p>
        </w:tc>
        <w:tc>
          <w:tcPr>
            <w:tcW w:w="5244" w:type="dxa"/>
          </w:tcPr>
          <w:p w:rsidR="004B7280" w:rsidRPr="00C01C92" w:rsidRDefault="004B7280" w:rsidP="00F004B0">
            <w:pPr>
              <w:pStyle w:val="RIGHTLIST"/>
              <w:spacing w:before="40" w:after="0"/>
              <w:rPr>
                <w:sz w:val="24"/>
                <w:szCs w:val="24"/>
                <w:lang w:val="pt-BR"/>
              </w:rPr>
            </w:pPr>
            <w:r w:rsidRPr="00C01C92">
              <w:rPr>
                <w:sz w:val="24"/>
                <w:szCs w:val="24"/>
                <w:lang w:val="pt-BR"/>
              </w:rPr>
              <w:t xml:space="preserve">Monsanto Australia Ltd </w:t>
            </w:r>
            <w:r w:rsidRPr="00C01C92">
              <w:rPr>
                <w:sz w:val="24"/>
                <w:szCs w:val="24"/>
                <w:lang w:val="pt-BR"/>
              </w:rPr>
              <w:br/>
              <w:t>PO Box 6051</w:t>
            </w:r>
            <w:r w:rsidRPr="00C01C92">
              <w:rPr>
                <w:sz w:val="24"/>
                <w:szCs w:val="24"/>
                <w:lang w:val="pt-BR"/>
              </w:rPr>
              <w:br/>
              <w:t>Melbourne, VIC 8008</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Common name of the parent organism:</w:t>
            </w:r>
          </w:p>
        </w:tc>
        <w:tc>
          <w:tcPr>
            <w:tcW w:w="5244" w:type="dxa"/>
          </w:tcPr>
          <w:p w:rsidR="004B7280" w:rsidRPr="00C01C92" w:rsidRDefault="004B7280" w:rsidP="00F004B0">
            <w:pPr>
              <w:pStyle w:val="RIGHTLIST"/>
              <w:spacing w:after="80"/>
              <w:rPr>
                <w:sz w:val="24"/>
                <w:szCs w:val="24"/>
              </w:rPr>
            </w:pPr>
            <w:r w:rsidRPr="00C01C92">
              <w:rPr>
                <w:sz w:val="24"/>
                <w:szCs w:val="24"/>
              </w:rPr>
              <w:t>Cotton</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Scientific name of the parent organism:</w:t>
            </w:r>
          </w:p>
        </w:tc>
        <w:tc>
          <w:tcPr>
            <w:tcW w:w="5244" w:type="dxa"/>
          </w:tcPr>
          <w:p w:rsidR="004B7280" w:rsidRPr="00C01C92" w:rsidRDefault="004B7280" w:rsidP="00F004B0">
            <w:pPr>
              <w:pStyle w:val="RIGHTLIST"/>
              <w:spacing w:after="80"/>
              <w:rPr>
                <w:sz w:val="24"/>
                <w:szCs w:val="24"/>
              </w:rPr>
            </w:pPr>
            <w:proofErr w:type="spellStart"/>
            <w:r w:rsidRPr="00C01C92">
              <w:rPr>
                <w:i/>
                <w:sz w:val="24"/>
                <w:szCs w:val="24"/>
              </w:rPr>
              <w:t>Gossypium</w:t>
            </w:r>
            <w:proofErr w:type="spellEnd"/>
            <w:r w:rsidRPr="00C01C92">
              <w:rPr>
                <w:i/>
                <w:sz w:val="24"/>
                <w:szCs w:val="24"/>
              </w:rPr>
              <w:t xml:space="preserve"> </w:t>
            </w:r>
            <w:proofErr w:type="spellStart"/>
            <w:r w:rsidRPr="00C01C92">
              <w:rPr>
                <w:i/>
                <w:sz w:val="24"/>
                <w:szCs w:val="24"/>
              </w:rPr>
              <w:t>hirsutum</w:t>
            </w:r>
            <w:proofErr w:type="spellEnd"/>
            <w:r w:rsidRPr="00C01C92">
              <w:rPr>
                <w:sz w:val="24"/>
                <w:szCs w:val="24"/>
              </w:rPr>
              <w:t xml:space="preserve"> L.</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Modified trait(s):</w:t>
            </w:r>
          </w:p>
        </w:tc>
        <w:tc>
          <w:tcPr>
            <w:tcW w:w="5244" w:type="dxa"/>
          </w:tcPr>
          <w:p w:rsidR="004B7280" w:rsidRPr="00C01C92" w:rsidRDefault="004B7280" w:rsidP="00F004B0">
            <w:pPr>
              <w:pStyle w:val="RIGHTLIST"/>
              <w:spacing w:after="80"/>
              <w:rPr>
                <w:sz w:val="24"/>
                <w:szCs w:val="24"/>
              </w:rPr>
            </w:pPr>
            <w:r w:rsidRPr="00C01C92">
              <w:rPr>
                <w:sz w:val="24"/>
                <w:szCs w:val="24"/>
              </w:rPr>
              <w:t>Herbicide tolerance and/or insect resistance</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Identity of the gene(s) responsible for the modified trait(s):</w:t>
            </w:r>
          </w:p>
        </w:tc>
        <w:tc>
          <w:tcPr>
            <w:tcW w:w="5244" w:type="dxa"/>
          </w:tcPr>
          <w:p w:rsidR="004B7280" w:rsidRPr="00C01C92" w:rsidRDefault="004B7280" w:rsidP="004B7280">
            <w:pPr>
              <w:pStyle w:val="RIGHTLIST"/>
              <w:numPr>
                <w:ilvl w:val="0"/>
                <w:numId w:val="1"/>
              </w:numPr>
              <w:spacing w:before="60"/>
              <w:ind w:left="357" w:hanging="357"/>
              <w:rPr>
                <w:sz w:val="24"/>
                <w:szCs w:val="24"/>
              </w:rPr>
            </w:pPr>
            <w:r w:rsidRPr="00C01C92">
              <w:rPr>
                <w:i/>
                <w:sz w:val="24"/>
                <w:szCs w:val="24"/>
              </w:rPr>
              <w:t xml:space="preserve">cp4 </w:t>
            </w:r>
            <w:proofErr w:type="spellStart"/>
            <w:r w:rsidRPr="00C01C92">
              <w:rPr>
                <w:i/>
                <w:sz w:val="24"/>
                <w:szCs w:val="24"/>
              </w:rPr>
              <w:t>epsps</w:t>
            </w:r>
            <w:proofErr w:type="spellEnd"/>
            <w:r w:rsidRPr="00C01C92">
              <w:rPr>
                <w:sz w:val="24"/>
                <w:szCs w:val="24"/>
              </w:rPr>
              <w:t xml:space="preserve"> gene from Agrobacterium sp. strain CP4 (herbicide tolerance)</w:t>
            </w:r>
          </w:p>
          <w:p w:rsidR="004B7280" w:rsidRPr="00C01C92" w:rsidRDefault="004B7280" w:rsidP="004B7280">
            <w:pPr>
              <w:pStyle w:val="RIGHTLIST"/>
              <w:numPr>
                <w:ilvl w:val="0"/>
                <w:numId w:val="1"/>
              </w:numPr>
              <w:spacing w:before="60"/>
              <w:ind w:left="357" w:hanging="357"/>
              <w:rPr>
                <w:sz w:val="24"/>
                <w:szCs w:val="24"/>
              </w:rPr>
            </w:pPr>
            <w:r w:rsidRPr="00C01C92">
              <w:rPr>
                <w:i/>
                <w:sz w:val="24"/>
                <w:szCs w:val="24"/>
              </w:rPr>
              <w:t>cry1Ac</w:t>
            </w:r>
            <w:r w:rsidRPr="00C01C92">
              <w:rPr>
                <w:sz w:val="24"/>
                <w:szCs w:val="24"/>
              </w:rPr>
              <w:t xml:space="preserve"> and </w:t>
            </w:r>
            <w:r w:rsidRPr="00C01C92">
              <w:rPr>
                <w:i/>
                <w:sz w:val="24"/>
                <w:szCs w:val="24"/>
              </w:rPr>
              <w:t>cry2Ab</w:t>
            </w:r>
            <w:r w:rsidRPr="00C01C92">
              <w:rPr>
                <w:sz w:val="24"/>
                <w:szCs w:val="24"/>
              </w:rPr>
              <w:t xml:space="preserve"> genes from the bacterium Bacillus </w:t>
            </w:r>
            <w:proofErr w:type="spellStart"/>
            <w:r w:rsidRPr="00C01C92">
              <w:rPr>
                <w:sz w:val="24"/>
                <w:szCs w:val="24"/>
              </w:rPr>
              <w:t>thuringiensis</w:t>
            </w:r>
            <w:proofErr w:type="spellEnd"/>
            <w:r w:rsidRPr="00C01C92">
              <w:rPr>
                <w:sz w:val="24"/>
                <w:szCs w:val="24"/>
              </w:rPr>
              <w:t xml:space="preserve"> (insecticidal)</w:t>
            </w:r>
          </w:p>
          <w:p w:rsidR="004B7280" w:rsidRPr="00C01C92" w:rsidRDefault="004B7280" w:rsidP="004B7280">
            <w:pPr>
              <w:pStyle w:val="RIGHTLIST"/>
              <w:numPr>
                <w:ilvl w:val="0"/>
                <w:numId w:val="1"/>
              </w:numPr>
              <w:spacing w:before="60"/>
              <w:ind w:left="357" w:hanging="357"/>
              <w:rPr>
                <w:sz w:val="24"/>
                <w:szCs w:val="24"/>
              </w:rPr>
            </w:pPr>
            <w:proofErr w:type="spellStart"/>
            <w:r w:rsidRPr="00C01C92">
              <w:rPr>
                <w:i/>
                <w:sz w:val="24"/>
                <w:szCs w:val="24"/>
              </w:rPr>
              <w:t>nptII</w:t>
            </w:r>
            <w:proofErr w:type="spellEnd"/>
            <w:r w:rsidRPr="00C01C92">
              <w:rPr>
                <w:sz w:val="24"/>
                <w:szCs w:val="24"/>
              </w:rPr>
              <w:t xml:space="preserve"> gene from the bacterial Tn5 transposon (antibiotic resistance)</w:t>
            </w:r>
          </w:p>
          <w:p w:rsidR="004B7280" w:rsidRPr="00C01C92" w:rsidRDefault="004B7280" w:rsidP="004B7280">
            <w:pPr>
              <w:pStyle w:val="RIGHTLIST"/>
              <w:numPr>
                <w:ilvl w:val="0"/>
                <w:numId w:val="1"/>
              </w:numPr>
              <w:spacing w:before="60"/>
              <w:ind w:left="357" w:hanging="357"/>
              <w:rPr>
                <w:sz w:val="24"/>
                <w:szCs w:val="24"/>
              </w:rPr>
            </w:pPr>
            <w:proofErr w:type="spellStart"/>
            <w:r w:rsidRPr="00C01C92">
              <w:rPr>
                <w:i/>
                <w:sz w:val="24"/>
                <w:szCs w:val="24"/>
              </w:rPr>
              <w:t>uidA</w:t>
            </w:r>
            <w:proofErr w:type="spellEnd"/>
            <w:r w:rsidRPr="00C01C92">
              <w:rPr>
                <w:sz w:val="24"/>
                <w:szCs w:val="24"/>
              </w:rPr>
              <w:t xml:space="preserve"> gene from Escherichia coli (reporter gene)</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Proposed Location(s)</w:t>
            </w:r>
          </w:p>
        </w:tc>
        <w:tc>
          <w:tcPr>
            <w:tcW w:w="5244" w:type="dxa"/>
          </w:tcPr>
          <w:p w:rsidR="004B7280" w:rsidRPr="00C01C92" w:rsidRDefault="004B7280" w:rsidP="00F004B0">
            <w:pPr>
              <w:pStyle w:val="RIGHTLIST"/>
              <w:spacing w:after="80"/>
              <w:rPr>
                <w:sz w:val="24"/>
                <w:szCs w:val="24"/>
              </w:rPr>
            </w:pPr>
            <w:r w:rsidRPr="00C01C92">
              <w:rPr>
                <w:sz w:val="24"/>
                <w:szCs w:val="24"/>
              </w:rPr>
              <w:t>North of latitude 22° South in areas suitable for cotton growing</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Proposed Release Size:</w:t>
            </w:r>
          </w:p>
        </w:tc>
        <w:tc>
          <w:tcPr>
            <w:tcW w:w="5244" w:type="dxa"/>
          </w:tcPr>
          <w:p w:rsidR="004B7280" w:rsidRPr="00C01C92" w:rsidRDefault="004B7280" w:rsidP="00F004B0">
            <w:pPr>
              <w:pStyle w:val="RIGHTLIST"/>
              <w:spacing w:after="80"/>
              <w:rPr>
                <w:sz w:val="24"/>
                <w:szCs w:val="24"/>
              </w:rPr>
            </w:pPr>
            <w:r w:rsidRPr="00C01C92">
              <w:rPr>
                <w:sz w:val="24"/>
                <w:szCs w:val="24"/>
              </w:rPr>
              <w:t xml:space="preserve">Plant breeding/agronomic/seed production trials and if feasible, commercial scale planting in the future </w:t>
            </w:r>
          </w:p>
        </w:tc>
      </w:tr>
      <w:tr w:rsidR="004B7280" w:rsidRPr="00C01C92" w:rsidTr="00F004B0">
        <w:tblPrEx>
          <w:tblCellMar>
            <w:top w:w="0" w:type="dxa"/>
            <w:bottom w:w="0" w:type="dxa"/>
          </w:tblCellMar>
        </w:tblPrEx>
        <w:trPr>
          <w:cantSplit/>
        </w:trPr>
        <w:tc>
          <w:tcPr>
            <w:tcW w:w="3828" w:type="dxa"/>
          </w:tcPr>
          <w:p w:rsidR="004B7280" w:rsidRPr="00C01C92" w:rsidRDefault="004B7280" w:rsidP="00F004B0">
            <w:pPr>
              <w:pStyle w:val="RIGHTLIST"/>
              <w:spacing w:after="80"/>
              <w:rPr>
                <w:rFonts w:ascii="Arial Narrow" w:hAnsi="Arial Narrow"/>
                <w:b/>
                <w:szCs w:val="22"/>
              </w:rPr>
            </w:pPr>
            <w:r w:rsidRPr="00C01C92">
              <w:rPr>
                <w:rFonts w:ascii="Arial Narrow" w:hAnsi="Arial Narrow"/>
                <w:b/>
                <w:szCs w:val="22"/>
              </w:rPr>
              <w:t>Proposed Time of Release</w:t>
            </w:r>
          </w:p>
        </w:tc>
        <w:tc>
          <w:tcPr>
            <w:tcW w:w="5244" w:type="dxa"/>
          </w:tcPr>
          <w:p w:rsidR="004B7280" w:rsidRPr="00C01C92" w:rsidRDefault="004B7280" w:rsidP="00F004B0">
            <w:pPr>
              <w:pStyle w:val="RIGHTLIST"/>
              <w:spacing w:after="80"/>
              <w:rPr>
                <w:sz w:val="24"/>
                <w:szCs w:val="24"/>
              </w:rPr>
            </w:pPr>
            <w:r w:rsidRPr="00C01C92">
              <w:rPr>
                <w:sz w:val="24"/>
                <w:szCs w:val="24"/>
              </w:rPr>
              <w:t xml:space="preserve">Ongoing from date of approval </w:t>
            </w:r>
          </w:p>
        </w:tc>
      </w:tr>
    </w:tbl>
    <w:p w:rsidR="004B7280" w:rsidRPr="00C01C92" w:rsidRDefault="004B7280" w:rsidP="004B7280">
      <w:pPr>
        <w:rPr>
          <w:sz w:val="20"/>
        </w:rPr>
      </w:pPr>
      <w:r w:rsidRPr="00C01C92">
        <w:rPr>
          <w:szCs w:val="24"/>
          <w:vertAlign w:val="superscript"/>
        </w:rPr>
        <w:t>1</w:t>
      </w:r>
      <w:r w:rsidRPr="00C01C92">
        <w:rPr>
          <w:sz w:val="20"/>
        </w:rPr>
        <w:t xml:space="preserve">The title of the licence application submitted by Monsanto was </w:t>
      </w:r>
      <w:r w:rsidRPr="00C01C92">
        <w:rPr>
          <w:i/>
          <w:sz w:val="20"/>
        </w:rPr>
        <w:t xml:space="preserve">Licence Application covering use of </w:t>
      </w:r>
      <w:proofErr w:type="spellStart"/>
      <w:r w:rsidRPr="00C01C92">
        <w:rPr>
          <w:i/>
          <w:sz w:val="20"/>
        </w:rPr>
        <w:t>Bollgard</w:t>
      </w:r>
      <w:proofErr w:type="spellEnd"/>
      <w:r w:rsidRPr="00C01C92">
        <w:rPr>
          <w:i/>
          <w:sz w:val="20"/>
        </w:rPr>
        <w:t> II (MON 15985)</w:t>
      </w:r>
      <w:proofErr w:type="gramStart"/>
      <w:r w:rsidRPr="00C01C92">
        <w:rPr>
          <w:i/>
          <w:sz w:val="20"/>
        </w:rPr>
        <w:t>,</w:t>
      </w:r>
      <w:proofErr w:type="gramEnd"/>
      <w:r w:rsidRPr="00C01C92">
        <w:rPr>
          <w:i/>
          <w:sz w:val="20"/>
        </w:rPr>
        <w:t xml:space="preserve"> Roundup Ready Flex (MON 88913) and Roundup Ready (MON 1445) technology in cotton in areas north of latitude 22º South</w:t>
      </w:r>
      <w:r w:rsidRPr="00C01C92">
        <w:rPr>
          <w:sz w:val="20"/>
        </w:rPr>
        <w:t>.</w:t>
      </w:r>
    </w:p>
    <w:p w:rsidR="004B7280" w:rsidRPr="00C01C92" w:rsidRDefault="004B7280" w:rsidP="004B7280">
      <w:pPr>
        <w:pStyle w:val="Heading1"/>
        <w:spacing w:before="180" w:after="40"/>
        <w:ind w:right="-6"/>
        <w:rPr>
          <w:sz w:val="24"/>
        </w:rPr>
      </w:pPr>
      <w:r w:rsidRPr="00C01C92">
        <w:rPr>
          <w:sz w:val="24"/>
        </w:rPr>
        <w:t>Introduction</w:t>
      </w:r>
    </w:p>
    <w:p w:rsidR="004B7280" w:rsidRPr="00C01C92" w:rsidRDefault="004B7280" w:rsidP="004B7280">
      <w:pPr>
        <w:spacing w:before="60" w:after="80"/>
      </w:pPr>
      <w:r w:rsidRPr="00C01C92">
        <w:t xml:space="preserve">The </w:t>
      </w:r>
      <w:r w:rsidRPr="00C01C92">
        <w:rPr>
          <w:i/>
        </w:rPr>
        <w:t>Gene Technology Act 2000</w:t>
      </w:r>
      <w:r w:rsidRPr="00C01C92">
        <w:t xml:space="preserve"> (the Act) took effect on 21 June 2001. The Act, supported by the </w:t>
      </w:r>
      <w:r w:rsidRPr="00C01C92">
        <w:rPr>
          <w:i/>
        </w:rPr>
        <w:t>Gene Technology Regulations 2001</w:t>
      </w:r>
      <w:r w:rsidRPr="00C01C92">
        <w:t xml:space="preserve">, an inter-governmental agreement and corresponding legislation that </w:t>
      </w:r>
      <w:proofErr w:type="gramStart"/>
      <w:r w:rsidRPr="00C01C92">
        <w:t>is being enacted</w:t>
      </w:r>
      <w:proofErr w:type="gramEnd"/>
      <w:r w:rsidRPr="00C01C92">
        <w:t xml:space="preserve"> in each State and Territory, underpins Australia’s nationally consistent regulatory system for gene technology. Its objective is to protect the health and safety of people, and the environment, by identifying risks posed by or </w:t>
      </w:r>
      <w:proofErr w:type="gramStart"/>
      <w:r w:rsidRPr="00C01C92">
        <w:t>as a result</w:t>
      </w:r>
      <w:proofErr w:type="gramEnd"/>
      <w:r w:rsidRPr="00C01C92">
        <w:t xml:space="preserve"> of gene technology, and managing those risks by regulating certain dealings with genetically modified organisms (GMOs).</w:t>
      </w:r>
    </w:p>
    <w:p w:rsidR="004B7280" w:rsidRPr="00C01C92" w:rsidRDefault="004B7280" w:rsidP="004B7280">
      <w:pPr>
        <w:spacing w:before="60" w:after="80"/>
        <w:rPr>
          <w:sz w:val="22"/>
        </w:rPr>
      </w:pPr>
      <w:r w:rsidRPr="00C01C92">
        <w:rPr>
          <w:snapToGrid w:val="0"/>
        </w:rPr>
        <w:t>The Act establishes a statutory officer, the Gene Technology Regulator (the Regulator), to administer the legislation and make decisions under the legislation</w:t>
      </w:r>
      <w:r w:rsidRPr="00C01C92">
        <w:t xml:space="preserve">. The </w:t>
      </w:r>
      <w:proofErr w:type="gramStart"/>
      <w:r w:rsidRPr="00C01C92">
        <w:t>Regulator is supported by the Office of the Gene Technology Regulator (OGTR), an Australian Government regulatory agency located within the Health and Ageing portfolio</w:t>
      </w:r>
      <w:proofErr w:type="gramEnd"/>
      <w:r w:rsidRPr="00C01C92">
        <w:t>.</w:t>
      </w:r>
    </w:p>
    <w:p w:rsidR="004B7280" w:rsidRPr="00C01C92" w:rsidRDefault="004B7280" w:rsidP="004B7280">
      <w:pPr>
        <w:spacing w:before="60" w:after="80"/>
      </w:pPr>
      <w:r w:rsidRPr="00C01C92">
        <w:lastRenderedPageBreak/>
        <w:t>The legislation sets out the requirements for considering applications for licences for dealings with GMOs and the matters that the Regulator must take into account before deciding whether, or not, to issue a licence</w:t>
      </w:r>
      <w:r w:rsidRPr="00C01C92">
        <w:rPr>
          <w:rStyle w:val="FootnoteReference"/>
        </w:rPr>
        <w:footnoteReference w:id="1"/>
      </w:r>
      <w:r w:rsidRPr="00C01C92">
        <w:t>.</w:t>
      </w:r>
    </w:p>
    <w:p w:rsidR="004B7280" w:rsidRPr="00C01C92" w:rsidRDefault="004B7280" w:rsidP="004B7280">
      <w:pPr>
        <w:pStyle w:val="Heading1"/>
        <w:spacing w:before="180" w:after="0"/>
        <w:ind w:right="-6"/>
        <w:rPr>
          <w:sz w:val="24"/>
        </w:rPr>
      </w:pPr>
      <w:r w:rsidRPr="00C01C92">
        <w:rPr>
          <w:sz w:val="24"/>
        </w:rPr>
        <w:t>The application and the proposed dealings</w:t>
      </w:r>
    </w:p>
    <w:p w:rsidR="004B7280" w:rsidRPr="00C01C92" w:rsidRDefault="004B7280" w:rsidP="004B7280">
      <w:pPr>
        <w:spacing w:before="60" w:after="40"/>
        <w:rPr>
          <w:szCs w:val="24"/>
        </w:rPr>
      </w:pPr>
      <w:r w:rsidRPr="00C01C92">
        <w:t xml:space="preserve">The OGTR has received an application from </w:t>
      </w:r>
      <w:r w:rsidRPr="00C01C92">
        <w:rPr>
          <w:szCs w:val="24"/>
        </w:rPr>
        <w:t>Monsanto Australia Ltd</w:t>
      </w:r>
      <w:r w:rsidRPr="00C01C92">
        <w:t xml:space="preserve"> (Monsanto) for a licence to commercially release  the following genetically modified (GM) cotton lines, </w:t>
      </w:r>
      <w:r w:rsidRPr="00C01C92">
        <w:rPr>
          <w:szCs w:val="24"/>
        </w:rPr>
        <w:t xml:space="preserve">without specific containment measures, north of latitude 22º South: </w:t>
      </w:r>
    </w:p>
    <w:p w:rsidR="004B7280" w:rsidRPr="00C01C92" w:rsidRDefault="004B7280" w:rsidP="004B7280">
      <w:pPr>
        <w:pStyle w:val="LIST"/>
        <w:numPr>
          <w:ilvl w:val="0"/>
          <w:numId w:val="2"/>
        </w:numPr>
        <w:tabs>
          <w:tab w:val="clear" w:pos="3686"/>
          <w:tab w:val="clear" w:pos="8364"/>
          <w:tab w:val="clear" w:pos="9356"/>
        </w:tabs>
        <w:spacing w:before="0" w:after="40" w:line="240" w:lineRule="auto"/>
        <w:ind w:left="714" w:hanging="357"/>
        <w:rPr>
          <w:sz w:val="24"/>
          <w:szCs w:val="24"/>
        </w:rPr>
      </w:pPr>
      <w:r w:rsidRPr="00C01C92">
        <w:rPr>
          <w:snapToGrid w:val="0"/>
          <w:sz w:val="24"/>
          <w:szCs w:val="24"/>
        </w:rPr>
        <w:t xml:space="preserve">insect resistant </w:t>
      </w:r>
      <w:proofErr w:type="spellStart"/>
      <w:r w:rsidRPr="00C01C92">
        <w:rPr>
          <w:sz w:val="24"/>
        </w:rPr>
        <w:t>Bollgard</w:t>
      </w:r>
      <w:proofErr w:type="spellEnd"/>
      <w:r w:rsidRPr="00C01C92">
        <w:rPr>
          <w:sz w:val="24"/>
        </w:rPr>
        <w:t> II</w:t>
      </w:r>
      <w:r w:rsidRPr="00C01C92">
        <w:rPr>
          <w:sz w:val="24"/>
          <w:vertAlign w:val="superscript"/>
        </w:rPr>
        <w:t>®</w:t>
      </w:r>
      <w:r w:rsidRPr="00C01C92">
        <w:rPr>
          <w:sz w:val="24"/>
        </w:rPr>
        <w:t xml:space="preserve"> cotton (</w:t>
      </w:r>
      <w:r w:rsidRPr="00C01C92">
        <w:rPr>
          <w:snapToGrid w:val="0"/>
          <w:sz w:val="24"/>
          <w:szCs w:val="24"/>
        </w:rPr>
        <w:t>also known as MON15985)</w:t>
      </w:r>
    </w:p>
    <w:p w:rsidR="004B7280" w:rsidRPr="00C01C92" w:rsidRDefault="004B7280" w:rsidP="004B7280">
      <w:pPr>
        <w:pStyle w:val="LIST"/>
        <w:numPr>
          <w:ilvl w:val="0"/>
          <w:numId w:val="2"/>
        </w:numPr>
        <w:tabs>
          <w:tab w:val="clear" w:pos="3686"/>
          <w:tab w:val="clear" w:pos="8364"/>
          <w:tab w:val="clear" w:pos="9356"/>
        </w:tabs>
        <w:spacing w:before="0" w:after="40" w:line="240" w:lineRule="auto"/>
        <w:ind w:left="714" w:hanging="357"/>
        <w:rPr>
          <w:sz w:val="24"/>
          <w:szCs w:val="24"/>
        </w:rPr>
      </w:pPr>
      <w:r w:rsidRPr="00C01C92">
        <w:rPr>
          <w:sz w:val="24"/>
          <w:szCs w:val="24"/>
        </w:rPr>
        <w:t>herbicide tolerant Roundup Ready</w:t>
      </w:r>
      <w:r w:rsidRPr="00C01C92">
        <w:rPr>
          <w:sz w:val="24"/>
          <w:vertAlign w:val="superscript"/>
        </w:rPr>
        <w:t>®</w:t>
      </w:r>
      <w:r w:rsidRPr="00C01C92">
        <w:rPr>
          <w:sz w:val="24"/>
          <w:szCs w:val="24"/>
        </w:rPr>
        <w:t xml:space="preserve"> cotton (also known as MON1445)</w:t>
      </w:r>
    </w:p>
    <w:p w:rsidR="004B7280" w:rsidRPr="00C01C92" w:rsidRDefault="004B7280" w:rsidP="004B7280">
      <w:pPr>
        <w:pStyle w:val="LIST"/>
        <w:numPr>
          <w:ilvl w:val="0"/>
          <w:numId w:val="2"/>
        </w:numPr>
        <w:tabs>
          <w:tab w:val="clear" w:pos="3686"/>
          <w:tab w:val="clear" w:pos="8364"/>
          <w:tab w:val="clear" w:pos="9356"/>
        </w:tabs>
        <w:spacing w:before="0" w:after="40" w:line="240" w:lineRule="auto"/>
        <w:ind w:left="714" w:hanging="357"/>
        <w:rPr>
          <w:sz w:val="24"/>
          <w:szCs w:val="24"/>
        </w:rPr>
      </w:pPr>
      <w:r w:rsidRPr="00C01C92">
        <w:rPr>
          <w:sz w:val="24"/>
          <w:szCs w:val="24"/>
        </w:rPr>
        <w:t>herbicide tolerant Roundup Ready Flex</w:t>
      </w:r>
      <w:r w:rsidRPr="00C01C92">
        <w:rPr>
          <w:sz w:val="24"/>
          <w:vertAlign w:val="superscript"/>
        </w:rPr>
        <w:t>®</w:t>
      </w:r>
      <w:r w:rsidRPr="00C01C92">
        <w:rPr>
          <w:sz w:val="24"/>
          <w:szCs w:val="24"/>
        </w:rPr>
        <w:t xml:space="preserve"> cotton (also known as MON88913) </w:t>
      </w:r>
    </w:p>
    <w:p w:rsidR="004B7280" w:rsidRPr="00C01C92" w:rsidRDefault="004B7280" w:rsidP="004B7280">
      <w:pPr>
        <w:pStyle w:val="LIST"/>
        <w:numPr>
          <w:ilvl w:val="0"/>
          <w:numId w:val="2"/>
        </w:numPr>
        <w:tabs>
          <w:tab w:val="clear" w:pos="3686"/>
          <w:tab w:val="clear" w:pos="8364"/>
          <w:tab w:val="clear" w:pos="9356"/>
        </w:tabs>
        <w:spacing w:before="0" w:after="40" w:line="240" w:lineRule="auto"/>
        <w:ind w:left="714" w:hanging="357"/>
        <w:rPr>
          <w:sz w:val="24"/>
          <w:szCs w:val="24"/>
        </w:rPr>
      </w:pPr>
      <w:r w:rsidRPr="00C01C92">
        <w:rPr>
          <w:sz w:val="24"/>
          <w:szCs w:val="24"/>
        </w:rPr>
        <w:t>herbicide tolerant/insect resistant Roundup Ready</w:t>
      </w:r>
      <w:r w:rsidRPr="00C01C92">
        <w:rPr>
          <w:sz w:val="24"/>
          <w:vertAlign w:val="superscript"/>
        </w:rPr>
        <w:t>®</w:t>
      </w:r>
      <w:r w:rsidRPr="00C01C92">
        <w:rPr>
          <w:sz w:val="24"/>
          <w:szCs w:val="24"/>
        </w:rPr>
        <w:t>/</w:t>
      </w:r>
      <w:proofErr w:type="spellStart"/>
      <w:r w:rsidRPr="00C01C92">
        <w:rPr>
          <w:sz w:val="24"/>
          <w:szCs w:val="24"/>
        </w:rPr>
        <w:t>Bollgard</w:t>
      </w:r>
      <w:proofErr w:type="spellEnd"/>
      <w:r w:rsidRPr="00C01C92">
        <w:rPr>
          <w:sz w:val="24"/>
          <w:szCs w:val="24"/>
        </w:rPr>
        <w:t> II</w:t>
      </w:r>
      <w:r w:rsidRPr="00C01C92">
        <w:rPr>
          <w:sz w:val="24"/>
          <w:vertAlign w:val="superscript"/>
        </w:rPr>
        <w:t>®</w:t>
      </w:r>
      <w:r w:rsidRPr="00C01C92">
        <w:rPr>
          <w:sz w:val="24"/>
          <w:szCs w:val="24"/>
        </w:rPr>
        <w:t xml:space="preserve"> cotton (also known as MON1445/MON15985)</w:t>
      </w:r>
    </w:p>
    <w:p w:rsidR="004B7280" w:rsidRPr="00C01C92" w:rsidRDefault="004B7280" w:rsidP="004B7280">
      <w:pPr>
        <w:pStyle w:val="LIST"/>
        <w:numPr>
          <w:ilvl w:val="0"/>
          <w:numId w:val="2"/>
        </w:numPr>
        <w:tabs>
          <w:tab w:val="clear" w:pos="3686"/>
          <w:tab w:val="clear" w:pos="8364"/>
          <w:tab w:val="clear" w:pos="9356"/>
        </w:tabs>
        <w:spacing w:before="0" w:after="60" w:line="240" w:lineRule="auto"/>
        <w:ind w:left="714" w:hanging="357"/>
        <w:rPr>
          <w:sz w:val="24"/>
          <w:szCs w:val="24"/>
        </w:rPr>
      </w:pPr>
      <w:proofErr w:type="gramStart"/>
      <w:r w:rsidRPr="00C01C92">
        <w:rPr>
          <w:sz w:val="24"/>
          <w:szCs w:val="24"/>
        </w:rPr>
        <w:t>herbicide</w:t>
      </w:r>
      <w:proofErr w:type="gramEnd"/>
      <w:r w:rsidRPr="00C01C92">
        <w:rPr>
          <w:sz w:val="24"/>
          <w:szCs w:val="24"/>
        </w:rPr>
        <w:t> tolerant/insect resistant Roundup Ready Flex</w:t>
      </w:r>
      <w:r w:rsidRPr="00C01C92">
        <w:rPr>
          <w:sz w:val="24"/>
          <w:vertAlign w:val="superscript"/>
        </w:rPr>
        <w:t>®</w:t>
      </w:r>
      <w:r w:rsidRPr="00C01C92">
        <w:rPr>
          <w:sz w:val="24"/>
          <w:szCs w:val="24"/>
        </w:rPr>
        <w:t>/</w:t>
      </w:r>
      <w:proofErr w:type="spellStart"/>
      <w:r w:rsidRPr="00C01C92">
        <w:rPr>
          <w:sz w:val="24"/>
          <w:szCs w:val="24"/>
        </w:rPr>
        <w:t>Bollgard</w:t>
      </w:r>
      <w:proofErr w:type="spellEnd"/>
      <w:r w:rsidRPr="00C01C92">
        <w:rPr>
          <w:sz w:val="24"/>
          <w:szCs w:val="24"/>
        </w:rPr>
        <w:t> II</w:t>
      </w:r>
      <w:r w:rsidRPr="00C01C92">
        <w:rPr>
          <w:sz w:val="24"/>
          <w:vertAlign w:val="superscript"/>
        </w:rPr>
        <w:t>®</w:t>
      </w:r>
      <w:r w:rsidRPr="00C01C92">
        <w:rPr>
          <w:sz w:val="24"/>
          <w:szCs w:val="24"/>
        </w:rPr>
        <w:t xml:space="preserve"> cotton (</w:t>
      </w:r>
      <w:r w:rsidRPr="00C01C92">
        <w:rPr>
          <w:snapToGrid w:val="0"/>
          <w:sz w:val="24"/>
          <w:szCs w:val="24"/>
        </w:rPr>
        <w:t>also known as</w:t>
      </w:r>
      <w:r w:rsidRPr="00C01C92">
        <w:rPr>
          <w:sz w:val="24"/>
          <w:szCs w:val="24"/>
        </w:rPr>
        <w:t xml:space="preserve"> MON88913/MON15985).</w:t>
      </w:r>
    </w:p>
    <w:p w:rsidR="004B7280" w:rsidRPr="00C01C92" w:rsidRDefault="004B7280" w:rsidP="004B7280">
      <w:pPr>
        <w:spacing w:before="60" w:after="80"/>
      </w:pPr>
      <w:r w:rsidRPr="00C01C92">
        <w:rPr>
          <w:szCs w:val="24"/>
        </w:rPr>
        <w:t xml:space="preserve">Monsanto intends to conduct plant breeding/agronomic/seed production trials and cultivate the GM cottons in areas suitable for cotton growing in northern Australia. Monsanto indicates that commercial scale plantings </w:t>
      </w:r>
      <w:proofErr w:type="gramStart"/>
      <w:r w:rsidRPr="00C01C92">
        <w:rPr>
          <w:szCs w:val="24"/>
        </w:rPr>
        <w:t>are not planned</w:t>
      </w:r>
      <w:proofErr w:type="gramEnd"/>
      <w:r w:rsidRPr="00C01C92">
        <w:rPr>
          <w:szCs w:val="24"/>
        </w:rPr>
        <w:t xml:space="preserve"> at this stage as a range of industry, community and</w:t>
      </w:r>
      <w:r w:rsidRPr="00C01C92">
        <w:t xml:space="preserve"> infrastructure issues would need to be resolved before commercial cotton production could take place in northern Australia. </w:t>
      </w:r>
    </w:p>
    <w:p w:rsidR="004B7280" w:rsidRPr="00C01C92" w:rsidRDefault="004B7280" w:rsidP="004B7280">
      <w:pPr>
        <w:spacing w:before="60" w:after="80"/>
      </w:pPr>
      <w:r w:rsidRPr="00C01C92">
        <w:t>Monsanto intends to use GM cotton plants and their products in the same manner as conventional cotton and GM cottons commercially approved south of latitude 22º </w:t>
      </w:r>
      <w:proofErr w:type="gramStart"/>
      <w:r w:rsidRPr="00C01C92">
        <w:t>South</w:t>
      </w:r>
      <w:proofErr w:type="gramEnd"/>
      <w:r w:rsidRPr="00C01C92">
        <w:t xml:space="preserve">, including use in human food and stockfeed, transportation and sale of lint. </w:t>
      </w:r>
    </w:p>
    <w:p w:rsidR="004B7280" w:rsidRPr="00C01C92" w:rsidRDefault="004B7280" w:rsidP="004B7280">
      <w:pPr>
        <w:spacing w:before="60" w:after="80"/>
      </w:pPr>
      <w:r w:rsidRPr="00C01C92">
        <w:t>The Australian Pesticides and Veterinary Medicines Authority (APVMA) has regulatory responsibility for the use of agricultural chemicals, including herbicides and insecticidal products, in Australia. Roundup Ready</w:t>
      </w:r>
      <w:r w:rsidRPr="00C01C92">
        <w:rPr>
          <w:vertAlign w:val="superscript"/>
        </w:rPr>
        <w:t>®</w:t>
      </w:r>
      <w:r w:rsidRPr="00C01C92">
        <w:t xml:space="preserve"> Herbicide </w:t>
      </w:r>
      <w:proofErr w:type="gramStart"/>
      <w:r w:rsidRPr="00C01C92">
        <w:t>is currently registered</w:t>
      </w:r>
      <w:proofErr w:type="gramEnd"/>
      <w:r w:rsidRPr="00C01C92">
        <w:t xml:space="preserve"> for use on Roundup Ready</w:t>
      </w:r>
      <w:r w:rsidRPr="00C01C92">
        <w:rPr>
          <w:vertAlign w:val="superscript"/>
        </w:rPr>
        <w:t>®</w:t>
      </w:r>
      <w:r w:rsidRPr="00C01C92">
        <w:t xml:space="preserve"> cotton. An application for the registration of its use on Roundup Ready Flex</w:t>
      </w:r>
      <w:r w:rsidRPr="00C01C92">
        <w:rPr>
          <w:vertAlign w:val="superscript"/>
        </w:rPr>
        <w:t>®</w:t>
      </w:r>
      <w:r w:rsidRPr="00C01C92">
        <w:t xml:space="preserve"> cotton </w:t>
      </w:r>
      <w:proofErr w:type="gramStart"/>
      <w:r w:rsidRPr="00C01C92">
        <w:t>is currently being assessed</w:t>
      </w:r>
      <w:proofErr w:type="gramEnd"/>
      <w:r w:rsidRPr="00C01C92">
        <w:t xml:space="preserve">. </w:t>
      </w:r>
    </w:p>
    <w:p w:rsidR="004B7280" w:rsidRPr="00C01C92" w:rsidRDefault="004B7280" w:rsidP="004B7280">
      <w:pPr>
        <w:spacing w:before="60" w:after="80"/>
      </w:pPr>
      <w:r w:rsidRPr="00C01C92">
        <w:t>The APVMA registered the use of the insecticidal proteins as produced by the insecticidal genes (</w:t>
      </w:r>
      <w:r w:rsidRPr="00C01C92">
        <w:rPr>
          <w:i/>
        </w:rPr>
        <w:t>cry1Ac</w:t>
      </w:r>
      <w:r w:rsidRPr="00C01C92">
        <w:t xml:space="preserve"> and </w:t>
      </w:r>
      <w:r w:rsidRPr="00C01C92">
        <w:rPr>
          <w:i/>
        </w:rPr>
        <w:t>cry2Ab</w:t>
      </w:r>
      <w:r w:rsidRPr="00C01C92">
        <w:t xml:space="preserve">) in GM </w:t>
      </w:r>
      <w:proofErr w:type="spellStart"/>
      <w:r w:rsidRPr="00C01C92">
        <w:t>Bollgard</w:t>
      </w:r>
      <w:proofErr w:type="spellEnd"/>
      <w:r w:rsidRPr="00C01C92">
        <w:t> II</w:t>
      </w:r>
      <w:r w:rsidRPr="00C01C92">
        <w:rPr>
          <w:vertAlign w:val="superscript"/>
        </w:rPr>
        <w:t>®</w:t>
      </w:r>
      <w:r w:rsidRPr="00C01C92">
        <w:t xml:space="preserve"> cotton as insecticidal products for New South Wales (NSW) and Queensland (Qld) south of latitude 22º South in 2003. Any plantings north of latitude 22º South would also require APVMA approval. Further information abou</w:t>
      </w:r>
      <w:r>
        <w:t xml:space="preserve">t the APVMA </w:t>
      </w:r>
      <w:proofErr w:type="gramStart"/>
      <w:r>
        <w:t>can be obtained</w:t>
      </w:r>
      <w:proofErr w:type="gramEnd"/>
      <w:r>
        <w:t xml:space="preserve"> from their </w:t>
      </w:r>
      <w:hyperlink r:id="rId7" w:history="1">
        <w:r w:rsidRPr="004B7280">
          <w:rPr>
            <w:rStyle w:val="Hyperlink"/>
          </w:rPr>
          <w:t>website</w:t>
        </w:r>
      </w:hyperlink>
      <w:r w:rsidRPr="00C01C92">
        <w:t>.</w:t>
      </w:r>
    </w:p>
    <w:p w:rsidR="004B7280" w:rsidRPr="00C01C92" w:rsidRDefault="004B7280" w:rsidP="004B7280">
      <w:pPr>
        <w:spacing w:before="60" w:after="80"/>
      </w:pPr>
      <w:r w:rsidRPr="00C01C92">
        <w:t xml:space="preserve">Cotton seed oil and cotton linters (short fibres from the seed surface that do not contain any genetic material) from </w:t>
      </w:r>
      <w:proofErr w:type="spellStart"/>
      <w:r w:rsidRPr="00C01C92">
        <w:t>Bollgard</w:t>
      </w:r>
      <w:proofErr w:type="spellEnd"/>
      <w:r w:rsidRPr="00C01C92">
        <w:t> II</w:t>
      </w:r>
      <w:r w:rsidRPr="00C01C92">
        <w:rPr>
          <w:vertAlign w:val="superscript"/>
        </w:rPr>
        <w:t>®</w:t>
      </w:r>
      <w:r w:rsidRPr="00C01C92">
        <w:t xml:space="preserve"> cotton, Roundup Ready</w:t>
      </w:r>
      <w:r w:rsidRPr="00C01C92">
        <w:rPr>
          <w:vertAlign w:val="superscript"/>
        </w:rPr>
        <w:t>®</w:t>
      </w:r>
      <w:r w:rsidRPr="00C01C92">
        <w:t xml:space="preserve"> cotton and Roundup Ready Flex</w:t>
      </w:r>
      <w:r w:rsidRPr="00C01C92">
        <w:rPr>
          <w:vertAlign w:val="superscript"/>
        </w:rPr>
        <w:t>®</w:t>
      </w:r>
      <w:r w:rsidRPr="00C01C92">
        <w:t xml:space="preserve"> cotton have previously been approved by Food Standards Australia New Zealand (FSANZ) for use in human food.</w:t>
      </w:r>
    </w:p>
    <w:p w:rsidR="004B7280" w:rsidRPr="00C01C92" w:rsidRDefault="004B7280" w:rsidP="004B7280">
      <w:pPr>
        <w:pStyle w:val="Heading1"/>
        <w:spacing w:before="180" w:after="0"/>
        <w:ind w:right="-6"/>
        <w:rPr>
          <w:sz w:val="24"/>
        </w:rPr>
      </w:pPr>
      <w:r w:rsidRPr="00C01C92">
        <w:rPr>
          <w:sz w:val="24"/>
        </w:rPr>
        <w:t>Previous releases of the GMOs and other GM cottons</w:t>
      </w:r>
    </w:p>
    <w:p w:rsidR="004B7280" w:rsidRPr="00C01C92" w:rsidRDefault="004B7280" w:rsidP="004B7280">
      <w:pPr>
        <w:spacing w:before="60" w:after="80"/>
      </w:pPr>
      <w:r w:rsidRPr="00C01C92">
        <w:t xml:space="preserve">There have been many releases of these GM cottons other GM cottons under the former voluntary system overseen by the Genetic Manipulation Advisory Committee (GMAC) and the current regulatory system. </w:t>
      </w:r>
    </w:p>
    <w:p w:rsidR="004B7280" w:rsidRPr="00C01C92" w:rsidRDefault="004B7280" w:rsidP="004B7280">
      <w:pPr>
        <w:spacing w:before="60" w:after="80"/>
        <w:rPr>
          <w:szCs w:val="24"/>
        </w:rPr>
      </w:pPr>
      <w:r w:rsidRPr="00C01C92">
        <w:t>Numerous field trials with Roundup Ready</w:t>
      </w:r>
      <w:r w:rsidRPr="00C01C92">
        <w:rPr>
          <w:vertAlign w:val="superscript"/>
        </w:rPr>
        <w:t>®</w:t>
      </w:r>
      <w:r w:rsidRPr="00C01C92">
        <w:t xml:space="preserve">, </w:t>
      </w:r>
      <w:proofErr w:type="spellStart"/>
      <w:r w:rsidRPr="00C01C92">
        <w:t>Bollgard</w:t>
      </w:r>
      <w:proofErr w:type="spellEnd"/>
      <w:r w:rsidRPr="00C01C92">
        <w:t> II</w:t>
      </w:r>
      <w:r w:rsidRPr="00C01C92">
        <w:rPr>
          <w:vertAlign w:val="superscript"/>
        </w:rPr>
        <w:t>®</w:t>
      </w:r>
      <w:r w:rsidRPr="00C01C92">
        <w:t xml:space="preserve"> and Roundup Ready</w:t>
      </w:r>
      <w:r w:rsidRPr="00C01C92">
        <w:rPr>
          <w:vertAlign w:val="superscript"/>
        </w:rPr>
        <w:t>®</w:t>
      </w:r>
      <w:r w:rsidRPr="00C01C92">
        <w:t>/</w:t>
      </w:r>
      <w:proofErr w:type="spellStart"/>
      <w:r w:rsidRPr="00C01C92">
        <w:t>Bollgard</w:t>
      </w:r>
      <w:proofErr w:type="spellEnd"/>
      <w:r w:rsidRPr="00C01C92">
        <w:t xml:space="preserve"> II</w:t>
      </w:r>
      <w:r w:rsidRPr="00C01C92">
        <w:rPr>
          <w:vertAlign w:val="superscript"/>
        </w:rPr>
        <w:t>®</w:t>
      </w:r>
      <w:r w:rsidRPr="00C01C92">
        <w:t xml:space="preserve"> cotton </w:t>
      </w:r>
      <w:proofErr w:type="gramStart"/>
      <w:r w:rsidRPr="00C01C92">
        <w:t>were conducted</w:t>
      </w:r>
      <w:proofErr w:type="gramEnd"/>
      <w:r w:rsidRPr="00C01C92">
        <w:t xml:space="preserve"> under the voluntary system. Under the current regulatory system the GM cottons proposed for release have previously been approved for commercial release south of latitude 22º South </w:t>
      </w:r>
      <w:r w:rsidRPr="00C01C92">
        <w:rPr>
          <w:szCs w:val="24"/>
        </w:rPr>
        <w:t xml:space="preserve">(under DIRs 012/2002, 023/2002 and 059/2005) and for field trials north of latitude 22° South (under DIRs 006/2001, 009/2001, 012/2002, 035/2003 and 055/2004). </w:t>
      </w:r>
    </w:p>
    <w:p w:rsidR="004B7280" w:rsidRPr="00C01C92" w:rsidRDefault="004B7280" w:rsidP="004B7280">
      <w:pPr>
        <w:spacing w:before="60" w:after="80"/>
        <w:rPr>
          <w:szCs w:val="24"/>
        </w:rPr>
      </w:pPr>
      <w:r w:rsidRPr="00C01C92">
        <w:rPr>
          <w:szCs w:val="24"/>
        </w:rPr>
        <w:t>There have been no reports of adverse effects on human health and safety or the environment resulting from these releases.</w:t>
      </w:r>
    </w:p>
    <w:p w:rsidR="004B7280" w:rsidRPr="00C01C92" w:rsidRDefault="004B7280" w:rsidP="004B7280">
      <w:pPr>
        <w:pStyle w:val="Heading1"/>
        <w:spacing w:before="180" w:after="40"/>
        <w:ind w:right="-6"/>
        <w:rPr>
          <w:sz w:val="24"/>
        </w:rPr>
      </w:pPr>
      <w:r w:rsidRPr="00C01C92">
        <w:rPr>
          <w:sz w:val="24"/>
        </w:rPr>
        <w:lastRenderedPageBreak/>
        <w:t>Parent organism</w:t>
      </w:r>
      <w:bookmarkStart w:id="5" w:name="_GoBack"/>
      <w:bookmarkEnd w:id="5"/>
    </w:p>
    <w:p w:rsidR="004B7280" w:rsidRPr="00C01C92" w:rsidRDefault="004B7280" w:rsidP="004B7280">
      <w:pPr>
        <w:spacing w:before="60" w:after="80"/>
      </w:pPr>
      <w:r w:rsidRPr="00C01C92">
        <w:t>The parent organism is cultivated cotton (</w:t>
      </w:r>
      <w:proofErr w:type="spellStart"/>
      <w:r w:rsidRPr="00C01C92">
        <w:rPr>
          <w:i/>
        </w:rPr>
        <w:t>Gossypium</w:t>
      </w:r>
      <w:proofErr w:type="spellEnd"/>
      <w:r w:rsidRPr="00C01C92">
        <w:rPr>
          <w:i/>
        </w:rPr>
        <w:t xml:space="preserve"> </w:t>
      </w:r>
      <w:proofErr w:type="spellStart"/>
      <w:r w:rsidRPr="00C01C92">
        <w:rPr>
          <w:i/>
        </w:rPr>
        <w:t>hirsutum</w:t>
      </w:r>
      <w:proofErr w:type="spellEnd"/>
      <w:r w:rsidRPr="00C01C92">
        <w:t xml:space="preserve"> L.), which is exotic to Australia and is grown as an agricultural crop in NSW and southern and central Qld, and on a trial basis in northern Qld, WA and the NT. </w:t>
      </w:r>
    </w:p>
    <w:p w:rsidR="004B7280" w:rsidRPr="00C01C92" w:rsidRDefault="004B7280" w:rsidP="004B7280">
      <w:pPr>
        <w:pStyle w:val="Heading1"/>
        <w:spacing w:before="180" w:after="40"/>
        <w:ind w:right="-6"/>
        <w:rPr>
          <w:sz w:val="24"/>
        </w:rPr>
      </w:pPr>
      <w:r w:rsidRPr="00C01C92">
        <w:rPr>
          <w:sz w:val="24"/>
        </w:rPr>
        <w:t>Genetic modification and its effect</w:t>
      </w:r>
    </w:p>
    <w:p w:rsidR="004B7280" w:rsidRPr="00C01C92" w:rsidRDefault="004B7280" w:rsidP="004B7280">
      <w:pPr>
        <w:spacing w:before="60" w:after="80"/>
        <w:rPr>
          <w:rFonts w:ascii="Times New (W1)" w:hAnsi="Times New (W1)"/>
          <w:szCs w:val="24"/>
        </w:rPr>
      </w:pPr>
      <w:r w:rsidRPr="00C01C92">
        <w:rPr>
          <w:rFonts w:ascii="Times New (W1)" w:hAnsi="Times New (W1)"/>
          <w:szCs w:val="24"/>
        </w:rPr>
        <w:t xml:space="preserve">Genetic modifications in the GM cottons proposed for commercial release </w:t>
      </w:r>
      <w:proofErr w:type="gramStart"/>
      <w:r w:rsidRPr="00C01C92">
        <w:rPr>
          <w:rFonts w:ascii="Times New (W1)" w:hAnsi="Times New (W1)"/>
          <w:szCs w:val="24"/>
        </w:rPr>
        <w:t>are given</w:t>
      </w:r>
      <w:proofErr w:type="gramEnd"/>
      <w:r w:rsidRPr="00C01C92">
        <w:rPr>
          <w:rFonts w:ascii="Times New (W1)" w:hAnsi="Times New (W1)"/>
          <w:szCs w:val="24"/>
        </w:rPr>
        <w:t xml:space="preserve">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2835"/>
        <w:gridCol w:w="2835"/>
      </w:tblGrid>
      <w:tr w:rsidR="004B7280" w:rsidRPr="00C01C92" w:rsidTr="00F004B0">
        <w:tblPrEx>
          <w:tblCellMar>
            <w:top w:w="0" w:type="dxa"/>
            <w:bottom w:w="0" w:type="dxa"/>
          </w:tblCellMar>
        </w:tblPrEx>
        <w:tc>
          <w:tcPr>
            <w:tcW w:w="2376" w:type="dxa"/>
            <w:tcBorders>
              <w:bottom w:val="single" w:sz="12" w:space="0" w:color="auto"/>
            </w:tcBorders>
            <w:shd w:val="pct12" w:color="auto" w:fill="FFFFFF"/>
          </w:tcPr>
          <w:p w:rsidR="004B7280" w:rsidRPr="00C01C92" w:rsidRDefault="004B7280" w:rsidP="00F004B0">
            <w:pPr>
              <w:rPr>
                <w:b/>
                <w:sz w:val="22"/>
                <w:szCs w:val="22"/>
              </w:rPr>
            </w:pPr>
            <w:r w:rsidRPr="00C01C92">
              <w:rPr>
                <w:b/>
                <w:sz w:val="22"/>
                <w:szCs w:val="22"/>
              </w:rPr>
              <w:t>GM Cottons</w:t>
            </w:r>
          </w:p>
        </w:tc>
        <w:tc>
          <w:tcPr>
            <w:tcW w:w="1843" w:type="dxa"/>
            <w:tcBorders>
              <w:bottom w:val="single" w:sz="12" w:space="0" w:color="auto"/>
            </w:tcBorders>
            <w:shd w:val="pct12" w:color="auto" w:fill="FFFFFF"/>
          </w:tcPr>
          <w:p w:rsidR="004B7280" w:rsidRPr="00C01C92" w:rsidRDefault="004B7280" w:rsidP="00F004B0">
            <w:pPr>
              <w:rPr>
                <w:b/>
                <w:sz w:val="22"/>
                <w:szCs w:val="22"/>
              </w:rPr>
            </w:pPr>
            <w:r w:rsidRPr="00C01C92">
              <w:rPr>
                <w:b/>
                <w:sz w:val="22"/>
                <w:szCs w:val="22"/>
              </w:rPr>
              <w:t>Introduced Gene</w:t>
            </w:r>
          </w:p>
        </w:tc>
        <w:tc>
          <w:tcPr>
            <w:tcW w:w="2835" w:type="dxa"/>
            <w:tcBorders>
              <w:bottom w:val="single" w:sz="12" w:space="0" w:color="auto"/>
            </w:tcBorders>
            <w:shd w:val="pct12" w:color="auto" w:fill="FFFFFF"/>
          </w:tcPr>
          <w:p w:rsidR="004B7280" w:rsidRPr="00C01C92" w:rsidRDefault="004B7280" w:rsidP="00F004B0">
            <w:pPr>
              <w:rPr>
                <w:b/>
                <w:sz w:val="22"/>
                <w:szCs w:val="22"/>
              </w:rPr>
            </w:pPr>
            <w:r w:rsidRPr="00C01C92">
              <w:rPr>
                <w:b/>
                <w:sz w:val="22"/>
                <w:szCs w:val="22"/>
              </w:rPr>
              <w:t>Function</w:t>
            </w:r>
          </w:p>
        </w:tc>
        <w:tc>
          <w:tcPr>
            <w:tcW w:w="2835" w:type="dxa"/>
            <w:tcBorders>
              <w:bottom w:val="single" w:sz="12" w:space="0" w:color="auto"/>
            </w:tcBorders>
            <w:shd w:val="pct12" w:color="auto" w:fill="FFFFFF"/>
          </w:tcPr>
          <w:p w:rsidR="004B7280" w:rsidRPr="00C01C92" w:rsidRDefault="004B7280" w:rsidP="00F004B0">
            <w:pPr>
              <w:rPr>
                <w:b/>
                <w:sz w:val="22"/>
                <w:szCs w:val="22"/>
              </w:rPr>
            </w:pPr>
            <w:r w:rsidRPr="00C01C92">
              <w:rPr>
                <w:b/>
                <w:sz w:val="22"/>
                <w:szCs w:val="22"/>
              </w:rPr>
              <w:t>Source</w:t>
            </w:r>
          </w:p>
        </w:tc>
      </w:tr>
      <w:tr w:rsidR="004B7280" w:rsidRPr="00C01C92" w:rsidTr="00F004B0">
        <w:tblPrEx>
          <w:tblCellMar>
            <w:top w:w="0" w:type="dxa"/>
            <w:bottom w:w="0" w:type="dxa"/>
          </w:tblCellMar>
        </w:tblPrEx>
        <w:tc>
          <w:tcPr>
            <w:tcW w:w="2376" w:type="dxa"/>
            <w:tcBorders>
              <w:top w:val="nil"/>
            </w:tcBorders>
          </w:tcPr>
          <w:p w:rsidR="004B7280" w:rsidRPr="00C01C92" w:rsidRDefault="004B7280" w:rsidP="00F004B0">
            <w:pPr>
              <w:rPr>
                <w:i/>
                <w:sz w:val="22"/>
                <w:szCs w:val="22"/>
              </w:rPr>
            </w:pPr>
            <w:r w:rsidRPr="00C01C92">
              <w:rPr>
                <w:b/>
                <w:sz w:val="22"/>
                <w:szCs w:val="22"/>
              </w:rPr>
              <w:t>MON15985</w:t>
            </w:r>
            <w:r w:rsidRPr="00C01C92">
              <w:rPr>
                <w:b/>
                <w:sz w:val="22"/>
                <w:szCs w:val="22"/>
              </w:rPr>
              <w:br/>
              <w:t>(</w:t>
            </w:r>
            <w:proofErr w:type="spellStart"/>
            <w:r w:rsidRPr="00C01C92">
              <w:rPr>
                <w:rFonts w:ascii="Times New (W1)" w:hAnsi="Times New (W1)"/>
                <w:sz w:val="22"/>
                <w:szCs w:val="22"/>
              </w:rPr>
              <w:t>Bollgard</w:t>
            </w:r>
            <w:proofErr w:type="spellEnd"/>
            <w:r w:rsidRPr="00C01C92">
              <w:rPr>
                <w:rFonts w:ascii="Times New (W1)" w:hAnsi="Times New (W1)"/>
                <w:sz w:val="22"/>
                <w:szCs w:val="22"/>
              </w:rPr>
              <w:t> II</w:t>
            </w:r>
            <w:r w:rsidRPr="00C01C92">
              <w:rPr>
                <w:rFonts w:ascii="Times New (W1)" w:hAnsi="Times New (W1)"/>
                <w:sz w:val="22"/>
                <w:szCs w:val="22"/>
                <w:vertAlign w:val="superscript"/>
              </w:rPr>
              <w:t>®</w:t>
            </w:r>
            <w:r w:rsidRPr="00C01C92">
              <w:rPr>
                <w:b/>
                <w:sz w:val="22"/>
                <w:szCs w:val="22"/>
              </w:rPr>
              <w:t>)</w:t>
            </w:r>
          </w:p>
        </w:tc>
        <w:tc>
          <w:tcPr>
            <w:tcW w:w="1843" w:type="dxa"/>
            <w:tcBorders>
              <w:top w:val="nil"/>
            </w:tcBorders>
          </w:tcPr>
          <w:p w:rsidR="004B7280" w:rsidRPr="00C01C92" w:rsidRDefault="004B7280" w:rsidP="00F004B0">
            <w:pPr>
              <w:rPr>
                <w:i/>
                <w:sz w:val="22"/>
                <w:szCs w:val="22"/>
              </w:rPr>
            </w:pPr>
            <w:r w:rsidRPr="00C01C92">
              <w:rPr>
                <w:i/>
                <w:sz w:val="22"/>
                <w:szCs w:val="22"/>
              </w:rPr>
              <w:t>cry1Ac, cry2Ab</w:t>
            </w:r>
          </w:p>
          <w:p w:rsidR="004B7280" w:rsidRPr="00C01C92" w:rsidRDefault="004B7280" w:rsidP="00F004B0">
            <w:pPr>
              <w:rPr>
                <w:i/>
                <w:sz w:val="22"/>
                <w:szCs w:val="22"/>
              </w:rPr>
            </w:pPr>
            <w:proofErr w:type="spellStart"/>
            <w:r w:rsidRPr="00C01C92">
              <w:rPr>
                <w:i/>
                <w:sz w:val="22"/>
                <w:szCs w:val="22"/>
              </w:rPr>
              <w:t>uidA</w:t>
            </w:r>
            <w:proofErr w:type="spellEnd"/>
            <w:r w:rsidRPr="00C01C92">
              <w:rPr>
                <w:i/>
                <w:sz w:val="22"/>
                <w:szCs w:val="22"/>
              </w:rPr>
              <w:t xml:space="preserve"> </w:t>
            </w:r>
            <w:r w:rsidRPr="00C01C92">
              <w:rPr>
                <w:i/>
                <w:sz w:val="22"/>
                <w:szCs w:val="22"/>
              </w:rPr>
              <w:br/>
            </w:r>
            <w:proofErr w:type="spellStart"/>
            <w:r w:rsidRPr="00C01C92">
              <w:rPr>
                <w:i/>
                <w:sz w:val="22"/>
                <w:szCs w:val="22"/>
              </w:rPr>
              <w:t>nptII</w:t>
            </w:r>
            <w:proofErr w:type="spellEnd"/>
            <w:r w:rsidRPr="00C01C92">
              <w:rPr>
                <w:i/>
                <w:sz w:val="22"/>
                <w:szCs w:val="22"/>
              </w:rPr>
              <w:t xml:space="preserve"> </w:t>
            </w:r>
          </w:p>
          <w:p w:rsidR="004B7280" w:rsidRPr="00C01C92" w:rsidRDefault="004B7280" w:rsidP="00F004B0">
            <w:pPr>
              <w:rPr>
                <w:rFonts w:ascii="Arial" w:hAnsi="Arial"/>
                <w:i/>
                <w:sz w:val="22"/>
                <w:szCs w:val="22"/>
              </w:rPr>
            </w:pPr>
            <w:proofErr w:type="spellStart"/>
            <w:r w:rsidRPr="00C01C92">
              <w:rPr>
                <w:i/>
                <w:sz w:val="22"/>
                <w:szCs w:val="22"/>
              </w:rPr>
              <w:t>aad</w:t>
            </w:r>
            <w:proofErr w:type="spellEnd"/>
            <w:r w:rsidRPr="00C01C92">
              <w:rPr>
                <w:rFonts w:ascii="Arial" w:hAnsi="Arial"/>
                <w:i/>
                <w:sz w:val="22"/>
                <w:szCs w:val="22"/>
              </w:rPr>
              <w:t xml:space="preserve"> </w:t>
            </w:r>
          </w:p>
        </w:tc>
        <w:tc>
          <w:tcPr>
            <w:tcW w:w="2835" w:type="dxa"/>
            <w:tcBorders>
              <w:top w:val="nil"/>
            </w:tcBorders>
          </w:tcPr>
          <w:p w:rsidR="004B7280" w:rsidRPr="00C01C92" w:rsidRDefault="004B7280" w:rsidP="00F004B0">
            <w:pPr>
              <w:rPr>
                <w:sz w:val="22"/>
                <w:szCs w:val="22"/>
              </w:rPr>
            </w:pPr>
            <w:r w:rsidRPr="00C01C92">
              <w:rPr>
                <w:sz w:val="22"/>
                <w:szCs w:val="22"/>
              </w:rPr>
              <w:t>Insect resistance</w:t>
            </w:r>
          </w:p>
          <w:p w:rsidR="004B7280" w:rsidRPr="00C01C92" w:rsidRDefault="004B7280" w:rsidP="00F004B0">
            <w:pPr>
              <w:rPr>
                <w:sz w:val="22"/>
                <w:szCs w:val="22"/>
              </w:rPr>
            </w:pPr>
            <w:r w:rsidRPr="00C01C92">
              <w:rPr>
                <w:sz w:val="22"/>
                <w:szCs w:val="22"/>
              </w:rPr>
              <w:t xml:space="preserve">Reporter </w:t>
            </w:r>
          </w:p>
          <w:p w:rsidR="004B7280" w:rsidRPr="00C01C92" w:rsidRDefault="004B7280" w:rsidP="00F004B0">
            <w:pPr>
              <w:rPr>
                <w:sz w:val="22"/>
                <w:szCs w:val="22"/>
              </w:rPr>
            </w:pPr>
            <w:r w:rsidRPr="00C01C92">
              <w:rPr>
                <w:sz w:val="22"/>
                <w:szCs w:val="22"/>
              </w:rPr>
              <w:t>Antibiotic resistance marker</w:t>
            </w:r>
          </w:p>
          <w:p w:rsidR="004B7280" w:rsidRPr="00C01C92" w:rsidRDefault="004B7280" w:rsidP="00F004B0">
            <w:pPr>
              <w:rPr>
                <w:sz w:val="22"/>
                <w:szCs w:val="22"/>
              </w:rPr>
            </w:pPr>
            <w:r w:rsidRPr="00C01C92">
              <w:rPr>
                <w:sz w:val="22"/>
                <w:szCs w:val="22"/>
              </w:rPr>
              <w:t>Antibiotic resistance marker</w:t>
            </w:r>
          </w:p>
        </w:tc>
        <w:tc>
          <w:tcPr>
            <w:tcW w:w="2835" w:type="dxa"/>
            <w:tcBorders>
              <w:top w:val="nil"/>
            </w:tcBorders>
          </w:tcPr>
          <w:p w:rsidR="004B7280" w:rsidRPr="00C01C92" w:rsidRDefault="004B7280" w:rsidP="00F004B0">
            <w:pPr>
              <w:rPr>
                <w:i/>
                <w:sz w:val="22"/>
                <w:szCs w:val="22"/>
              </w:rPr>
            </w:pPr>
            <w:r w:rsidRPr="00C01C92">
              <w:rPr>
                <w:i/>
                <w:sz w:val="22"/>
                <w:szCs w:val="22"/>
              </w:rPr>
              <w:t xml:space="preserve">Bacillus </w:t>
            </w:r>
            <w:proofErr w:type="spellStart"/>
            <w:r w:rsidRPr="00C01C92">
              <w:rPr>
                <w:i/>
                <w:sz w:val="22"/>
                <w:szCs w:val="22"/>
              </w:rPr>
              <w:t>thuringiensis</w:t>
            </w:r>
            <w:proofErr w:type="spellEnd"/>
          </w:p>
          <w:p w:rsidR="004B7280" w:rsidRPr="00C01C92" w:rsidRDefault="004B7280" w:rsidP="00F004B0">
            <w:pPr>
              <w:rPr>
                <w:i/>
                <w:sz w:val="22"/>
                <w:szCs w:val="22"/>
              </w:rPr>
            </w:pPr>
            <w:r w:rsidRPr="00C01C92">
              <w:rPr>
                <w:i/>
                <w:sz w:val="22"/>
                <w:szCs w:val="22"/>
              </w:rPr>
              <w:t xml:space="preserve">Escherichia coli </w:t>
            </w:r>
          </w:p>
          <w:p w:rsidR="004B7280" w:rsidRPr="00C01C92" w:rsidRDefault="004B7280" w:rsidP="00F004B0">
            <w:pPr>
              <w:rPr>
                <w:i/>
                <w:sz w:val="22"/>
                <w:szCs w:val="22"/>
                <w:lang w:val="pt-BR"/>
              </w:rPr>
            </w:pPr>
            <w:r w:rsidRPr="00C01C92">
              <w:rPr>
                <w:i/>
                <w:sz w:val="22"/>
                <w:szCs w:val="22"/>
                <w:lang w:val="pt-BR"/>
              </w:rPr>
              <w:t xml:space="preserve">E. coli, Tn5 </w:t>
            </w:r>
          </w:p>
          <w:p w:rsidR="004B7280" w:rsidRPr="00C01C92" w:rsidRDefault="004B7280" w:rsidP="00F004B0">
            <w:pPr>
              <w:rPr>
                <w:i/>
                <w:sz w:val="22"/>
                <w:szCs w:val="22"/>
                <w:lang w:val="pt-BR"/>
              </w:rPr>
            </w:pPr>
            <w:r w:rsidRPr="00C01C92">
              <w:rPr>
                <w:i/>
                <w:sz w:val="22"/>
                <w:szCs w:val="22"/>
                <w:lang w:val="pt-BR"/>
              </w:rPr>
              <w:t>E. coli, Tn7</w:t>
            </w:r>
          </w:p>
        </w:tc>
      </w:tr>
      <w:tr w:rsidR="004B7280" w:rsidRPr="00C01C92" w:rsidTr="00F004B0">
        <w:tblPrEx>
          <w:tblCellMar>
            <w:top w:w="0" w:type="dxa"/>
            <w:bottom w:w="0" w:type="dxa"/>
          </w:tblCellMar>
        </w:tblPrEx>
        <w:tc>
          <w:tcPr>
            <w:tcW w:w="2376" w:type="dxa"/>
          </w:tcPr>
          <w:p w:rsidR="004B7280" w:rsidRPr="00C01C92" w:rsidRDefault="004B7280" w:rsidP="00F004B0">
            <w:pPr>
              <w:rPr>
                <w:b/>
                <w:sz w:val="22"/>
                <w:szCs w:val="22"/>
              </w:rPr>
            </w:pPr>
            <w:r w:rsidRPr="00C01C92">
              <w:rPr>
                <w:b/>
                <w:sz w:val="22"/>
                <w:szCs w:val="22"/>
              </w:rPr>
              <w:t>MON 1445</w:t>
            </w:r>
            <w:r w:rsidRPr="00C01C92">
              <w:rPr>
                <w:b/>
                <w:sz w:val="22"/>
                <w:szCs w:val="22"/>
              </w:rPr>
              <w:br/>
              <w:t>(</w:t>
            </w:r>
            <w:r w:rsidRPr="00C01C92">
              <w:rPr>
                <w:rFonts w:ascii="Times New (W1)" w:hAnsi="Times New (W1)"/>
                <w:sz w:val="22"/>
                <w:szCs w:val="22"/>
              </w:rPr>
              <w:t>Roundup Ready</w:t>
            </w:r>
            <w:r w:rsidRPr="00C01C92">
              <w:rPr>
                <w:rFonts w:ascii="Times New (W1)" w:hAnsi="Times New (W1)"/>
                <w:sz w:val="22"/>
                <w:szCs w:val="22"/>
                <w:vertAlign w:val="superscript"/>
              </w:rPr>
              <w:t>®</w:t>
            </w:r>
            <w:r w:rsidRPr="00C01C92">
              <w:rPr>
                <w:b/>
                <w:sz w:val="22"/>
                <w:szCs w:val="22"/>
              </w:rPr>
              <w:t>)</w:t>
            </w:r>
          </w:p>
        </w:tc>
        <w:tc>
          <w:tcPr>
            <w:tcW w:w="1843" w:type="dxa"/>
          </w:tcPr>
          <w:p w:rsidR="004B7280" w:rsidRPr="00C01C92" w:rsidRDefault="004B7280" w:rsidP="00F004B0">
            <w:pPr>
              <w:rPr>
                <w:i/>
                <w:sz w:val="22"/>
                <w:szCs w:val="22"/>
              </w:rPr>
            </w:pPr>
            <w:r w:rsidRPr="00C01C92">
              <w:rPr>
                <w:i/>
                <w:sz w:val="22"/>
                <w:szCs w:val="22"/>
              </w:rPr>
              <w:t xml:space="preserve">cp4 </w:t>
            </w:r>
            <w:proofErr w:type="spellStart"/>
            <w:r w:rsidRPr="00C01C92">
              <w:rPr>
                <w:i/>
                <w:sz w:val="22"/>
                <w:szCs w:val="22"/>
              </w:rPr>
              <w:t>epsps</w:t>
            </w:r>
            <w:proofErr w:type="spellEnd"/>
          </w:p>
          <w:p w:rsidR="004B7280" w:rsidRPr="00C01C92" w:rsidRDefault="004B7280" w:rsidP="00F004B0">
            <w:pPr>
              <w:rPr>
                <w:i/>
                <w:sz w:val="22"/>
                <w:szCs w:val="22"/>
              </w:rPr>
            </w:pPr>
            <w:proofErr w:type="spellStart"/>
            <w:r w:rsidRPr="00C01C92">
              <w:rPr>
                <w:i/>
                <w:sz w:val="22"/>
                <w:szCs w:val="22"/>
              </w:rPr>
              <w:t>nptII</w:t>
            </w:r>
            <w:proofErr w:type="spellEnd"/>
            <w:r w:rsidRPr="00C01C92">
              <w:rPr>
                <w:i/>
                <w:sz w:val="22"/>
                <w:szCs w:val="22"/>
              </w:rPr>
              <w:t xml:space="preserve"> </w:t>
            </w:r>
          </w:p>
          <w:p w:rsidR="004B7280" w:rsidRPr="00C01C92" w:rsidRDefault="004B7280" w:rsidP="00F004B0">
            <w:pPr>
              <w:rPr>
                <w:rFonts w:ascii="Arial" w:hAnsi="Arial"/>
                <w:i/>
                <w:sz w:val="22"/>
                <w:szCs w:val="22"/>
              </w:rPr>
            </w:pPr>
            <w:proofErr w:type="spellStart"/>
            <w:r w:rsidRPr="00C01C92">
              <w:rPr>
                <w:i/>
                <w:sz w:val="22"/>
                <w:szCs w:val="22"/>
              </w:rPr>
              <w:t>aad</w:t>
            </w:r>
            <w:proofErr w:type="spellEnd"/>
            <w:r w:rsidRPr="00C01C92">
              <w:rPr>
                <w:rFonts w:ascii="Arial" w:hAnsi="Arial"/>
                <w:i/>
                <w:sz w:val="22"/>
                <w:szCs w:val="22"/>
              </w:rPr>
              <w:t xml:space="preserve"> </w:t>
            </w:r>
          </w:p>
        </w:tc>
        <w:tc>
          <w:tcPr>
            <w:tcW w:w="2835" w:type="dxa"/>
          </w:tcPr>
          <w:p w:rsidR="004B7280" w:rsidRPr="00C01C92" w:rsidRDefault="004B7280" w:rsidP="00F004B0">
            <w:pPr>
              <w:rPr>
                <w:sz w:val="22"/>
                <w:szCs w:val="22"/>
              </w:rPr>
            </w:pPr>
            <w:r w:rsidRPr="00C01C92">
              <w:rPr>
                <w:sz w:val="22"/>
                <w:szCs w:val="22"/>
              </w:rPr>
              <w:t>Herbicide tolerance</w:t>
            </w:r>
          </w:p>
          <w:p w:rsidR="004B7280" w:rsidRPr="00C01C92" w:rsidRDefault="004B7280" w:rsidP="00F004B0">
            <w:pPr>
              <w:rPr>
                <w:sz w:val="22"/>
                <w:szCs w:val="22"/>
              </w:rPr>
            </w:pPr>
            <w:r w:rsidRPr="00C01C92">
              <w:rPr>
                <w:sz w:val="22"/>
                <w:szCs w:val="22"/>
              </w:rPr>
              <w:t>Antibiotic resistance marker</w:t>
            </w:r>
          </w:p>
          <w:p w:rsidR="004B7280" w:rsidRPr="00C01C92" w:rsidRDefault="004B7280" w:rsidP="00F004B0">
            <w:pPr>
              <w:rPr>
                <w:sz w:val="22"/>
                <w:szCs w:val="22"/>
              </w:rPr>
            </w:pPr>
            <w:r w:rsidRPr="00C01C92">
              <w:rPr>
                <w:sz w:val="22"/>
                <w:szCs w:val="22"/>
              </w:rPr>
              <w:t>Antibiotic resistance marker</w:t>
            </w:r>
          </w:p>
        </w:tc>
        <w:tc>
          <w:tcPr>
            <w:tcW w:w="2835" w:type="dxa"/>
          </w:tcPr>
          <w:p w:rsidR="004B7280" w:rsidRPr="00C01C92" w:rsidRDefault="004B7280" w:rsidP="00F004B0">
            <w:pPr>
              <w:rPr>
                <w:i/>
                <w:sz w:val="22"/>
                <w:szCs w:val="22"/>
              </w:rPr>
            </w:pPr>
            <w:r w:rsidRPr="00C01C92">
              <w:rPr>
                <w:i/>
                <w:sz w:val="22"/>
                <w:szCs w:val="22"/>
              </w:rPr>
              <w:t xml:space="preserve">Agrobacterium </w:t>
            </w:r>
            <w:r w:rsidRPr="00C01C92">
              <w:rPr>
                <w:sz w:val="22"/>
                <w:szCs w:val="22"/>
              </w:rPr>
              <w:t>sp. CP4 strain</w:t>
            </w:r>
          </w:p>
          <w:p w:rsidR="004B7280" w:rsidRPr="00C01C92" w:rsidRDefault="004B7280" w:rsidP="00F004B0">
            <w:pPr>
              <w:rPr>
                <w:i/>
                <w:sz w:val="22"/>
                <w:szCs w:val="22"/>
              </w:rPr>
            </w:pPr>
            <w:r w:rsidRPr="00C01C92">
              <w:rPr>
                <w:i/>
                <w:sz w:val="22"/>
                <w:szCs w:val="22"/>
              </w:rPr>
              <w:t xml:space="preserve">E. coli, Tn5 </w:t>
            </w:r>
          </w:p>
          <w:p w:rsidR="004B7280" w:rsidRPr="00C01C92" w:rsidRDefault="004B7280" w:rsidP="00F004B0">
            <w:pPr>
              <w:rPr>
                <w:b/>
                <w:i/>
                <w:sz w:val="22"/>
                <w:szCs w:val="22"/>
              </w:rPr>
            </w:pPr>
            <w:r w:rsidRPr="00C01C92">
              <w:rPr>
                <w:i/>
                <w:sz w:val="22"/>
                <w:szCs w:val="22"/>
              </w:rPr>
              <w:t>E. coli, Tn7</w:t>
            </w:r>
          </w:p>
        </w:tc>
      </w:tr>
      <w:tr w:rsidR="004B7280" w:rsidRPr="00C01C92" w:rsidTr="00F004B0">
        <w:tblPrEx>
          <w:tblCellMar>
            <w:top w:w="0" w:type="dxa"/>
            <w:bottom w:w="0" w:type="dxa"/>
          </w:tblCellMar>
        </w:tblPrEx>
        <w:tc>
          <w:tcPr>
            <w:tcW w:w="2376" w:type="dxa"/>
          </w:tcPr>
          <w:p w:rsidR="004B7280" w:rsidRPr="00C01C92" w:rsidRDefault="004B7280" w:rsidP="00F004B0">
            <w:pPr>
              <w:rPr>
                <w:sz w:val="22"/>
                <w:szCs w:val="22"/>
              </w:rPr>
            </w:pPr>
            <w:r w:rsidRPr="00C01C92">
              <w:rPr>
                <w:b/>
                <w:sz w:val="22"/>
                <w:szCs w:val="22"/>
              </w:rPr>
              <w:t>MON 88913</w:t>
            </w:r>
            <w:r w:rsidRPr="00C01C92">
              <w:rPr>
                <w:b/>
                <w:sz w:val="22"/>
                <w:szCs w:val="22"/>
              </w:rPr>
              <w:br/>
              <w:t>(</w:t>
            </w:r>
            <w:r w:rsidRPr="00C01C92">
              <w:rPr>
                <w:rFonts w:ascii="Times New (W1)" w:hAnsi="Times New (W1)"/>
                <w:sz w:val="22"/>
                <w:szCs w:val="22"/>
              </w:rPr>
              <w:t>Roundup Ready Flex</w:t>
            </w:r>
            <w:r w:rsidRPr="00C01C92">
              <w:rPr>
                <w:rFonts w:ascii="Times New (W1)" w:hAnsi="Times New (W1)"/>
                <w:sz w:val="22"/>
                <w:szCs w:val="22"/>
                <w:vertAlign w:val="superscript"/>
              </w:rPr>
              <w:t>®</w:t>
            </w:r>
            <w:r w:rsidRPr="00C01C92">
              <w:rPr>
                <w:b/>
                <w:sz w:val="22"/>
                <w:szCs w:val="22"/>
              </w:rPr>
              <w:t>)</w:t>
            </w:r>
          </w:p>
        </w:tc>
        <w:tc>
          <w:tcPr>
            <w:tcW w:w="1843" w:type="dxa"/>
          </w:tcPr>
          <w:p w:rsidR="004B7280" w:rsidRPr="00C01C92" w:rsidRDefault="004B7280" w:rsidP="00F004B0">
            <w:pPr>
              <w:rPr>
                <w:i/>
                <w:sz w:val="22"/>
                <w:szCs w:val="22"/>
              </w:rPr>
            </w:pPr>
            <w:r w:rsidRPr="00C01C92">
              <w:rPr>
                <w:i/>
                <w:sz w:val="22"/>
                <w:szCs w:val="22"/>
              </w:rPr>
              <w:t xml:space="preserve">cp4 </w:t>
            </w:r>
            <w:proofErr w:type="spellStart"/>
            <w:r w:rsidRPr="00C01C92">
              <w:rPr>
                <w:i/>
                <w:sz w:val="22"/>
                <w:szCs w:val="22"/>
              </w:rPr>
              <w:t>epsps</w:t>
            </w:r>
            <w:proofErr w:type="spellEnd"/>
            <w:r w:rsidRPr="00C01C92">
              <w:rPr>
                <w:i/>
                <w:sz w:val="22"/>
                <w:szCs w:val="22"/>
              </w:rPr>
              <w:t xml:space="preserve"> </w:t>
            </w:r>
          </w:p>
          <w:p w:rsidR="004B7280" w:rsidRPr="00C01C92" w:rsidRDefault="004B7280" w:rsidP="00F004B0">
            <w:pPr>
              <w:rPr>
                <w:i/>
                <w:sz w:val="22"/>
                <w:szCs w:val="22"/>
              </w:rPr>
            </w:pPr>
          </w:p>
        </w:tc>
        <w:tc>
          <w:tcPr>
            <w:tcW w:w="2835" w:type="dxa"/>
          </w:tcPr>
          <w:p w:rsidR="004B7280" w:rsidRPr="00C01C92" w:rsidRDefault="004B7280" w:rsidP="00F004B0">
            <w:pPr>
              <w:rPr>
                <w:sz w:val="22"/>
                <w:szCs w:val="22"/>
              </w:rPr>
            </w:pPr>
            <w:r w:rsidRPr="00C01C92">
              <w:rPr>
                <w:sz w:val="22"/>
                <w:szCs w:val="22"/>
              </w:rPr>
              <w:t>Herbicide tolerance</w:t>
            </w:r>
          </w:p>
        </w:tc>
        <w:tc>
          <w:tcPr>
            <w:tcW w:w="2835" w:type="dxa"/>
          </w:tcPr>
          <w:p w:rsidR="004B7280" w:rsidRPr="00C01C92" w:rsidRDefault="004B7280" w:rsidP="00F004B0">
            <w:pPr>
              <w:rPr>
                <w:b/>
                <w:i/>
                <w:sz w:val="22"/>
                <w:szCs w:val="22"/>
              </w:rPr>
            </w:pPr>
            <w:r w:rsidRPr="00C01C92">
              <w:rPr>
                <w:i/>
                <w:sz w:val="22"/>
                <w:szCs w:val="22"/>
              </w:rPr>
              <w:t xml:space="preserve">Agrobacterium </w:t>
            </w:r>
            <w:r w:rsidRPr="00C01C92">
              <w:rPr>
                <w:sz w:val="22"/>
                <w:szCs w:val="22"/>
              </w:rPr>
              <w:t>sp. CP4 strain</w:t>
            </w:r>
          </w:p>
        </w:tc>
      </w:tr>
      <w:tr w:rsidR="004B7280" w:rsidRPr="00C01C92" w:rsidTr="00F004B0">
        <w:tblPrEx>
          <w:tblCellMar>
            <w:top w:w="0" w:type="dxa"/>
            <w:bottom w:w="0" w:type="dxa"/>
          </w:tblCellMar>
        </w:tblPrEx>
        <w:tc>
          <w:tcPr>
            <w:tcW w:w="2376" w:type="dxa"/>
          </w:tcPr>
          <w:p w:rsidR="004B7280" w:rsidRPr="00C01C92" w:rsidRDefault="004B7280" w:rsidP="00F004B0">
            <w:pPr>
              <w:rPr>
                <w:b/>
                <w:sz w:val="22"/>
                <w:szCs w:val="22"/>
              </w:rPr>
            </w:pPr>
            <w:r w:rsidRPr="00C01C92">
              <w:rPr>
                <w:b/>
                <w:sz w:val="22"/>
                <w:szCs w:val="22"/>
              </w:rPr>
              <w:t xml:space="preserve">MON15985/ </w:t>
            </w:r>
            <w:r w:rsidRPr="00C01C92">
              <w:rPr>
                <w:b/>
                <w:sz w:val="22"/>
                <w:szCs w:val="22"/>
              </w:rPr>
              <w:br/>
              <w:t>MON 1445</w:t>
            </w:r>
          </w:p>
          <w:p w:rsidR="004B7280" w:rsidRPr="00C01C92" w:rsidRDefault="004B7280" w:rsidP="00F004B0">
            <w:pPr>
              <w:rPr>
                <w:sz w:val="22"/>
                <w:szCs w:val="22"/>
              </w:rPr>
            </w:pPr>
            <w:r w:rsidRPr="00C01C92">
              <w:rPr>
                <w:sz w:val="22"/>
                <w:szCs w:val="22"/>
              </w:rPr>
              <w:t>(</w:t>
            </w:r>
            <w:r w:rsidRPr="00C01C92">
              <w:rPr>
                <w:rFonts w:ascii="Times New (W1)" w:hAnsi="Times New (W1)"/>
                <w:sz w:val="22"/>
                <w:szCs w:val="22"/>
              </w:rPr>
              <w:t>Roundup Ready</w:t>
            </w:r>
            <w:r w:rsidRPr="00C01C92">
              <w:rPr>
                <w:rFonts w:ascii="Times New (W1)" w:hAnsi="Times New (W1)"/>
                <w:sz w:val="22"/>
                <w:szCs w:val="22"/>
                <w:vertAlign w:val="superscript"/>
              </w:rPr>
              <w:t>®</w:t>
            </w:r>
            <w:r w:rsidRPr="00C01C92">
              <w:rPr>
                <w:rFonts w:ascii="Times New (W1)" w:hAnsi="Times New (W1)"/>
                <w:sz w:val="22"/>
                <w:szCs w:val="22"/>
              </w:rPr>
              <w:t>/</w:t>
            </w:r>
            <w:proofErr w:type="spellStart"/>
            <w:r w:rsidRPr="00C01C92">
              <w:rPr>
                <w:rFonts w:ascii="Times New (W1)" w:hAnsi="Times New (W1)"/>
                <w:sz w:val="22"/>
                <w:szCs w:val="22"/>
              </w:rPr>
              <w:t>Bollgard</w:t>
            </w:r>
            <w:proofErr w:type="spellEnd"/>
            <w:r w:rsidRPr="00C01C92">
              <w:rPr>
                <w:rFonts w:ascii="Times New (W1)" w:hAnsi="Times New (W1)"/>
                <w:sz w:val="22"/>
                <w:szCs w:val="22"/>
              </w:rPr>
              <w:t> II</w:t>
            </w:r>
            <w:r w:rsidRPr="00C01C92">
              <w:rPr>
                <w:rFonts w:ascii="Times New (W1)" w:hAnsi="Times New (W1)"/>
                <w:sz w:val="22"/>
                <w:szCs w:val="22"/>
                <w:vertAlign w:val="superscript"/>
              </w:rPr>
              <w:t>®</w:t>
            </w:r>
            <w:r w:rsidRPr="00C01C92">
              <w:rPr>
                <w:sz w:val="22"/>
                <w:szCs w:val="22"/>
              </w:rPr>
              <w:t>)</w:t>
            </w:r>
          </w:p>
        </w:tc>
        <w:tc>
          <w:tcPr>
            <w:tcW w:w="1843" w:type="dxa"/>
          </w:tcPr>
          <w:p w:rsidR="004B7280" w:rsidRPr="00C01C92" w:rsidRDefault="004B7280" w:rsidP="00F004B0">
            <w:pPr>
              <w:rPr>
                <w:i/>
                <w:sz w:val="22"/>
                <w:szCs w:val="22"/>
              </w:rPr>
            </w:pPr>
            <w:r w:rsidRPr="00C01C92">
              <w:rPr>
                <w:i/>
                <w:sz w:val="22"/>
                <w:szCs w:val="22"/>
              </w:rPr>
              <w:t>cry1Ac, cry2Ab</w:t>
            </w:r>
          </w:p>
          <w:p w:rsidR="004B7280" w:rsidRPr="00C01C92" w:rsidRDefault="004B7280" w:rsidP="00F004B0">
            <w:pPr>
              <w:rPr>
                <w:i/>
                <w:sz w:val="22"/>
                <w:szCs w:val="22"/>
              </w:rPr>
            </w:pPr>
            <w:r w:rsidRPr="00C01C92">
              <w:rPr>
                <w:i/>
                <w:sz w:val="22"/>
                <w:szCs w:val="22"/>
              </w:rPr>
              <w:t xml:space="preserve">cp4 </w:t>
            </w:r>
            <w:proofErr w:type="spellStart"/>
            <w:r w:rsidRPr="00C01C92">
              <w:rPr>
                <w:i/>
                <w:sz w:val="22"/>
                <w:szCs w:val="22"/>
              </w:rPr>
              <w:t>epsps</w:t>
            </w:r>
            <w:proofErr w:type="spellEnd"/>
          </w:p>
          <w:p w:rsidR="004B7280" w:rsidRPr="00C01C92" w:rsidRDefault="004B7280" w:rsidP="00F004B0">
            <w:pPr>
              <w:rPr>
                <w:i/>
                <w:sz w:val="22"/>
                <w:szCs w:val="22"/>
              </w:rPr>
            </w:pPr>
            <w:proofErr w:type="spellStart"/>
            <w:r w:rsidRPr="00C01C92">
              <w:rPr>
                <w:i/>
                <w:sz w:val="22"/>
                <w:szCs w:val="22"/>
              </w:rPr>
              <w:t>uidA</w:t>
            </w:r>
            <w:proofErr w:type="spellEnd"/>
            <w:r w:rsidRPr="00C01C92">
              <w:rPr>
                <w:i/>
                <w:sz w:val="22"/>
                <w:szCs w:val="22"/>
              </w:rPr>
              <w:t xml:space="preserve"> </w:t>
            </w:r>
            <w:r w:rsidRPr="00C01C92">
              <w:rPr>
                <w:i/>
                <w:sz w:val="22"/>
                <w:szCs w:val="22"/>
              </w:rPr>
              <w:br/>
            </w:r>
            <w:proofErr w:type="spellStart"/>
            <w:r w:rsidRPr="00C01C92">
              <w:rPr>
                <w:i/>
                <w:sz w:val="22"/>
                <w:szCs w:val="22"/>
              </w:rPr>
              <w:t>nptII</w:t>
            </w:r>
            <w:proofErr w:type="spellEnd"/>
            <w:r w:rsidRPr="00C01C92">
              <w:rPr>
                <w:i/>
                <w:sz w:val="22"/>
                <w:szCs w:val="22"/>
              </w:rPr>
              <w:t xml:space="preserve"> </w:t>
            </w:r>
          </w:p>
          <w:p w:rsidR="004B7280" w:rsidRPr="00C01C92" w:rsidRDefault="004B7280" w:rsidP="00F004B0">
            <w:pPr>
              <w:rPr>
                <w:i/>
                <w:sz w:val="22"/>
                <w:szCs w:val="22"/>
              </w:rPr>
            </w:pPr>
            <w:proofErr w:type="spellStart"/>
            <w:r w:rsidRPr="00C01C92">
              <w:rPr>
                <w:i/>
                <w:sz w:val="22"/>
                <w:szCs w:val="22"/>
              </w:rPr>
              <w:t>aad</w:t>
            </w:r>
            <w:proofErr w:type="spellEnd"/>
          </w:p>
        </w:tc>
        <w:tc>
          <w:tcPr>
            <w:tcW w:w="2835" w:type="dxa"/>
          </w:tcPr>
          <w:p w:rsidR="004B7280" w:rsidRDefault="004B7280" w:rsidP="00F004B0">
            <w:pPr>
              <w:rPr>
                <w:sz w:val="22"/>
                <w:szCs w:val="22"/>
              </w:rPr>
            </w:pPr>
            <w:r w:rsidRPr="00C01C92">
              <w:rPr>
                <w:sz w:val="22"/>
                <w:szCs w:val="22"/>
              </w:rPr>
              <w:t>Insect resistance</w:t>
            </w:r>
          </w:p>
          <w:p w:rsidR="004B7280" w:rsidRPr="00C01C92" w:rsidRDefault="004B7280" w:rsidP="00F004B0">
            <w:pPr>
              <w:rPr>
                <w:sz w:val="22"/>
                <w:szCs w:val="22"/>
              </w:rPr>
            </w:pPr>
            <w:r w:rsidRPr="00C01C92">
              <w:rPr>
                <w:sz w:val="22"/>
                <w:szCs w:val="22"/>
              </w:rPr>
              <w:t>Herbicide tolerance</w:t>
            </w:r>
          </w:p>
          <w:p w:rsidR="004B7280" w:rsidRPr="00C01C92" w:rsidRDefault="004B7280" w:rsidP="00F004B0">
            <w:pPr>
              <w:rPr>
                <w:sz w:val="22"/>
                <w:szCs w:val="22"/>
              </w:rPr>
            </w:pPr>
            <w:r w:rsidRPr="00C01C92">
              <w:rPr>
                <w:sz w:val="22"/>
                <w:szCs w:val="22"/>
              </w:rPr>
              <w:t>Reporter</w:t>
            </w:r>
          </w:p>
          <w:p w:rsidR="004B7280" w:rsidRPr="00C01C92" w:rsidRDefault="004B7280" w:rsidP="00F004B0">
            <w:pPr>
              <w:rPr>
                <w:sz w:val="22"/>
                <w:szCs w:val="22"/>
              </w:rPr>
            </w:pPr>
            <w:r w:rsidRPr="00C01C92">
              <w:rPr>
                <w:sz w:val="22"/>
                <w:szCs w:val="22"/>
              </w:rPr>
              <w:t>Antibiotic resistance marker</w:t>
            </w:r>
          </w:p>
          <w:p w:rsidR="004B7280" w:rsidRPr="00C01C92" w:rsidRDefault="004B7280" w:rsidP="00F004B0">
            <w:pPr>
              <w:rPr>
                <w:sz w:val="22"/>
                <w:szCs w:val="22"/>
              </w:rPr>
            </w:pPr>
            <w:r w:rsidRPr="00C01C92">
              <w:rPr>
                <w:sz w:val="22"/>
                <w:szCs w:val="22"/>
              </w:rPr>
              <w:t>Antibiotic resistance marker</w:t>
            </w:r>
          </w:p>
        </w:tc>
        <w:tc>
          <w:tcPr>
            <w:tcW w:w="2835" w:type="dxa"/>
          </w:tcPr>
          <w:p w:rsidR="004B7280" w:rsidRPr="00C01C92" w:rsidRDefault="004B7280" w:rsidP="00F004B0">
            <w:pPr>
              <w:rPr>
                <w:i/>
                <w:sz w:val="22"/>
                <w:szCs w:val="22"/>
              </w:rPr>
            </w:pPr>
            <w:r w:rsidRPr="00C01C92">
              <w:rPr>
                <w:i/>
                <w:sz w:val="22"/>
                <w:szCs w:val="22"/>
              </w:rPr>
              <w:t xml:space="preserve">B. </w:t>
            </w:r>
            <w:proofErr w:type="spellStart"/>
            <w:r w:rsidRPr="00C01C92">
              <w:rPr>
                <w:i/>
                <w:sz w:val="22"/>
                <w:szCs w:val="22"/>
              </w:rPr>
              <w:t>thuringiensis</w:t>
            </w:r>
            <w:proofErr w:type="spellEnd"/>
          </w:p>
          <w:p w:rsidR="004B7280" w:rsidRPr="00C01C92" w:rsidRDefault="004B7280" w:rsidP="00F004B0">
            <w:pPr>
              <w:rPr>
                <w:i/>
                <w:sz w:val="22"/>
                <w:szCs w:val="22"/>
              </w:rPr>
            </w:pPr>
            <w:r w:rsidRPr="00C01C92">
              <w:rPr>
                <w:i/>
                <w:sz w:val="22"/>
                <w:szCs w:val="22"/>
              </w:rPr>
              <w:t xml:space="preserve">Agrobacterium </w:t>
            </w:r>
            <w:r w:rsidRPr="00C01C92">
              <w:rPr>
                <w:sz w:val="22"/>
                <w:szCs w:val="22"/>
              </w:rPr>
              <w:t>sp. CP4 strain</w:t>
            </w:r>
          </w:p>
          <w:p w:rsidR="004B7280" w:rsidRPr="00C01C92" w:rsidRDefault="004B7280" w:rsidP="00F004B0">
            <w:pPr>
              <w:rPr>
                <w:i/>
                <w:sz w:val="22"/>
                <w:szCs w:val="22"/>
              </w:rPr>
            </w:pPr>
            <w:r w:rsidRPr="00C01C92">
              <w:rPr>
                <w:i/>
                <w:sz w:val="22"/>
                <w:szCs w:val="22"/>
              </w:rPr>
              <w:t xml:space="preserve">E. coli </w:t>
            </w:r>
          </w:p>
          <w:p w:rsidR="004B7280" w:rsidRPr="00C01C92" w:rsidRDefault="004B7280" w:rsidP="00F004B0">
            <w:pPr>
              <w:rPr>
                <w:i/>
                <w:sz w:val="22"/>
                <w:szCs w:val="22"/>
              </w:rPr>
            </w:pPr>
            <w:r w:rsidRPr="00C01C92">
              <w:rPr>
                <w:i/>
                <w:sz w:val="22"/>
                <w:szCs w:val="22"/>
              </w:rPr>
              <w:t xml:space="preserve">E. coli, Tn5 </w:t>
            </w:r>
          </w:p>
          <w:p w:rsidR="004B7280" w:rsidRPr="00C01C92" w:rsidRDefault="004B7280" w:rsidP="00F004B0">
            <w:pPr>
              <w:rPr>
                <w:i/>
                <w:sz w:val="22"/>
                <w:szCs w:val="22"/>
              </w:rPr>
            </w:pPr>
            <w:r w:rsidRPr="00C01C92">
              <w:rPr>
                <w:i/>
                <w:sz w:val="22"/>
                <w:szCs w:val="22"/>
              </w:rPr>
              <w:t>E. coli, Tn7</w:t>
            </w:r>
          </w:p>
        </w:tc>
      </w:tr>
      <w:tr w:rsidR="004B7280" w:rsidRPr="00C01C92" w:rsidTr="00F004B0">
        <w:tblPrEx>
          <w:tblCellMar>
            <w:top w:w="0" w:type="dxa"/>
            <w:bottom w:w="0" w:type="dxa"/>
          </w:tblCellMar>
        </w:tblPrEx>
        <w:tc>
          <w:tcPr>
            <w:tcW w:w="2376" w:type="dxa"/>
          </w:tcPr>
          <w:p w:rsidR="004B7280" w:rsidRPr="00C01C92" w:rsidRDefault="004B7280" w:rsidP="00F004B0">
            <w:pPr>
              <w:rPr>
                <w:b/>
                <w:sz w:val="22"/>
                <w:szCs w:val="22"/>
              </w:rPr>
            </w:pPr>
            <w:r w:rsidRPr="00C01C92">
              <w:rPr>
                <w:b/>
                <w:sz w:val="22"/>
                <w:szCs w:val="22"/>
              </w:rPr>
              <w:t>MON 88913/ MON15985</w:t>
            </w:r>
          </w:p>
          <w:p w:rsidR="004B7280" w:rsidRPr="00C01C92" w:rsidRDefault="004B7280" w:rsidP="00F004B0">
            <w:pPr>
              <w:rPr>
                <w:b/>
                <w:sz w:val="22"/>
                <w:szCs w:val="22"/>
              </w:rPr>
            </w:pPr>
            <w:r w:rsidRPr="00C01C92">
              <w:rPr>
                <w:b/>
                <w:sz w:val="22"/>
                <w:szCs w:val="22"/>
              </w:rPr>
              <w:t>(</w:t>
            </w:r>
            <w:r w:rsidRPr="00C01C92">
              <w:rPr>
                <w:rFonts w:ascii="Times New (W1)" w:hAnsi="Times New (W1)"/>
                <w:sz w:val="22"/>
                <w:szCs w:val="22"/>
              </w:rPr>
              <w:t>Roundup Ready Flex</w:t>
            </w:r>
            <w:r w:rsidRPr="00C01C92">
              <w:rPr>
                <w:rFonts w:ascii="Times New (W1)" w:hAnsi="Times New (W1)"/>
                <w:sz w:val="22"/>
                <w:szCs w:val="22"/>
                <w:vertAlign w:val="superscript"/>
              </w:rPr>
              <w:t>®</w:t>
            </w:r>
            <w:r w:rsidRPr="00C01C92">
              <w:rPr>
                <w:rFonts w:ascii="Times New (W1)" w:hAnsi="Times New (W1)"/>
                <w:sz w:val="22"/>
                <w:szCs w:val="22"/>
              </w:rPr>
              <w:t>/</w:t>
            </w:r>
            <w:proofErr w:type="spellStart"/>
            <w:r w:rsidRPr="00C01C92">
              <w:rPr>
                <w:rFonts w:ascii="Times New (W1)" w:hAnsi="Times New (W1)"/>
                <w:sz w:val="22"/>
                <w:szCs w:val="22"/>
              </w:rPr>
              <w:t>Bollgard</w:t>
            </w:r>
            <w:proofErr w:type="spellEnd"/>
            <w:r w:rsidRPr="00C01C92">
              <w:rPr>
                <w:rFonts w:ascii="Times New (W1)" w:hAnsi="Times New (W1)"/>
                <w:sz w:val="22"/>
                <w:szCs w:val="22"/>
              </w:rPr>
              <w:t> II</w:t>
            </w:r>
            <w:r w:rsidRPr="00C01C92">
              <w:rPr>
                <w:rFonts w:ascii="Times New (W1)" w:hAnsi="Times New (W1)"/>
                <w:sz w:val="22"/>
                <w:szCs w:val="22"/>
                <w:vertAlign w:val="superscript"/>
              </w:rPr>
              <w:t>®</w:t>
            </w:r>
            <w:r w:rsidRPr="00C01C92">
              <w:rPr>
                <w:b/>
                <w:sz w:val="22"/>
                <w:szCs w:val="22"/>
              </w:rPr>
              <w:t>)</w:t>
            </w:r>
          </w:p>
        </w:tc>
        <w:tc>
          <w:tcPr>
            <w:tcW w:w="1843" w:type="dxa"/>
          </w:tcPr>
          <w:p w:rsidR="004B7280" w:rsidRPr="00C01C92" w:rsidRDefault="004B7280" w:rsidP="00F004B0">
            <w:pPr>
              <w:rPr>
                <w:i/>
                <w:sz w:val="22"/>
                <w:szCs w:val="22"/>
              </w:rPr>
            </w:pPr>
            <w:r w:rsidRPr="00C01C92">
              <w:rPr>
                <w:i/>
                <w:sz w:val="22"/>
                <w:szCs w:val="22"/>
              </w:rPr>
              <w:t>cry1Ac, cry2Ab</w:t>
            </w:r>
          </w:p>
          <w:p w:rsidR="004B7280" w:rsidRPr="00C01C92" w:rsidRDefault="004B7280" w:rsidP="00F004B0">
            <w:pPr>
              <w:rPr>
                <w:sz w:val="22"/>
                <w:szCs w:val="22"/>
              </w:rPr>
            </w:pPr>
            <w:r w:rsidRPr="00C01C92">
              <w:rPr>
                <w:i/>
                <w:sz w:val="22"/>
                <w:szCs w:val="22"/>
              </w:rPr>
              <w:t xml:space="preserve">cp4 </w:t>
            </w:r>
            <w:proofErr w:type="spellStart"/>
            <w:r w:rsidRPr="00C01C92">
              <w:rPr>
                <w:i/>
                <w:sz w:val="22"/>
                <w:szCs w:val="22"/>
              </w:rPr>
              <w:t>epsps</w:t>
            </w:r>
            <w:proofErr w:type="spellEnd"/>
            <w:r w:rsidRPr="00C01C92">
              <w:rPr>
                <w:i/>
                <w:sz w:val="22"/>
                <w:szCs w:val="22"/>
              </w:rPr>
              <w:t xml:space="preserve"> </w:t>
            </w:r>
          </w:p>
          <w:p w:rsidR="004B7280" w:rsidRPr="00C01C92" w:rsidRDefault="004B7280" w:rsidP="00F004B0">
            <w:pPr>
              <w:rPr>
                <w:i/>
                <w:sz w:val="22"/>
                <w:szCs w:val="22"/>
              </w:rPr>
            </w:pPr>
            <w:proofErr w:type="spellStart"/>
            <w:r w:rsidRPr="00C01C92">
              <w:rPr>
                <w:i/>
                <w:sz w:val="22"/>
                <w:szCs w:val="22"/>
              </w:rPr>
              <w:t>uidA</w:t>
            </w:r>
            <w:proofErr w:type="spellEnd"/>
            <w:r w:rsidRPr="00C01C92">
              <w:rPr>
                <w:i/>
                <w:sz w:val="22"/>
                <w:szCs w:val="22"/>
              </w:rPr>
              <w:t xml:space="preserve"> </w:t>
            </w:r>
            <w:r w:rsidRPr="00C01C92">
              <w:rPr>
                <w:i/>
                <w:sz w:val="22"/>
                <w:szCs w:val="22"/>
              </w:rPr>
              <w:br/>
            </w:r>
            <w:proofErr w:type="spellStart"/>
            <w:r w:rsidRPr="00C01C92">
              <w:rPr>
                <w:i/>
                <w:sz w:val="22"/>
                <w:szCs w:val="22"/>
              </w:rPr>
              <w:t>nptII</w:t>
            </w:r>
            <w:proofErr w:type="spellEnd"/>
            <w:r w:rsidRPr="00C01C92">
              <w:rPr>
                <w:i/>
                <w:sz w:val="22"/>
                <w:szCs w:val="22"/>
              </w:rPr>
              <w:t xml:space="preserve"> </w:t>
            </w:r>
          </w:p>
          <w:p w:rsidR="004B7280" w:rsidRPr="00C01C92" w:rsidRDefault="004B7280" w:rsidP="00F004B0">
            <w:pPr>
              <w:rPr>
                <w:i/>
                <w:sz w:val="22"/>
                <w:szCs w:val="22"/>
              </w:rPr>
            </w:pPr>
            <w:proofErr w:type="spellStart"/>
            <w:r w:rsidRPr="00C01C92">
              <w:rPr>
                <w:i/>
                <w:sz w:val="22"/>
                <w:szCs w:val="22"/>
              </w:rPr>
              <w:t>aad</w:t>
            </w:r>
            <w:proofErr w:type="spellEnd"/>
          </w:p>
        </w:tc>
        <w:tc>
          <w:tcPr>
            <w:tcW w:w="2835" w:type="dxa"/>
          </w:tcPr>
          <w:p w:rsidR="004B7280" w:rsidRPr="00C01C92" w:rsidRDefault="004B7280" w:rsidP="00F004B0">
            <w:pPr>
              <w:rPr>
                <w:sz w:val="22"/>
                <w:szCs w:val="22"/>
              </w:rPr>
            </w:pPr>
            <w:r w:rsidRPr="00C01C92">
              <w:rPr>
                <w:sz w:val="22"/>
                <w:szCs w:val="22"/>
              </w:rPr>
              <w:t>Insect resistance</w:t>
            </w:r>
          </w:p>
          <w:p w:rsidR="004B7280" w:rsidRPr="00C01C92" w:rsidRDefault="004B7280" w:rsidP="00F004B0">
            <w:pPr>
              <w:rPr>
                <w:sz w:val="22"/>
                <w:szCs w:val="22"/>
              </w:rPr>
            </w:pPr>
            <w:r w:rsidRPr="00C01C92">
              <w:rPr>
                <w:sz w:val="22"/>
                <w:szCs w:val="22"/>
              </w:rPr>
              <w:t>Herbicide tolerance</w:t>
            </w:r>
          </w:p>
          <w:p w:rsidR="004B7280" w:rsidRPr="00C01C92" w:rsidRDefault="004B7280" w:rsidP="00F004B0">
            <w:pPr>
              <w:rPr>
                <w:sz w:val="22"/>
                <w:szCs w:val="22"/>
              </w:rPr>
            </w:pPr>
            <w:r w:rsidRPr="00C01C92">
              <w:rPr>
                <w:sz w:val="22"/>
                <w:szCs w:val="22"/>
              </w:rPr>
              <w:t>Reporter</w:t>
            </w:r>
          </w:p>
          <w:p w:rsidR="004B7280" w:rsidRPr="00C01C92" w:rsidRDefault="004B7280" w:rsidP="00F004B0">
            <w:pPr>
              <w:rPr>
                <w:sz w:val="22"/>
                <w:szCs w:val="22"/>
              </w:rPr>
            </w:pPr>
            <w:r w:rsidRPr="00C01C92">
              <w:rPr>
                <w:sz w:val="22"/>
                <w:szCs w:val="22"/>
              </w:rPr>
              <w:t>Antibiotic resistance marker</w:t>
            </w:r>
          </w:p>
          <w:p w:rsidR="004B7280" w:rsidRPr="00C01C92" w:rsidRDefault="004B7280" w:rsidP="00F004B0">
            <w:pPr>
              <w:rPr>
                <w:sz w:val="22"/>
                <w:szCs w:val="22"/>
              </w:rPr>
            </w:pPr>
            <w:r w:rsidRPr="00C01C92">
              <w:rPr>
                <w:sz w:val="22"/>
                <w:szCs w:val="22"/>
              </w:rPr>
              <w:t>Antibiotic resistance marker</w:t>
            </w:r>
          </w:p>
        </w:tc>
        <w:tc>
          <w:tcPr>
            <w:tcW w:w="2835" w:type="dxa"/>
          </w:tcPr>
          <w:p w:rsidR="004B7280" w:rsidRPr="00C01C92" w:rsidRDefault="004B7280" w:rsidP="00F004B0">
            <w:pPr>
              <w:rPr>
                <w:i/>
                <w:sz w:val="22"/>
                <w:szCs w:val="22"/>
              </w:rPr>
            </w:pPr>
            <w:r w:rsidRPr="00C01C92">
              <w:rPr>
                <w:i/>
                <w:sz w:val="22"/>
                <w:szCs w:val="22"/>
              </w:rPr>
              <w:t xml:space="preserve">B. </w:t>
            </w:r>
            <w:proofErr w:type="spellStart"/>
            <w:r w:rsidRPr="00C01C92">
              <w:rPr>
                <w:i/>
                <w:sz w:val="22"/>
                <w:szCs w:val="22"/>
              </w:rPr>
              <w:t>thuringiensis</w:t>
            </w:r>
            <w:proofErr w:type="spellEnd"/>
            <w:r w:rsidRPr="00C01C92">
              <w:rPr>
                <w:i/>
                <w:sz w:val="22"/>
                <w:szCs w:val="22"/>
              </w:rPr>
              <w:t xml:space="preserve"> </w:t>
            </w:r>
          </w:p>
          <w:p w:rsidR="004B7280" w:rsidRPr="00C01C92" w:rsidRDefault="004B7280" w:rsidP="00F004B0">
            <w:pPr>
              <w:rPr>
                <w:i/>
                <w:sz w:val="22"/>
                <w:szCs w:val="22"/>
              </w:rPr>
            </w:pPr>
            <w:r w:rsidRPr="00C01C92">
              <w:rPr>
                <w:i/>
                <w:sz w:val="22"/>
                <w:szCs w:val="22"/>
              </w:rPr>
              <w:t xml:space="preserve">Agrobacterium </w:t>
            </w:r>
            <w:r w:rsidRPr="00C01C92">
              <w:rPr>
                <w:sz w:val="22"/>
                <w:szCs w:val="22"/>
              </w:rPr>
              <w:t>sp. CP4 strain</w:t>
            </w:r>
          </w:p>
          <w:p w:rsidR="004B7280" w:rsidRPr="00C01C92" w:rsidRDefault="004B7280" w:rsidP="00F004B0">
            <w:pPr>
              <w:rPr>
                <w:i/>
                <w:sz w:val="22"/>
                <w:szCs w:val="22"/>
              </w:rPr>
            </w:pPr>
            <w:r w:rsidRPr="00C01C92">
              <w:rPr>
                <w:i/>
                <w:sz w:val="22"/>
                <w:szCs w:val="22"/>
              </w:rPr>
              <w:t xml:space="preserve">E. coli </w:t>
            </w:r>
          </w:p>
          <w:p w:rsidR="004B7280" w:rsidRPr="00C01C92" w:rsidRDefault="004B7280" w:rsidP="00F004B0">
            <w:pPr>
              <w:rPr>
                <w:i/>
                <w:sz w:val="22"/>
                <w:szCs w:val="22"/>
              </w:rPr>
            </w:pPr>
            <w:r w:rsidRPr="00C01C92">
              <w:rPr>
                <w:i/>
                <w:sz w:val="22"/>
                <w:szCs w:val="22"/>
              </w:rPr>
              <w:t xml:space="preserve">E. coli, Tn5 </w:t>
            </w:r>
          </w:p>
          <w:p w:rsidR="004B7280" w:rsidRPr="00C01C92" w:rsidRDefault="004B7280" w:rsidP="00F004B0">
            <w:pPr>
              <w:rPr>
                <w:i/>
                <w:sz w:val="22"/>
                <w:szCs w:val="22"/>
              </w:rPr>
            </w:pPr>
            <w:r w:rsidRPr="00C01C92">
              <w:rPr>
                <w:i/>
                <w:sz w:val="22"/>
                <w:szCs w:val="22"/>
              </w:rPr>
              <w:t>E. coli, Tn7</w:t>
            </w:r>
          </w:p>
        </w:tc>
      </w:tr>
    </w:tbl>
    <w:p w:rsidR="004B7280" w:rsidRPr="00C01C92" w:rsidRDefault="004B7280" w:rsidP="004B7280">
      <w:pPr>
        <w:spacing w:before="60" w:after="80"/>
      </w:pPr>
      <w:r w:rsidRPr="00C01C92">
        <w:t xml:space="preserve">The two </w:t>
      </w:r>
      <w:r w:rsidRPr="00C01C92">
        <w:rPr>
          <w:szCs w:val="24"/>
        </w:rPr>
        <w:t xml:space="preserve">insect resistance genes in </w:t>
      </w:r>
      <w:proofErr w:type="spellStart"/>
      <w:r w:rsidRPr="00C01C92">
        <w:rPr>
          <w:szCs w:val="24"/>
        </w:rPr>
        <w:t>Bollgard</w:t>
      </w:r>
      <w:proofErr w:type="spellEnd"/>
      <w:r w:rsidRPr="00C01C92">
        <w:rPr>
          <w:szCs w:val="24"/>
        </w:rPr>
        <w:t> II</w:t>
      </w:r>
      <w:r w:rsidRPr="00C01C92">
        <w:rPr>
          <w:rFonts w:ascii="Times New (W1)" w:hAnsi="Times New (W1)"/>
          <w:sz w:val="22"/>
          <w:szCs w:val="22"/>
          <w:vertAlign w:val="superscript"/>
        </w:rPr>
        <w:t>®</w:t>
      </w:r>
      <w:r w:rsidRPr="00C01C92">
        <w:rPr>
          <w:szCs w:val="24"/>
        </w:rPr>
        <w:t xml:space="preserve"> cotton</w:t>
      </w:r>
      <w:r w:rsidRPr="00C01C92">
        <w:t xml:space="preserve"> produce insect resistant proteins that are highly specific and toxic to the major insect pests of cotton.</w:t>
      </w:r>
    </w:p>
    <w:p w:rsidR="004B7280" w:rsidRPr="00C01C92" w:rsidRDefault="004B7280" w:rsidP="004B7280">
      <w:pPr>
        <w:spacing w:before="60" w:after="80"/>
      </w:pPr>
      <w:r w:rsidRPr="00C01C92">
        <w:t>The herbicide tolerance gene in Roundup Ready</w:t>
      </w:r>
      <w:r w:rsidRPr="00C01C92">
        <w:rPr>
          <w:rFonts w:ascii="Times New (W1)" w:hAnsi="Times New (W1)"/>
          <w:sz w:val="22"/>
          <w:szCs w:val="22"/>
          <w:vertAlign w:val="superscript"/>
        </w:rPr>
        <w:t>®</w:t>
      </w:r>
      <w:r w:rsidRPr="00C01C92">
        <w:t xml:space="preserve"> cotton produces a protein that provides tolerance to glyphosate, the active constituent in Roundup Ready</w:t>
      </w:r>
      <w:r w:rsidRPr="00C01C92">
        <w:rPr>
          <w:rFonts w:ascii="Times New (W1)" w:hAnsi="Times New (W1)"/>
          <w:sz w:val="22"/>
          <w:szCs w:val="22"/>
          <w:vertAlign w:val="superscript"/>
        </w:rPr>
        <w:t>®</w:t>
      </w:r>
      <w:r w:rsidRPr="00C01C92">
        <w:t xml:space="preserve"> Herbicide, up to the 4-leaf stage of growth to kill weeds without damaging the cotton plants. </w:t>
      </w:r>
    </w:p>
    <w:p w:rsidR="004B7280" w:rsidRPr="00C01C92" w:rsidRDefault="004B7280" w:rsidP="004B7280">
      <w:pPr>
        <w:spacing w:before="60" w:after="80"/>
      </w:pPr>
      <w:r w:rsidRPr="00C01C92">
        <w:t>Expression of two copies of the same herbicide tolerance gene in Roundup Ready Flex</w:t>
      </w:r>
      <w:r w:rsidRPr="00C01C92">
        <w:rPr>
          <w:rFonts w:ascii="Times New (W1)" w:hAnsi="Times New (W1)"/>
          <w:sz w:val="22"/>
          <w:szCs w:val="22"/>
          <w:vertAlign w:val="superscript"/>
        </w:rPr>
        <w:t>®</w:t>
      </w:r>
      <w:r w:rsidRPr="00C01C92">
        <w:t xml:space="preserve"> cotton confers tolerance to glyphosate throughout the growing season.</w:t>
      </w:r>
    </w:p>
    <w:p w:rsidR="004B7280" w:rsidRPr="00C01C92" w:rsidRDefault="004B7280" w:rsidP="004B7280">
      <w:pPr>
        <w:spacing w:before="60" w:after="80"/>
      </w:pPr>
      <w:r w:rsidRPr="00C01C92">
        <w:t>Some of the GM cottons also contain antibiotic resistance marker genes (</w:t>
      </w:r>
      <w:proofErr w:type="spellStart"/>
      <w:r w:rsidRPr="00C01C92">
        <w:rPr>
          <w:i/>
        </w:rPr>
        <w:t>nptII</w:t>
      </w:r>
      <w:proofErr w:type="spellEnd"/>
      <w:r w:rsidRPr="00C01C92">
        <w:t xml:space="preserve"> and </w:t>
      </w:r>
      <w:proofErr w:type="spellStart"/>
      <w:r w:rsidRPr="00C01C92">
        <w:rPr>
          <w:i/>
        </w:rPr>
        <w:t>aad</w:t>
      </w:r>
      <w:proofErr w:type="spellEnd"/>
      <w:r w:rsidRPr="00C01C92">
        <w:t>) and a reporter gene (</w:t>
      </w:r>
      <w:proofErr w:type="spellStart"/>
      <w:r w:rsidRPr="00C01C92">
        <w:rPr>
          <w:i/>
        </w:rPr>
        <w:t>uidA</w:t>
      </w:r>
      <w:proofErr w:type="spellEnd"/>
      <w:r w:rsidRPr="00C01C92">
        <w:t>) which helped identify and select modified bacteria, plant tissue or plants during the development of the GMOs in the laboratory.</w:t>
      </w:r>
    </w:p>
    <w:p w:rsidR="004B7280" w:rsidRPr="00C01C92" w:rsidRDefault="004B7280" w:rsidP="004B7280">
      <w:pPr>
        <w:pStyle w:val="Paragraph"/>
        <w:spacing w:after="60"/>
        <w:rPr>
          <w:b/>
        </w:rPr>
      </w:pPr>
      <w:r w:rsidRPr="00C01C92">
        <w:rPr>
          <w:b/>
        </w:rPr>
        <w:t>Regulatory sequences</w:t>
      </w:r>
    </w:p>
    <w:p w:rsidR="004B7280" w:rsidRPr="00C01C92" w:rsidRDefault="004B7280" w:rsidP="004B7280">
      <w:pPr>
        <w:spacing w:before="60" w:after="80"/>
        <w:rPr>
          <w:b/>
        </w:rPr>
      </w:pPr>
      <w:r w:rsidRPr="00C01C92">
        <w:t xml:space="preserve">The GM cottons also contain short regulatory sequences derived from plant pathogens (cauliflower mosaic virus, figwort mosaic virus, </w:t>
      </w:r>
      <w:proofErr w:type="gramStart"/>
      <w:r w:rsidRPr="00C01C92">
        <w:rPr>
          <w:i/>
        </w:rPr>
        <w:t>Agrobacterium</w:t>
      </w:r>
      <w:proofErr w:type="gramEnd"/>
      <w:r w:rsidRPr="00C01C92">
        <w:t xml:space="preserve"> </w:t>
      </w:r>
      <w:proofErr w:type="spellStart"/>
      <w:r w:rsidRPr="00C01C92">
        <w:rPr>
          <w:i/>
        </w:rPr>
        <w:t>tumefaciens</w:t>
      </w:r>
      <w:proofErr w:type="spellEnd"/>
      <w:r w:rsidRPr="00C01C92">
        <w:t xml:space="preserve">) and from the plants, </w:t>
      </w:r>
      <w:r w:rsidRPr="00C01C92">
        <w:rPr>
          <w:i/>
        </w:rPr>
        <w:t>Glycine max</w:t>
      </w:r>
      <w:r w:rsidRPr="00C01C92">
        <w:t xml:space="preserve"> (soybean), </w:t>
      </w:r>
      <w:proofErr w:type="spellStart"/>
      <w:r w:rsidRPr="00C01C92">
        <w:rPr>
          <w:i/>
        </w:rPr>
        <w:t>Pisum</w:t>
      </w:r>
      <w:proofErr w:type="spellEnd"/>
      <w:r w:rsidRPr="00C01C92">
        <w:rPr>
          <w:i/>
        </w:rPr>
        <w:t xml:space="preserve"> </w:t>
      </w:r>
      <w:proofErr w:type="spellStart"/>
      <w:r w:rsidRPr="00C01C92">
        <w:rPr>
          <w:i/>
        </w:rPr>
        <w:t>sativum</w:t>
      </w:r>
      <w:proofErr w:type="spellEnd"/>
      <w:r w:rsidRPr="00C01C92">
        <w:t xml:space="preserve"> (pea) and </w:t>
      </w:r>
      <w:r w:rsidRPr="00C01C92">
        <w:rPr>
          <w:i/>
        </w:rPr>
        <w:t>Arabidopsis thaliana</w:t>
      </w:r>
      <w:r w:rsidRPr="00C01C92">
        <w:t>. Although the first three of these organisms are plant pathogens, these sequences are not capable of causing disease.</w:t>
      </w:r>
    </w:p>
    <w:p w:rsidR="004B7280" w:rsidRPr="00C01C92" w:rsidRDefault="004B7280" w:rsidP="004B7280">
      <w:pPr>
        <w:pStyle w:val="Heading1"/>
        <w:spacing w:before="180" w:after="40"/>
        <w:ind w:right="-6"/>
        <w:rPr>
          <w:sz w:val="24"/>
        </w:rPr>
      </w:pPr>
      <w:r w:rsidRPr="00C01C92">
        <w:rPr>
          <w:sz w:val="24"/>
        </w:rPr>
        <w:t xml:space="preserve">Method of genetic modification </w:t>
      </w:r>
    </w:p>
    <w:p w:rsidR="004B7280" w:rsidRPr="00C01C92" w:rsidRDefault="004B7280" w:rsidP="004B7280">
      <w:pPr>
        <w:spacing w:before="60" w:after="80"/>
      </w:pPr>
      <w:proofErr w:type="spellStart"/>
      <w:r w:rsidRPr="00C01C92">
        <w:t>Bollgard</w:t>
      </w:r>
      <w:proofErr w:type="spellEnd"/>
      <w:r w:rsidRPr="00C01C92">
        <w:t> II</w:t>
      </w:r>
      <w:r w:rsidRPr="00C01C92">
        <w:rPr>
          <w:vertAlign w:val="superscript"/>
        </w:rPr>
        <w:t>®</w:t>
      </w:r>
      <w:r w:rsidRPr="00C01C92">
        <w:t xml:space="preserve"> cotton </w:t>
      </w:r>
      <w:proofErr w:type="gramStart"/>
      <w:r w:rsidRPr="00C01C92">
        <w:t>was generated</w:t>
      </w:r>
      <w:proofErr w:type="gramEnd"/>
      <w:r w:rsidRPr="00C01C92">
        <w:t xml:space="preserve"> by particle bombardment of the </w:t>
      </w:r>
      <w:r w:rsidRPr="00C01C92">
        <w:rPr>
          <w:i/>
        </w:rPr>
        <w:t>cry2Ab</w:t>
      </w:r>
      <w:r w:rsidRPr="00C01C92">
        <w:t xml:space="preserve"> and </w:t>
      </w:r>
      <w:proofErr w:type="spellStart"/>
      <w:r w:rsidRPr="00C01C92">
        <w:rPr>
          <w:i/>
        </w:rPr>
        <w:t>uidA</w:t>
      </w:r>
      <w:proofErr w:type="spellEnd"/>
      <w:r w:rsidRPr="00C01C92">
        <w:t xml:space="preserve"> genes into the GM INGARD</w:t>
      </w:r>
      <w:r w:rsidRPr="00C01C92">
        <w:rPr>
          <w:vertAlign w:val="superscript"/>
        </w:rPr>
        <w:t>®</w:t>
      </w:r>
      <w:r w:rsidRPr="00C01C92">
        <w:t xml:space="preserve"> cotton (containing the </w:t>
      </w:r>
      <w:r w:rsidRPr="00C01C92">
        <w:rPr>
          <w:i/>
        </w:rPr>
        <w:t>cry1Ac</w:t>
      </w:r>
      <w:r w:rsidRPr="00C01C92">
        <w:t xml:space="preserve">, </w:t>
      </w:r>
      <w:proofErr w:type="spellStart"/>
      <w:r w:rsidRPr="00C01C92">
        <w:rPr>
          <w:i/>
        </w:rPr>
        <w:t>nptII</w:t>
      </w:r>
      <w:proofErr w:type="spellEnd"/>
      <w:r w:rsidRPr="00C01C92">
        <w:t xml:space="preserve"> and </w:t>
      </w:r>
      <w:proofErr w:type="spellStart"/>
      <w:r w:rsidRPr="00C01C92">
        <w:rPr>
          <w:i/>
        </w:rPr>
        <w:t>aad</w:t>
      </w:r>
      <w:proofErr w:type="spellEnd"/>
      <w:r w:rsidRPr="00C01C92">
        <w:rPr>
          <w:i/>
        </w:rPr>
        <w:t xml:space="preserve"> </w:t>
      </w:r>
      <w:r w:rsidRPr="00C01C92">
        <w:t xml:space="preserve">genes). This technique involves coating the DNA consisting of the </w:t>
      </w:r>
      <w:r w:rsidRPr="00C01C92">
        <w:rPr>
          <w:i/>
        </w:rPr>
        <w:t>cry2Ab</w:t>
      </w:r>
      <w:r w:rsidRPr="00C01C92">
        <w:t xml:space="preserve"> and </w:t>
      </w:r>
      <w:proofErr w:type="spellStart"/>
      <w:r w:rsidRPr="00C01C92">
        <w:rPr>
          <w:i/>
        </w:rPr>
        <w:t>uidA</w:t>
      </w:r>
      <w:proofErr w:type="spellEnd"/>
      <w:r w:rsidRPr="00C01C92">
        <w:t xml:space="preserve"> genes onto very small </w:t>
      </w:r>
      <w:proofErr w:type="gramStart"/>
      <w:r w:rsidRPr="00C01C92">
        <w:t>particles which were ‘shot’ into</w:t>
      </w:r>
      <w:proofErr w:type="gramEnd"/>
      <w:r w:rsidRPr="00C01C92">
        <w:t xml:space="preserve"> cotton plant tissue, followed by selection of plants that contained single, functional copies of the genes.</w:t>
      </w:r>
    </w:p>
    <w:p w:rsidR="004B7280" w:rsidRPr="00C01C92" w:rsidRDefault="004B7280" w:rsidP="004B7280">
      <w:pPr>
        <w:spacing w:before="60" w:after="80"/>
      </w:pPr>
      <w:r w:rsidRPr="00C01C92">
        <w:t>Roundup Ready</w:t>
      </w:r>
      <w:r w:rsidRPr="00C01C92">
        <w:rPr>
          <w:vertAlign w:val="superscript"/>
        </w:rPr>
        <w:t>®</w:t>
      </w:r>
      <w:r w:rsidRPr="00C01C92">
        <w:t xml:space="preserve"> cotton and Roundup Ready Flex</w:t>
      </w:r>
      <w:r w:rsidRPr="00C01C92">
        <w:rPr>
          <w:vertAlign w:val="superscript"/>
        </w:rPr>
        <w:t>®</w:t>
      </w:r>
      <w:r w:rsidRPr="00C01C92">
        <w:t xml:space="preserve"> cotton </w:t>
      </w:r>
      <w:proofErr w:type="gramStart"/>
      <w:r w:rsidRPr="00C01C92">
        <w:t>were produced</w:t>
      </w:r>
      <w:proofErr w:type="gramEnd"/>
      <w:r w:rsidRPr="00C01C92">
        <w:t xml:space="preserve"> by the introduction of either one or two copies of the </w:t>
      </w:r>
      <w:r w:rsidRPr="00C01C92">
        <w:rPr>
          <w:i/>
        </w:rPr>
        <w:t>cp4</w:t>
      </w:r>
      <w:r w:rsidRPr="00C01C92">
        <w:t xml:space="preserve"> </w:t>
      </w:r>
      <w:proofErr w:type="spellStart"/>
      <w:r w:rsidRPr="00C01C92">
        <w:rPr>
          <w:i/>
        </w:rPr>
        <w:t>epsps</w:t>
      </w:r>
      <w:proofErr w:type="spellEnd"/>
      <w:r w:rsidRPr="00C01C92">
        <w:t xml:space="preserve"> gene and associated regulatory sequences into cotton plant tissue via a plasmid vector carried by </w:t>
      </w:r>
      <w:r w:rsidRPr="00C01C92">
        <w:rPr>
          <w:i/>
        </w:rPr>
        <w:t>Agrobacterium</w:t>
      </w:r>
      <w:r w:rsidRPr="00C01C92">
        <w:t xml:space="preserve"> </w:t>
      </w:r>
      <w:proofErr w:type="spellStart"/>
      <w:r w:rsidRPr="00C01C92">
        <w:rPr>
          <w:i/>
        </w:rPr>
        <w:t>tumefaciens</w:t>
      </w:r>
      <w:proofErr w:type="spellEnd"/>
      <w:r w:rsidRPr="00C01C92">
        <w:t xml:space="preserve">. The vector is ‘disarmed’ since it lacks the genes that encode the tumour-inducing functions of </w:t>
      </w:r>
      <w:r w:rsidRPr="00C01C92">
        <w:rPr>
          <w:i/>
        </w:rPr>
        <w:t xml:space="preserve">A. </w:t>
      </w:r>
      <w:proofErr w:type="spellStart"/>
      <w:r w:rsidRPr="00C01C92">
        <w:rPr>
          <w:i/>
        </w:rPr>
        <w:t>tumefaciens</w:t>
      </w:r>
      <w:proofErr w:type="spellEnd"/>
      <w:r w:rsidRPr="00C01C92">
        <w:t xml:space="preserve">. </w:t>
      </w:r>
    </w:p>
    <w:p w:rsidR="004B7280" w:rsidRPr="00C01C92" w:rsidRDefault="004B7280" w:rsidP="004B7280">
      <w:pPr>
        <w:spacing w:before="60" w:after="80"/>
      </w:pPr>
      <w:r w:rsidRPr="00C01C92">
        <w:lastRenderedPageBreak/>
        <w:t>Roundup Ready</w:t>
      </w:r>
      <w:r w:rsidRPr="00C01C92">
        <w:rPr>
          <w:vertAlign w:val="superscript"/>
        </w:rPr>
        <w:t>®</w:t>
      </w:r>
      <w:r w:rsidRPr="00C01C92">
        <w:t>/</w:t>
      </w:r>
      <w:proofErr w:type="spellStart"/>
      <w:r w:rsidRPr="00C01C92">
        <w:t>Bollgard</w:t>
      </w:r>
      <w:proofErr w:type="spellEnd"/>
      <w:r w:rsidRPr="00C01C92">
        <w:t> II</w:t>
      </w:r>
      <w:r w:rsidRPr="00C01C92">
        <w:rPr>
          <w:vertAlign w:val="superscript"/>
        </w:rPr>
        <w:t>®</w:t>
      </w:r>
      <w:r w:rsidRPr="00C01C92">
        <w:t xml:space="preserve"> cotton and Roundup Ready Flex</w:t>
      </w:r>
      <w:r w:rsidRPr="00C01C92">
        <w:rPr>
          <w:vertAlign w:val="superscript"/>
        </w:rPr>
        <w:t>®</w:t>
      </w:r>
      <w:r w:rsidRPr="00C01C92">
        <w:t>/</w:t>
      </w:r>
      <w:proofErr w:type="spellStart"/>
      <w:r w:rsidRPr="00C01C92">
        <w:t>Bollgard</w:t>
      </w:r>
      <w:proofErr w:type="spellEnd"/>
      <w:r w:rsidRPr="00C01C92">
        <w:t> II</w:t>
      </w:r>
      <w:r w:rsidRPr="00C01C92">
        <w:rPr>
          <w:vertAlign w:val="superscript"/>
        </w:rPr>
        <w:t>®</w:t>
      </w:r>
      <w:r w:rsidRPr="00C01C92">
        <w:t xml:space="preserve"> cotton </w:t>
      </w:r>
      <w:proofErr w:type="gramStart"/>
      <w:r w:rsidRPr="00C01C92">
        <w:t>were generated</w:t>
      </w:r>
      <w:proofErr w:type="gramEnd"/>
      <w:r w:rsidRPr="00C01C92">
        <w:t xml:space="preserve"> through conventional crossing of GM </w:t>
      </w:r>
      <w:proofErr w:type="spellStart"/>
      <w:r w:rsidRPr="00C01C92">
        <w:t>Bollgard</w:t>
      </w:r>
      <w:proofErr w:type="spellEnd"/>
      <w:r w:rsidRPr="00C01C92">
        <w:t> II</w:t>
      </w:r>
      <w:r w:rsidRPr="00C01C92">
        <w:rPr>
          <w:vertAlign w:val="superscript"/>
        </w:rPr>
        <w:t>®</w:t>
      </w:r>
      <w:r w:rsidRPr="00C01C92">
        <w:t xml:space="preserve"> cotton with GM Roundup Ready</w:t>
      </w:r>
      <w:r w:rsidRPr="00C01C92">
        <w:rPr>
          <w:vertAlign w:val="superscript"/>
        </w:rPr>
        <w:t>®</w:t>
      </w:r>
      <w:r w:rsidRPr="00C01C92">
        <w:t xml:space="preserve"> cotton or Roundup Ready Flex</w:t>
      </w:r>
      <w:r w:rsidRPr="00C01C92">
        <w:rPr>
          <w:vertAlign w:val="superscript"/>
        </w:rPr>
        <w:t xml:space="preserve">® </w:t>
      </w:r>
      <w:r w:rsidRPr="00C01C92">
        <w:t>cotton, respectively.</w:t>
      </w:r>
    </w:p>
    <w:p w:rsidR="004B7280" w:rsidRPr="00C01C92" w:rsidRDefault="004B7280" w:rsidP="004B7280">
      <w:pPr>
        <w:pStyle w:val="Heading1"/>
        <w:spacing w:before="180" w:after="40"/>
        <w:ind w:right="-6"/>
        <w:rPr>
          <w:sz w:val="24"/>
        </w:rPr>
      </w:pPr>
      <w:r w:rsidRPr="00C01C92">
        <w:rPr>
          <w:sz w:val="24"/>
        </w:rPr>
        <w:t>Consultation on preparation of the Risk Assessment and Risk Management Plan</w:t>
      </w:r>
    </w:p>
    <w:p w:rsidR="004B7280" w:rsidRPr="00C01C92" w:rsidRDefault="004B7280" w:rsidP="004B7280">
      <w:pPr>
        <w:spacing w:before="60" w:after="80"/>
        <w:rPr>
          <w:b/>
        </w:rPr>
      </w:pPr>
      <w:r w:rsidRPr="00C01C92">
        <w:t xml:space="preserve">The Regulator has made an initial assessment as to whether the proposed release may pose significant risks to human health and safety or the environment, in accordance with section 49 of the </w:t>
      </w:r>
      <w:r w:rsidRPr="00C01C92">
        <w:rPr>
          <w:szCs w:val="24"/>
        </w:rPr>
        <w:t xml:space="preserve">Act. </w:t>
      </w:r>
      <w:r w:rsidRPr="00C01C92">
        <w:rPr>
          <w:b/>
          <w:szCs w:val="24"/>
        </w:rPr>
        <w:t>The</w:t>
      </w:r>
      <w:r w:rsidRPr="00C01C92">
        <w:rPr>
          <w:b/>
        </w:rPr>
        <w:t xml:space="preserve"> Regulator has decided that the proposed release does not pose a significant risk to human health and safety or the environment.</w:t>
      </w:r>
    </w:p>
    <w:p w:rsidR="004B7280" w:rsidRPr="00C01C92" w:rsidRDefault="004B7280" w:rsidP="004B7280">
      <w:pPr>
        <w:spacing w:before="60" w:after="80"/>
      </w:pPr>
      <w:r w:rsidRPr="00C01C92">
        <w:t xml:space="preserve">This means that the Regulator </w:t>
      </w:r>
      <w:r w:rsidRPr="00C01C92">
        <w:rPr>
          <w:b/>
        </w:rPr>
        <w:t>is not required to seek public comment</w:t>
      </w:r>
      <w:r w:rsidRPr="00C01C92">
        <w:t xml:space="preserve"> on the assessment of this proposal until after a risk assessment and risk management plan (RARMP) has been prepared. However, in preparing the RARMP, the Regulator will seek input from a wide range of key stakeholders and expert groups comprising State and Territory Governments, relevant Australian Government agencies, the Minister for the Environment and Heritage, the Gene Technology Technical Advisory Committee and appropriate local councils, as required by section 50 of the Act. In accordance with section 52 of the Act, the Regulator will again consult with these prescribed experts, agencies and authorities as well as the public in finalising the RARMP that will then form the basis of her decision whether to issue a licence.</w:t>
      </w:r>
    </w:p>
    <w:p w:rsidR="004B7280" w:rsidRPr="00C01C92" w:rsidRDefault="004B7280" w:rsidP="004B7280">
      <w:pPr>
        <w:spacing w:before="60" w:after="80"/>
      </w:pPr>
      <w:r w:rsidRPr="00C01C92">
        <w:t xml:space="preserve">At this stage, the </w:t>
      </w:r>
      <w:r w:rsidRPr="00C01C92">
        <w:rPr>
          <w:lang w:val="en-US"/>
        </w:rPr>
        <w:t xml:space="preserve">consultation version of the </w:t>
      </w:r>
      <w:r w:rsidRPr="00C01C92">
        <w:t xml:space="preserve">RARMP is expected to be issued for an extended </w:t>
      </w:r>
      <w:proofErr w:type="gramStart"/>
      <w:r w:rsidRPr="00C01C92">
        <w:t>eight week</w:t>
      </w:r>
      <w:proofErr w:type="gramEnd"/>
      <w:r w:rsidRPr="00C01C92">
        <w:t xml:space="preserve"> consultation period in </w:t>
      </w:r>
      <w:r w:rsidRPr="00C01C92">
        <w:rPr>
          <w:b/>
        </w:rPr>
        <w:t xml:space="preserve">July 2006. </w:t>
      </w:r>
      <w:r w:rsidRPr="00C01C92">
        <w:t xml:space="preserve">The public </w:t>
      </w:r>
      <w:proofErr w:type="gramStart"/>
      <w:r w:rsidRPr="00C01C92">
        <w:t>will be invited</w:t>
      </w:r>
      <w:proofErr w:type="gramEnd"/>
      <w:r w:rsidRPr="00C01C92">
        <w:t xml:space="preserve"> to provide submissions on the RARMP via advertisements in the media and direct mail to anyone registered on the OGTR mailing list. Summaries and copies of the RARMP will be available from the OGTR, or on the OGTR website. In the interim, copies of the application are available on request from the OGTR. Please quote application number DIR 066/2006.</w:t>
      </w:r>
    </w:p>
    <w:p w:rsidR="004B7280" w:rsidRPr="00C01C92" w:rsidRDefault="004B7280" w:rsidP="004B7280">
      <w:pPr>
        <w:pStyle w:val="Heading1"/>
        <w:spacing w:before="180" w:after="40"/>
        <w:ind w:right="-6"/>
        <w:rPr>
          <w:sz w:val="24"/>
        </w:rPr>
      </w:pPr>
      <w:r w:rsidRPr="00C01C92">
        <w:rPr>
          <w:sz w:val="24"/>
        </w:rPr>
        <w:t>Issues to be considered by the Regulator</w:t>
      </w:r>
    </w:p>
    <w:p w:rsidR="004B7280" w:rsidRPr="00C01C92" w:rsidRDefault="004B7280" w:rsidP="004B7280">
      <w:pPr>
        <w:spacing w:before="60" w:after="80"/>
        <w:rPr>
          <w:b/>
        </w:rPr>
      </w:pPr>
      <w:r w:rsidRPr="00C01C92">
        <w:t xml:space="preserve">In making a decision on whether to issue a licence for the proposed release, the Regulator is required to consider applications and submissions within the context of the object of the Act, which focuses upon </w:t>
      </w:r>
      <w:r w:rsidRPr="00C01C92">
        <w:rPr>
          <w:b/>
        </w:rPr>
        <w:t>protecting the health and safety of people and the environment.</w:t>
      </w:r>
    </w:p>
    <w:p w:rsidR="004B7280" w:rsidRPr="00C01C92" w:rsidRDefault="004B7280" w:rsidP="004B7280">
      <w:pPr>
        <w:pStyle w:val="PISTEXT"/>
        <w:rPr>
          <w:sz w:val="24"/>
        </w:rPr>
      </w:pPr>
      <w:r w:rsidRPr="00C01C92">
        <w:rPr>
          <w:b/>
          <w:snapToGrid w:val="0"/>
          <w:sz w:val="24"/>
        </w:rPr>
        <w:t xml:space="preserve">Please note that issues such as </w:t>
      </w:r>
      <w:r w:rsidRPr="00C01C92">
        <w:rPr>
          <w:b/>
          <w:snapToGrid w:val="0"/>
          <w:sz w:val="24"/>
          <w:u w:val="single"/>
        </w:rPr>
        <w:t>food labelling</w:t>
      </w:r>
      <w:r w:rsidRPr="00C01C92">
        <w:rPr>
          <w:b/>
          <w:snapToGrid w:val="0"/>
          <w:sz w:val="24"/>
        </w:rPr>
        <w:t xml:space="preserve">, </w:t>
      </w:r>
      <w:r w:rsidRPr="00C01C92">
        <w:rPr>
          <w:b/>
          <w:sz w:val="24"/>
        </w:rPr>
        <w:t xml:space="preserve">the </w:t>
      </w:r>
      <w:r w:rsidRPr="00C01C92">
        <w:rPr>
          <w:b/>
          <w:sz w:val="24"/>
          <w:u w:val="single"/>
        </w:rPr>
        <w:t>use and safety of agricultural chemicals</w:t>
      </w:r>
      <w:r w:rsidRPr="00C01C92">
        <w:rPr>
          <w:b/>
          <w:sz w:val="24"/>
        </w:rPr>
        <w:t xml:space="preserve">, </w:t>
      </w:r>
      <w:r w:rsidRPr="00C01C92">
        <w:rPr>
          <w:b/>
          <w:snapToGrid w:val="0"/>
          <w:sz w:val="24"/>
          <w:u w:val="single"/>
        </w:rPr>
        <w:t>marketability and trade implications</w:t>
      </w:r>
      <w:r w:rsidRPr="00C01C92">
        <w:rPr>
          <w:b/>
          <w:snapToGrid w:val="0"/>
          <w:sz w:val="24"/>
        </w:rPr>
        <w:t xml:space="preserve"> do NOT fall within the scope of the evaluations conducted under the </w:t>
      </w:r>
      <w:proofErr w:type="gramStart"/>
      <w:r w:rsidRPr="00C01C92">
        <w:rPr>
          <w:b/>
          <w:snapToGrid w:val="0"/>
          <w:sz w:val="24"/>
        </w:rPr>
        <w:t>Act</w:t>
      </w:r>
      <w:proofErr w:type="gramEnd"/>
      <w:r w:rsidRPr="00C01C92">
        <w:rPr>
          <w:b/>
          <w:sz w:val="24"/>
        </w:rPr>
        <w:t xml:space="preserve"> as these are the responsibility of other agencies and authorities</w:t>
      </w:r>
      <w:r w:rsidRPr="00C01C92">
        <w:rPr>
          <w:b/>
          <w:snapToGrid w:val="0"/>
          <w:sz w:val="24"/>
        </w:rPr>
        <w:t>.</w:t>
      </w:r>
    </w:p>
    <w:p w:rsidR="004B7280" w:rsidRPr="00C01C92" w:rsidRDefault="004B7280" w:rsidP="004B7280">
      <w:pPr>
        <w:pStyle w:val="PISTEXT"/>
        <w:keepNext/>
        <w:spacing w:after="40"/>
      </w:pPr>
      <w:r w:rsidRPr="00C01C92">
        <w:rPr>
          <w:sz w:val="24"/>
        </w:rPr>
        <w:t xml:space="preserve">If you have any questions about the application or the assessment process, please contact the OGTR </w:t>
      </w:r>
      <w:proofErr w:type="gramStart"/>
      <w:r w:rsidRPr="00C01C92">
        <w:rPr>
          <w:sz w:val="24"/>
        </w:rPr>
        <w:t>at</w:t>
      </w:r>
      <w:proofErr w:type="gramEnd"/>
      <w:r w:rsidRPr="00C01C92">
        <w:rPr>
          <w:sz w:val="24"/>
        </w:rPr>
        <w:t>:</w:t>
      </w:r>
    </w:p>
    <w:p w:rsidR="004B7280" w:rsidRPr="00C01C92" w:rsidRDefault="004B7280" w:rsidP="004B7280">
      <w:pPr>
        <w:keepNext/>
        <w:widowControl w:val="0"/>
        <w:jc w:val="center"/>
        <w:rPr>
          <w:rFonts w:ascii="Arial Narrow" w:hAnsi="Arial Narrow"/>
          <w:b/>
          <w:snapToGrid w:val="0"/>
          <w:szCs w:val="24"/>
        </w:rPr>
      </w:pPr>
      <w:r w:rsidRPr="00C01C92">
        <w:rPr>
          <w:rFonts w:ascii="Arial Narrow" w:hAnsi="Arial Narrow"/>
          <w:b/>
          <w:snapToGrid w:val="0"/>
          <w:szCs w:val="24"/>
        </w:rPr>
        <w:t>The Office of the Gene Technology Regulator</w:t>
      </w:r>
    </w:p>
    <w:p w:rsidR="004B7280" w:rsidRPr="00C01C92" w:rsidRDefault="004B7280" w:rsidP="004B7280">
      <w:pPr>
        <w:keepNext/>
        <w:widowControl w:val="0"/>
        <w:jc w:val="center"/>
        <w:rPr>
          <w:rFonts w:ascii="Arial Narrow" w:hAnsi="Arial Narrow"/>
          <w:b/>
          <w:snapToGrid w:val="0"/>
          <w:szCs w:val="24"/>
        </w:rPr>
      </w:pPr>
      <w:r w:rsidRPr="00C01C92">
        <w:rPr>
          <w:rFonts w:ascii="Arial Narrow" w:hAnsi="Arial Narrow"/>
          <w:b/>
          <w:snapToGrid w:val="0"/>
          <w:szCs w:val="24"/>
        </w:rPr>
        <w:t xml:space="preserve">MDP 54 PO Box 100 </w:t>
      </w:r>
      <w:proofErr w:type="gramStart"/>
      <w:r w:rsidRPr="00C01C92">
        <w:rPr>
          <w:rFonts w:ascii="Arial Narrow" w:hAnsi="Arial Narrow"/>
          <w:b/>
          <w:snapToGrid w:val="0"/>
          <w:szCs w:val="24"/>
        </w:rPr>
        <w:t>WODEN  ACT</w:t>
      </w:r>
      <w:proofErr w:type="gramEnd"/>
      <w:r w:rsidRPr="00C01C92">
        <w:rPr>
          <w:rFonts w:ascii="Arial Narrow" w:hAnsi="Arial Narrow"/>
          <w:b/>
          <w:snapToGrid w:val="0"/>
          <w:szCs w:val="24"/>
        </w:rPr>
        <w:t xml:space="preserve">  2606</w:t>
      </w:r>
    </w:p>
    <w:p w:rsidR="004B7280" w:rsidRPr="00C01C92" w:rsidRDefault="004B7280" w:rsidP="004B7280">
      <w:pPr>
        <w:keepNext/>
        <w:widowControl w:val="0"/>
        <w:jc w:val="center"/>
        <w:rPr>
          <w:rFonts w:ascii="Arial Narrow" w:hAnsi="Arial Narrow"/>
          <w:b/>
          <w:snapToGrid w:val="0"/>
          <w:szCs w:val="24"/>
        </w:rPr>
      </w:pPr>
      <w:r w:rsidRPr="00C01C92">
        <w:rPr>
          <w:rFonts w:ascii="Arial Narrow" w:hAnsi="Arial Narrow"/>
          <w:b/>
          <w:snapToGrid w:val="0"/>
          <w:szCs w:val="24"/>
        </w:rPr>
        <w:t xml:space="preserve">Tel:  1800 181 030   Fax: 02 6271 4202 Email:  </w:t>
      </w:r>
      <w:hyperlink r:id="rId8" w:history="1">
        <w:r w:rsidRPr="00C01C92">
          <w:rPr>
            <w:rFonts w:ascii="Arial Narrow" w:hAnsi="Arial Narrow"/>
            <w:b/>
            <w:snapToGrid w:val="0"/>
            <w:szCs w:val="24"/>
          </w:rPr>
          <w:t>ogtr@health.gov.au</w:t>
        </w:r>
      </w:hyperlink>
    </w:p>
    <w:p w:rsidR="00F44296" w:rsidRDefault="00F44296"/>
    <w:sectPr w:rsidR="00F44296" w:rsidSect="004B7280">
      <w:headerReference w:type="default" r:id="rId9"/>
      <w:footerReference w:type="even" r:id="rId10"/>
      <w:footerReference w:type="default" r:id="rId11"/>
      <w:headerReference w:type="first" r:id="rId12"/>
      <w:footerReference w:type="first" r:id="rId13"/>
      <w:footnotePr>
        <w:numStart w:val="2"/>
      </w:footnotePr>
      <w:pgSz w:w="11906" w:h="16838" w:code="9"/>
      <w:pgMar w:top="964" w:right="907" w:bottom="851" w:left="964"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80" w:rsidRDefault="004B7280" w:rsidP="004B7280">
      <w:r>
        <w:separator/>
      </w:r>
    </w:p>
  </w:endnote>
  <w:endnote w:type="continuationSeparator" w:id="0">
    <w:p w:rsidR="004B7280" w:rsidRDefault="004B7280" w:rsidP="004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B2" w:rsidRDefault="003E1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5B2" w:rsidRDefault="003E1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B2" w:rsidRDefault="003E1C37">
    <w:pPr>
      <w:pStyle w:val="Footer"/>
      <w:framePr w:wrap="around" w:vAnchor="text" w:hAnchor="margin" w:xAlign="right"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separate"/>
    </w:r>
    <w:r>
      <w:rPr>
        <w:rStyle w:val="PageNumber"/>
        <w:noProof/>
      </w:rPr>
      <w:t>4</w:t>
    </w:r>
    <w:r>
      <w:rPr>
        <w:rStyle w:val="PageNumber"/>
      </w:rPr>
      <w:fldChar w:fldCharType="end"/>
    </w:r>
  </w:p>
  <w:p w:rsidR="009975B2" w:rsidRDefault="003E1C3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B2" w:rsidRDefault="003E1C37">
    <w:pPr>
      <w:pBdr>
        <w:top w:val="single" w:sz="8" w:space="1" w:color="auto"/>
      </w:pBdr>
      <w:jc w:val="center"/>
      <w:rPr>
        <w:noProof/>
        <w:sz w:val="20"/>
      </w:rPr>
    </w:pPr>
    <w:r>
      <w:rPr>
        <w:noProof/>
        <w:sz w:val="20"/>
      </w:rPr>
      <w:t>Address: MDP 54 PO Box 100 Woden ACT 2606 Website: www.ogtr.gov.au</w:t>
    </w:r>
  </w:p>
  <w:p w:rsidR="009975B2" w:rsidRDefault="003E1C37">
    <w:pPr>
      <w:pStyle w:val="Footer"/>
      <w:jc w:val="center"/>
      <w:rPr>
        <w:b/>
      </w:rPr>
    </w:pPr>
    <w:r>
      <w:rPr>
        <w:noProof/>
        <w:sz w:val="20"/>
      </w:rPr>
      <w:t>Telephone: 1800 181 030 Facsimile: 02 6271 4202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80" w:rsidRDefault="004B7280" w:rsidP="004B7280">
      <w:r>
        <w:separator/>
      </w:r>
    </w:p>
  </w:footnote>
  <w:footnote w:type="continuationSeparator" w:id="0">
    <w:p w:rsidR="004B7280" w:rsidRDefault="004B7280" w:rsidP="004B7280">
      <w:r>
        <w:continuationSeparator/>
      </w:r>
    </w:p>
  </w:footnote>
  <w:footnote w:id="1">
    <w:p w:rsidR="004B7280" w:rsidRDefault="004B7280" w:rsidP="004B7280">
      <w:pPr>
        <w:pStyle w:val="FootnoteText"/>
      </w:pPr>
      <w:r>
        <w:rPr>
          <w:rStyle w:val="FootnoteReference"/>
        </w:rPr>
        <w:footnoteRef/>
      </w:r>
      <w:r>
        <w:t xml:space="preserve"> </w:t>
      </w:r>
      <w:r w:rsidRPr="00322FC0">
        <w:t>More information on the comprehensive assessment required for licence applications to release a genetically modified organism (GMO) into the environment is available from the Office of the Gene Technology Regulator (OGTR) (Free c</w:t>
      </w:r>
      <w:r w:rsidR="003E1C37">
        <w:t xml:space="preserve">all 1800 181 </w:t>
      </w:r>
      <w:proofErr w:type="gramStart"/>
      <w:r w:rsidR="003E1C37">
        <w:t>030 .</w:t>
      </w:r>
      <w:proofErr w:type="gramEnd"/>
      <w:r w:rsidR="003E1C37">
        <w:t xml:space="preserve"> </w:t>
      </w:r>
      <w:r w:rsidRPr="00322FC0">
        <w:t xml:space="preserve">Further information on the evaluation process is contained in the Regulator’s </w:t>
      </w:r>
      <w:hyperlink r:id="rId1" w:history="1">
        <w:r w:rsidRPr="003E1C37">
          <w:rPr>
            <w:rStyle w:val="Hyperlink"/>
            <w:i/>
          </w:rPr>
          <w:t>Risk Analysis Framework</w:t>
        </w:r>
      </w:hyperlink>
      <w:r w:rsidR="003E1C37">
        <w:t xml:space="preserve"> (OGTR,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B2" w:rsidRDefault="003E1C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B2" w:rsidRDefault="004B7280">
    <w:pPr>
      <w:pStyle w:val="Header"/>
    </w:pPr>
    <w:r>
      <w:rPr>
        <w:rFonts w:ascii="Arial" w:hAnsi="Arial"/>
        <w:noProof/>
        <w:sz w:val="16"/>
      </w:rPr>
      <w:drawing>
        <wp:inline distT="0" distB="0" distL="0" distR="0">
          <wp:extent cx="4029075" cy="971550"/>
          <wp:effectExtent l="0" t="0" r="9525" b="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0E1"/>
    <w:multiLevelType w:val="hybridMultilevel"/>
    <w:tmpl w:val="4C081C60"/>
    <w:lvl w:ilvl="0" w:tplc="DEAAD9E4">
      <w:start w:val="1"/>
      <w:numFmt w:val="bullet"/>
      <w:lvlText w:val=""/>
      <w:lvlJc w:val="left"/>
      <w:pPr>
        <w:tabs>
          <w:tab w:val="num" w:pos="720"/>
        </w:tabs>
        <w:ind w:left="720" w:hanging="360"/>
      </w:pPr>
      <w:rPr>
        <w:rFonts w:ascii="Symbol" w:hAnsi="Symbol" w:cs="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AE81A6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80"/>
    <w:rsid w:val="003E1C37"/>
    <w:rsid w:val="004B7280"/>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874E"/>
  <w15:chartTrackingRefBased/>
  <w15:docId w15:val="{A8FFEA3C-FFD1-4EC1-953D-8236072F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0"/>
    <w:pPr>
      <w:spacing w:after="0" w:line="240" w:lineRule="auto"/>
    </w:pPr>
    <w:rPr>
      <w:rFonts w:ascii="Times New Roman" w:eastAsia="Times New Roman" w:hAnsi="Times New Roman" w:cs="Times New Roman"/>
      <w:sz w:val="24"/>
      <w:szCs w:val="20"/>
      <w:lang w:eastAsia="en-AU"/>
    </w:rPr>
  </w:style>
  <w:style w:type="paragraph" w:styleId="Heading1">
    <w:name w:val="heading 1"/>
    <w:aliases w:val="c"/>
    <w:basedOn w:val="Normal"/>
    <w:next w:val="Normal"/>
    <w:link w:val="Heading1Char"/>
    <w:qFormat/>
    <w:rsid w:val="004B7280"/>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4B7280"/>
    <w:pPr>
      <w:keepNext/>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280"/>
    <w:rPr>
      <w:rFonts w:ascii="Arial" w:eastAsia="Times New Roman" w:hAnsi="Arial" w:cs="Times New Roman"/>
      <w:b/>
      <w:kern w:val="28"/>
      <w:sz w:val="28"/>
      <w:szCs w:val="20"/>
      <w:lang w:eastAsia="en-AU"/>
    </w:rPr>
  </w:style>
  <w:style w:type="character" w:customStyle="1" w:styleId="Heading3Char">
    <w:name w:val="Heading 3 Char"/>
    <w:basedOn w:val="DefaultParagraphFont"/>
    <w:link w:val="Heading3"/>
    <w:rsid w:val="004B7280"/>
    <w:rPr>
      <w:rFonts w:ascii="Arial Narrow" w:eastAsia="Times New Roman" w:hAnsi="Arial Narrow" w:cs="Times New Roman"/>
      <w:b/>
      <w:sz w:val="24"/>
      <w:szCs w:val="20"/>
      <w:lang w:eastAsia="en-AU"/>
    </w:rPr>
  </w:style>
  <w:style w:type="paragraph" w:styleId="Header">
    <w:name w:val="header"/>
    <w:basedOn w:val="Normal"/>
    <w:link w:val="HeaderChar"/>
    <w:rsid w:val="004B7280"/>
    <w:pPr>
      <w:tabs>
        <w:tab w:val="center" w:pos="4153"/>
        <w:tab w:val="right" w:pos="8306"/>
      </w:tabs>
    </w:pPr>
  </w:style>
  <w:style w:type="character" w:customStyle="1" w:styleId="HeaderChar">
    <w:name w:val="Header Char"/>
    <w:basedOn w:val="DefaultParagraphFont"/>
    <w:link w:val="Header"/>
    <w:rsid w:val="004B7280"/>
    <w:rPr>
      <w:rFonts w:ascii="Times New Roman" w:eastAsia="Times New Roman" w:hAnsi="Times New Roman" w:cs="Times New Roman"/>
      <w:sz w:val="24"/>
      <w:szCs w:val="20"/>
      <w:lang w:eastAsia="en-AU"/>
    </w:rPr>
  </w:style>
  <w:style w:type="paragraph" w:styleId="Footer">
    <w:name w:val="footer"/>
    <w:basedOn w:val="Normal"/>
    <w:link w:val="FooterChar"/>
    <w:rsid w:val="004B7280"/>
    <w:pPr>
      <w:tabs>
        <w:tab w:val="center" w:pos="4153"/>
        <w:tab w:val="right" w:pos="8306"/>
      </w:tabs>
    </w:pPr>
  </w:style>
  <w:style w:type="character" w:customStyle="1" w:styleId="FooterChar">
    <w:name w:val="Footer Char"/>
    <w:basedOn w:val="DefaultParagraphFont"/>
    <w:link w:val="Footer"/>
    <w:rsid w:val="004B7280"/>
    <w:rPr>
      <w:rFonts w:ascii="Times New Roman" w:eastAsia="Times New Roman" w:hAnsi="Times New Roman" w:cs="Times New Roman"/>
      <w:sz w:val="24"/>
      <w:szCs w:val="20"/>
      <w:lang w:eastAsia="en-AU"/>
    </w:rPr>
  </w:style>
  <w:style w:type="paragraph" w:customStyle="1" w:styleId="LIST">
    <w:name w:val="LIST"/>
    <w:basedOn w:val="Normal"/>
    <w:rsid w:val="004B7280"/>
    <w:pPr>
      <w:tabs>
        <w:tab w:val="left" w:pos="3686"/>
        <w:tab w:val="left" w:pos="8364"/>
        <w:tab w:val="right" w:leader="dot" w:pos="9356"/>
      </w:tabs>
      <w:spacing w:before="60" w:line="200" w:lineRule="exact"/>
    </w:pPr>
    <w:rPr>
      <w:sz w:val="22"/>
    </w:rPr>
  </w:style>
  <w:style w:type="paragraph" w:customStyle="1" w:styleId="PISTEXT">
    <w:name w:val="PISTEXT"/>
    <w:basedOn w:val="Normal"/>
    <w:rsid w:val="004B7280"/>
    <w:pPr>
      <w:tabs>
        <w:tab w:val="left" w:pos="3686"/>
        <w:tab w:val="left" w:pos="8364"/>
        <w:tab w:val="right" w:leader="dot" w:pos="9356"/>
      </w:tabs>
      <w:spacing w:before="60" w:after="100"/>
    </w:pPr>
    <w:rPr>
      <w:sz w:val="22"/>
    </w:rPr>
  </w:style>
  <w:style w:type="paragraph" w:customStyle="1" w:styleId="RIGHTLIST">
    <w:name w:val="RIGHTLIST"/>
    <w:basedOn w:val="Normal"/>
    <w:rsid w:val="004B7280"/>
    <w:pPr>
      <w:keepNext/>
      <w:tabs>
        <w:tab w:val="right" w:leader="dot" w:pos="9356"/>
      </w:tabs>
      <w:spacing w:before="80" w:after="40"/>
    </w:pPr>
    <w:rPr>
      <w:sz w:val="22"/>
    </w:rPr>
  </w:style>
  <w:style w:type="paragraph" w:styleId="BodyText">
    <w:name w:val="Body Text"/>
    <w:basedOn w:val="Normal"/>
    <w:link w:val="BodyTextChar"/>
    <w:rsid w:val="004B7280"/>
    <w:pPr>
      <w:jc w:val="center"/>
    </w:pPr>
    <w:rPr>
      <w:rFonts w:ascii="Arial Narrow" w:hAnsi="Arial Narrow"/>
      <w:b/>
      <w:sz w:val="28"/>
    </w:rPr>
  </w:style>
  <w:style w:type="character" w:customStyle="1" w:styleId="BodyTextChar">
    <w:name w:val="Body Text Char"/>
    <w:basedOn w:val="DefaultParagraphFont"/>
    <w:link w:val="BodyText"/>
    <w:rsid w:val="004B7280"/>
    <w:rPr>
      <w:rFonts w:ascii="Arial Narrow" w:eastAsia="Times New Roman" w:hAnsi="Arial Narrow" w:cs="Times New Roman"/>
      <w:b/>
      <w:sz w:val="28"/>
      <w:szCs w:val="20"/>
      <w:lang w:eastAsia="en-AU"/>
    </w:rPr>
  </w:style>
  <w:style w:type="paragraph" w:customStyle="1" w:styleId="Paragraph">
    <w:name w:val="Paragraph"/>
    <w:basedOn w:val="Normal"/>
    <w:rsid w:val="004B7280"/>
    <w:pPr>
      <w:spacing w:before="120" w:after="120"/>
    </w:pPr>
  </w:style>
  <w:style w:type="character" w:styleId="PageNumber">
    <w:name w:val="page number"/>
    <w:basedOn w:val="DefaultParagraphFont"/>
    <w:rsid w:val="004B7280"/>
  </w:style>
  <w:style w:type="paragraph" w:styleId="FootnoteText">
    <w:name w:val="footnote text"/>
    <w:basedOn w:val="Normal"/>
    <w:link w:val="FootnoteTextChar"/>
    <w:semiHidden/>
    <w:rsid w:val="004B7280"/>
    <w:rPr>
      <w:sz w:val="20"/>
    </w:rPr>
  </w:style>
  <w:style w:type="character" w:customStyle="1" w:styleId="FootnoteTextChar">
    <w:name w:val="Footnote Text Char"/>
    <w:basedOn w:val="DefaultParagraphFont"/>
    <w:link w:val="FootnoteText"/>
    <w:semiHidden/>
    <w:rsid w:val="004B7280"/>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4B7280"/>
    <w:rPr>
      <w:vertAlign w:val="superscript"/>
    </w:rPr>
  </w:style>
  <w:style w:type="character" w:styleId="Hyperlink">
    <w:name w:val="Hyperlink"/>
    <w:basedOn w:val="DefaultParagraphFont"/>
    <w:uiPriority w:val="99"/>
    <w:unhideWhenUsed/>
    <w:rsid w:val="004B72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pvma.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pdf/raffinal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066 - Licence Application Summary</dc:title>
  <dc:subject/>
  <dc:creator>OGTR.Voicemail@health.gov.au</dc:creator>
  <cp:keywords/>
  <dc:description/>
  <cp:lastModifiedBy>SMITH, Justine</cp:lastModifiedBy>
  <cp:revision>2</cp:revision>
  <dcterms:created xsi:type="dcterms:W3CDTF">2020-12-02T00:20:00Z</dcterms:created>
  <dcterms:modified xsi:type="dcterms:W3CDTF">2020-12-02T00:23:00Z</dcterms:modified>
</cp:coreProperties>
</file>