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B5" w:rsidRDefault="00637CB5" w:rsidP="00637CB5">
      <w:pPr>
        <w:pStyle w:val="Header"/>
        <w:tabs>
          <w:tab w:val="clear" w:pos="4153"/>
          <w:tab w:val="clear" w:pos="8306"/>
          <w:tab w:val="right" w:pos="8789"/>
        </w:tabs>
        <w:rPr>
          <w:rFonts w:ascii="Arial" w:hAnsi="Arial"/>
          <w:sz w:val="20"/>
          <w:lang w:val="en-US"/>
        </w:rPr>
      </w:pPr>
      <w:r>
        <w:rPr>
          <w:sz w:val="20"/>
          <w:lang w:val="en-US"/>
        </w:rPr>
        <w:t>GTR004/03</w:t>
      </w:r>
      <w:r>
        <w:rPr>
          <w:rFonts w:ascii="Arial" w:hAnsi="Arial"/>
          <w:sz w:val="20"/>
          <w:lang w:val="en-US"/>
        </w:rPr>
        <w:tab/>
      </w:r>
      <w:r>
        <w:rPr>
          <w:sz w:val="20"/>
          <w:lang w:val="en-US"/>
        </w:rPr>
        <w:t>19 December 2003</w:t>
      </w:r>
    </w:p>
    <w:p w:rsidR="00637CB5" w:rsidRDefault="00637CB5" w:rsidP="00637CB5">
      <w:pPr>
        <w:pStyle w:val="Header"/>
        <w:tabs>
          <w:tab w:val="clear" w:pos="4153"/>
          <w:tab w:val="clear" w:pos="8306"/>
        </w:tabs>
        <w:spacing w:before="240" w:after="120"/>
        <w:jc w:val="center"/>
        <w:rPr>
          <w:rFonts w:ascii="Garamond" w:hAnsi="Garamond"/>
          <w:b/>
          <w:sz w:val="80"/>
          <w:lang w:val="en-US"/>
        </w:rPr>
      </w:pPr>
      <w:r>
        <w:rPr>
          <w:rFonts w:ascii="Garamond" w:hAnsi="Garamond"/>
          <w:b/>
          <w:sz w:val="80"/>
          <w:lang w:val="en-US"/>
        </w:rPr>
        <w:t>MEDIA RELEASE</w:t>
      </w:r>
    </w:p>
    <w:p w:rsidR="00637CB5" w:rsidRDefault="00637CB5" w:rsidP="00637CB5">
      <w:pPr>
        <w:pStyle w:val="Header"/>
        <w:tabs>
          <w:tab w:val="clear" w:pos="4153"/>
          <w:tab w:val="clear" w:pos="8306"/>
        </w:tabs>
        <w:rPr>
          <w:sz w:val="20"/>
          <w:lang w:val="en-US"/>
        </w:rPr>
      </w:pPr>
    </w:p>
    <w:p w:rsidR="00637CB5" w:rsidRDefault="00637CB5" w:rsidP="00637CB5">
      <w:pPr>
        <w:pStyle w:val="Header"/>
        <w:tabs>
          <w:tab w:val="clear" w:pos="4153"/>
          <w:tab w:val="clear" w:pos="8306"/>
        </w:tabs>
        <w:spacing w:line="264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JOINT REGULATORY DECISION ON </w:t>
      </w:r>
    </w:p>
    <w:p w:rsidR="00637CB5" w:rsidRDefault="00637CB5" w:rsidP="00637CB5">
      <w:pPr>
        <w:pStyle w:val="Header"/>
        <w:tabs>
          <w:tab w:val="clear" w:pos="4153"/>
          <w:tab w:val="clear" w:pos="8306"/>
        </w:tabs>
        <w:spacing w:line="264" w:lineRule="auto"/>
        <w:jc w:val="center"/>
        <w:rPr>
          <w:b/>
          <w:lang w:val="en-US"/>
        </w:rPr>
      </w:pPr>
      <w:proofErr w:type="gramStart"/>
      <w:r>
        <w:rPr>
          <w:b/>
          <w:sz w:val="28"/>
          <w:lang w:val="en-US"/>
        </w:rPr>
        <w:t>MONSANTO  GM</w:t>
      </w:r>
      <w:proofErr w:type="gramEnd"/>
      <w:r>
        <w:rPr>
          <w:b/>
          <w:sz w:val="28"/>
          <w:lang w:val="en-US"/>
        </w:rPr>
        <w:t xml:space="preserve"> CANOLA</w:t>
      </w:r>
    </w:p>
    <w:p w:rsidR="00637CB5" w:rsidRDefault="00637CB5" w:rsidP="00637CB5">
      <w:pPr>
        <w:pStyle w:val="Header"/>
        <w:tabs>
          <w:tab w:val="clear" w:pos="4153"/>
          <w:tab w:val="clear" w:pos="8306"/>
        </w:tabs>
        <w:jc w:val="center"/>
        <w:rPr>
          <w:b/>
          <w:sz w:val="22"/>
          <w:lang w:val="en-US"/>
        </w:rPr>
      </w:pPr>
    </w:p>
    <w:p w:rsidR="00637CB5" w:rsidRDefault="00637CB5" w:rsidP="00637CB5">
      <w:pPr>
        <w:pStyle w:val="BodyText"/>
        <w:spacing w:line="240" w:lineRule="auto"/>
        <w:rPr>
          <w:color w:val="auto"/>
        </w:rPr>
      </w:pPr>
    </w:p>
    <w:p w:rsidR="00637CB5" w:rsidRDefault="00637CB5" w:rsidP="00637CB5">
      <w:pPr>
        <w:pStyle w:val="BodyText"/>
        <w:spacing w:line="240" w:lineRule="auto"/>
        <w:rPr>
          <w:color w:val="auto"/>
        </w:rPr>
      </w:pPr>
      <w:r>
        <w:rPr>
          <w:color w:val="auto"/>
        </w:rPr>
        <w:t>Following rigorous evaluation and extended public consultation, the Australian Gene Technology Regulator, Dr Sue Meek, announced today that she has decided to issue a licence for the commercial release of Monsanto Australia’s Roundup Ready</w:t>
      </w:r>
      <w:r>
        <w:rPr>
          <w:color w:val="auto"/>
          <w:vertAlign w:val="superscript"/>
        </w:rPr>
        <w:t>®</w:t>
      </w:r>
      <w:r>
        <w:rPr>
          <w:color w:val="auto"/>
        </w:rPr>
        <w:t xml:space="preserve"> canola. </w:t>
      </w:r>
    </w:p>
    <w:p w:rsidR="00637CB5" w:rsidRDefault="00637CB5" w:rsidP="00637CB5">
      <w:pPr>
        <w:pStyle w:val="Header"/>
        <w:tabs>
          <w:tab w:val="clear" w:pos="4153"/>
          <w:tab w:val="clear" w:pos="8306"/>
        </w:tabs>
      </w:pPr>
    </w:p>
    <w:p w:rsidR="00637CB5" w:rsidRDefault="00637CB5" w:rsidP="00637CB5">
      <w:pPr>
        <w:pStyle w:val="BodyText"/>
        <w:spacing w:line="240" w:lineRule="auto"/>
        <w:rPr>
          <w:color w:val="auto"/>
        </w:rPr>
      </w:pPr>
      <w:r>
        <w:rPr>
          <w:color w:val="auto"/>
        </w:rPr>
        <w:t>Roundup Ready</w:t>
      </w:r>
      <w:r>
        <w:rPr>
          <w:color w:val="auto"/>
          <w:vertAlign w:val="superscript"/>
        </w:rPr>
        <w:t>®</w:t>
      </w:r>
      <w:r>
        <w:rPr>
          <w:color w:val="auto"/>
        </w:rPr>
        <w:t xml:space="preserve"> canola </w:t>
      </w:r>
      <w:proofErr w:type="gramStart"/>
      <w:r>
        <w:rPr>
          <w:color w:val="auto"/>
        </w:rPr>
        <w:t>has been modified</w:t>
      </w:r>
      <w:proofErr w:type="gramEnd"/>
      <w:r>
        <w:rPr>
          <w:color w:val="auto"/>
        </w:rPr>
        <w:t xml:space="preserve"> to be tolerant to the herbicide glyphosate, which can then be used to control weeds while the crop is being grown.  </w:t>
      </w:r>
    </w:p>
    <w:p w:rsidR="00637CB5" w:rsidRDefault="00637CB5" w:rsidP="00637CB5">
      <w:pPr>
        <w:pStyle w:val="BodyText"/>
        <w:spacing w:line="240" w:lineRule="auto"/>
        <w:rPr>
          <w:color w:val="auto"/>
        </w:rPr>
      </w:pPr>
    </w:p>
    <w:p w:rsidR="00637CB5" w:rsidRDefault="00637CB5" w:rsidP="00637CB5">
      <w:r>
        <w:t>Monsanto’s Roundup Ready</w:t>
      </w:r>
      <w:r>
        <w:rPr>
          <w:vertAlign w:val="superscript"/>
        </w:rPr>
        <w:t>®</w:t>
      </w:r>
      <w:r>
        <w:t xml:space="preserve"> canola has been previously </w:t>
      </w:r>
      <w:proofErr w:type="spellStart"/>
      <w:r>
        <w:t>trialed</w:t>
      </w:r>
      <w:proofErr w:type="spellEnd"/>
      <w:r>
        <w:t xml:space="preserve"> under limited and controlled conditions in Australia over a number of years and </w:t>
      </w:r>
      <w:proofErr w:type="gramStart"/>
      <w:r>
        <w:t>is approved</w:t>
      </w:r>
      <w:proofErr w:type="gramEnd"/>
      <w:r>
        <w:t xml:space="preserve"> for growing and food use in Japan, Canada and the United States of America.  </w:t>
      </w:r>
    </w:p>
    <w:p w:rsidR="00637CB5" w:rsidRDefault="00637CB5" w:rsidP="00637CB5"/>
    <w:p w:rsidR="00637CB5" w:rsidRDefault="00637CB5" w:rsidP="00637CB5">
      <w:pPr>
        <w:rPr>
          <w:b/>
        </w:rPr>
      </w:pPr>
      <w:r>
        <w:t>The oil from Roundup Ready</w:t>
      </w:r>
      <w:r>
        <w:rPr>
          <w:vertAlign w:val="superscript"/>
        </w:rPr>
        <w:t>®</w:t>
      </w:r>
      <w:r>
        <w:t xml:space="preserve"> canola is highly processed which removes DNA and protein. Roundup Ready</w:t>
      </w:r>
      <w:r>
        <w:rPr>
          <w:vertAlign w:val="superscript"/>
        </w:rPr>
        <w:t>®</w:t>
      </w:r>
      <w:r>
        <w:t xml:space="preserve"> canola oil </w:t>
      </w:r>
      <w:proofErr w:type="gramStart"/>
      <w:r>
        <w:t>has been assessed and approved for human consumption in Australia by Food Standards Australia New Zealand (FSANZ)</w:t>
      </w:r>
      <w:proofErr w:type="gramEnd"/>
      <w:r>
        <w:t>.</w:t>
      </w:r>
    </w:p>
    <w:p w:rsidR="00637CB5" w:rsidRDefault="00637CB5" w:rsidP="00637CB5"/>
    <w:p w:rsidR="00637CB5" w:rsidRDefault="00637CB5" w:rsidP="00637CB5">
      <w:r>
        <w:t xml:space="preserve">“We prepared the risk assessment of Monsanto’s application in close consultation with a wide range of expert groups and authorities.  I also received valuable input from the extended public feedback process,” Dr Meek said.  </w:t>
      </w:r>
    </w:p>
    <w:p w:rsidR="00637CB5" w:rsidRDefault="00637CB5" w:rsidP="00637CB5"/>
    <w:p w:rsidR="00637CB5" w:rsidRDefault="00637CB5" w:rsidP="00637CB5">
      <w:r>
        <w:t>“The comprehensive risk assessment has demonstrated to me that the commercial scale release of Roundup Ready</w:t>
      </w:r>
      <w:r>
        <w:rPr>
          <w:vertAlign w:val="superscript"/>
        </w:rPr>
        <w:sym w:font="Symbol" w:char="F0E2"/>
      </w:r>
      <w:r>
        <w:t xml:space="preserve"> canola will not pose a risk to human health and safety or the environment.” </w:t>
      </w:r>
    </w:p>
    <w:p w:rsidR="00637CB5" w:rsidRDefault="00637CB5" w:rsidP="00637CB5">
      <w:pPr>
        <w:pStyle w:val="Header"/>
        <w:tabs>
          <w:tab w:val="clear" w:pos="4153"/>
          <w:tab w:val="clear" w:pos="8306"/>
        </w:tabs>
      </w:pPr>
    </w:p>
    <w:p w:rsidR="00637CB5" w:rsidRDefault="00637CB5" w:rsidP="00637CB5">
      <w:r>
        <w:t>During the evaluation of Roundup Ready</w:t>
      </w:r>
      <w:r>
        <w:rPr>
          <w:vertAlign w:val="superscript"/>
        </w:rPr>
        <w:t>®</w:t>
      </w:r>
      <w:r>
        <w:t xml:space="preserve"> canola, the potential for development of herbicide-resistant weeds if glyphosate </w:t>
      </w:r>
      <w:proofErr w:type="gramStart"/>
      <w:r>
        <w:t>is used</w:t>
      </w:r>
      <w:proofErr w:type="gramEnd"/>
      <w:r>
        <w:t xml:space="preserve"> inappropriately was identified.  </w:t>
      </w:r>
    </w:p>
    <w:p w:rsidR="00637CB5" w:rsidRDefault="00637CB5" w:rsidP="00637CB5"/>
    <w:p w:rsidR="00637CB5" w:rsidRDefault="00637CB5" w:rsidP="00637CB5">
      <w:r>
        <w:t>The Australian Pesticides and Veterinary Medicines Authority (APVMA), which is responsible for the registration of agricultural chemicals, has today also approved the use of Roundup Ready</w:t>
      </w:r>
      <w:r>
        <w:rPr>
          <w:vertAlign w:val="superscript"/>
        </w:rPr>
        <w:t>®</w:t>
      </w:r>
      <w:r>
        <w:t xml:space="preserve"> herbicide for weed control in Roundup Ready</w:t>
      </w:r>
      <w:r>
        <w:rPr>
          <w:vertAlign w:val="superscript"/>
        </w:rPr>
        <w:t>®</w:t>
      </w:r>
      <w:r>
        <w:t xml:space="preserve"> canola crops. </w:t>
      </w:r>
    </w:p>
    <w:p w:rsidR="00637CB5" w:rsidRDefault="00637CB5" w:rsidP="00637CB5"/>
    <w:p w:rsidR="00637CB5" w:rsidRDefault="00637CB5" w:rsidP="00637CB5">
      <w:r>
        <w:t>“The APVMA has also undertaken an extensive assessment of the Roundup Ready</w:t>
      </w:r>
      <w:r>
        <w:rPr>
          <w:vertAlign w:val="superscript"/>
        </w:rPr>
        <w:t xml:space="preserve">® </w:t>
      </w:r>
      <w:r>
        <w:t>herbicide during which the potential for the development of herbicide resistance was evaluated,” Dr Meek said.</w:t>
      </w:r>
    </w:p>
    <w:p w:rsidR="00637CB5" w:rsidRDefault="00637CB5" w:rsidP="00637CB5">
      <w:r>
        <w:t xml:space="preserve"> </w:t>
      </w:r>
    </w:p>
    <w:p w:rsidR="00637CB5" w:rsidRDefault="00637CB5" w:rsidP="00637CB5">
      <w:r>
        <w:t>“As a result, the APVMA has applied a number of conditions on the registration of Roundup Ready</w:t>
      </w:r>
      <w:r>
        <w:rPr>
          <w:vertAlign w:val="superscript"/>
        </w:rPr>
        <w:t>®</w:t>
      </w:r>
      <w:r>
        <w:t xml:space="preserve"> herbicide to ensure responsible management of Roundup Ready</w:t>
      </w:r>
      <w:r>
        <w:rPr>
          <w:vertAlign w:val="superscript"/>
        </w:rPr>
        <w:t>®</w:t>
      </w:r>
      <w:r>
        <w:t xml:space="preserve"> herbicide use on Roundup Ready</w:t>
      </w:r>
      <w:r>
        <w:rPr>
          <w:vertAlign w:val="superscript"/>
        </w:rPr>
        <w:t>®</w:t>
      </w:r>
      <w:r>
        <w:t xml:space="preserve"> canola, and to minimise the risk of development of herbicide resistance.”</w:t>
      </w:r>
    </w:p>
    <w:p w:rsidR="00637CB5" w:rsidRDefault="00637CB5" w:rsidP="00637CB5"/>
    <w:p w:rsidR="00637CB5" w:rsidRDefault="00637CB5" w:rsidP="00637CB5">
      <w:pPr>
        <w:keepNext/>
        <w:keepLines/>
      </w:pPr>
      <w:r>
        <w:lastRenderedPageBreak/>
        <w:t>Dr Meek said that during the evaluation, concerns were expressed about possible economic and market impacts if Roundup Ready</w:t>
      </w:r>
      <w:r>
        <w:rPr>
          <w:vertAlign w:val="superscript"/>
        </w:rPr>
        <w:t>®</w:t>
      </w:r>
      <w:r>
        <w:t xml:space="preserve"> canola spreads to adjoining farms. </w:t>
      </w:r>
    </w:p>
    <w:p w:rsidR="00637CB5" w:rsidRDefault="00637CB5" w:rsidP="00637CB5">
      <w:pPr>
        <w:keepNext/>
        <w:keepLines/>
      </w:pPr>
    </w:p>
    <w:p w:rsidR="00637CB5" w:rsidRDefault="00637CB5" w:rsidP="00637CB5">
      <w:pPr>
        <w:keepNext/>
        <w:keepLines/>
      </w:pPr>
      <w:r>
        <w:t>“I am advised that unwanted Roundup Ready</w:t>
      </w:r>
      <w:r>
        <w:rPr>
          <w:vertAlign w:val="superscript"/>
        </w:rPr>
        <w:t>®</w:t>
      </w:r>
      <w:r>
        <w:t xml:space="preserve"> canola plants can be effectively removed with a range of approved herbicides and mechanical weed control methods.  Using a mixture of weed control options is consistent with integrated weed management practice,” she said.</w:t>
      </w:r>
    </w:p>
    <w:p w:rsidR="00637CB5" w:rsidRDefault="00637CB5" w:rsidP="00637CB5"/>
    <w:p w:rsidR="00637CB5" w:rsidRDefault="00637CB5" w:rsidP="00637CB5">
      <w:r>
        <w:t>“I also understand that a number of industry initiatives have also been developed to facilitate segregation of GM from non-GM canola.  Industry and State governments are also consulting on the marketability and trade issues, as distinct from health, safety and environmental issues.”</w:t>
      </w:r>
    </w:p>
    <w:p w:rsidR="00637CB5" w:rsidRDefault="00637CB5" w:rsidP="00637CB5"/>
    <w:p w:rsidR="00637CB5" w:rsidRDefault="00637CB5" w:rsidP="00637CB5">
      <w:pPr>
        <w:rPr>
          <w:b/>
        </w:rPr>
      </w:pPr>
      <w:r>
        <w:t xml:space="preserve">Further information on the Risk Assessment and Risk Management Plan, the evaluation process and the licence is available from the </w:t>
      </w:r>
      <w:hyperlink r:id="rId4" w:history="1">
        <w:r w:rsidRPr="004031CC">
          <w:rPr>
            <w:rStyle w:val="Hyperlink"/>
          </w:rPr>
          <w:t>OGTR website.</w:t>
        </w:r>
      </w:hyperlink>
    </w:p>
    <w:p w:rsidR="00637CB5" w:rsidRDefault="00637CB5" w:rsidP="00637CB5">
      <w:pPr>
        <w:pStyle w:val="Header"/>
        <w:tabs>
          <w:tab w:val="clear" w:pos="4153"/>
          <w:tab w:val="clear" w:pos="8306"/>
        </w:tabs>
        <w:rPr>
          <w:b/>
        </w:rPr>
      </w:pPr>
    </w:p>
    <w:p w:rsidR="00637CB5" w:rsidRDefault="00637CB5" w:rsidP="00637CB5">
      <w:pPr>
        <w:pStyle w:val="Header"/>
        <w:tabs>
          <w:tab w:val="clear" w:pos="4153"/>
          <w:tab w:val="clear" w:pos="8306"/>
        </w:tabs>
        <w:spacing w:line="264" w:lineRule="auto"/>
        <w:rPr>
          <w:b/>
        </w:rPr>
      </w:pPr>
    </w:p>
    <w:p w:rsidR="00637CB5" w:rsidRDefault="00637CB5" w:rsidP="00637CB5">
      <w:pPr>
        <w:pStyle w:val="Header"/>
        <w:tabs>
          <w:tab w:val="clear" w:pos="4153"/>
          <w:tab w:val="clear" w:pos="8306"/>
        </w:tabs>
        <w:spacing w:line="264" w:lineRule="auto"/>
        <w:rPr>
          <w:b/>
        </w:rPr>
      </w:pPr>
    </w:p>
    <w:p w:rsidR="00637CB5" w:rsidRDefault="00637CB5" w:rsidP="00637CB5">
      <w:pPr>
        <w:pStyle w:val="Header"/>
        <w:tabs>
          <w:tab w:val="clear" w:pos="4153"/>
          <w:tab w:val="clear" w:pos="8306"/>
        </w:tabs>
        <w:spacing w:line="264" w:lineRule="auto"/>
        <w:rPr>
          <w:b/>
        </w:rPr>
      </w:pPr>
      <w:r>
        <w:rPr>
          <w:b/>
        </w:rPr>
        <w:t xml:space="preserve">Media inquiries:  </w:t>
      </w:r>
    </w:p>
    <w:p w:rsidR="00637CB5" w:rsidRDefault="00637CB5" w:rsidP="00637CB5">
      <w:pPr>
        <w:pStyle w:val="Heading1"/>
      </w:pPr>
      <w:r>
        <w:t xml:space="preserve">Kay </w:t>
      </w:r>
      <w:proofErr w:type="spellStart"/>
      <w:r>
        <w:t>McNiece</w:t>
      </w:r>
      <w:proofErr w:type="spellEnd"/>
      <w:r>
        <w:t xml:space="preserve">, OGTR Media </w:t>
      </w:r>
      <w:proofErr w:type="gramStart"/>
      <w:r>
        <w:t>Adviser  0412</w:t>
      </w:r>
      <w:proofErr w:type="gramEnd"/>
      <w:r>
        <w:t xml:space="preserve"> 132 585</w:t>
      </w:r>
    </w:p>
    <w:p w:rsidR="00637CB5" w:rsidRDefault="00637CB5" w:rsidP="00637CB5"/>
    <w:p w:rsidR="00637CB5" w:rsidRDefault="00637CB5" w:rsidP="00637CB5"/>
    <w:p w:rsidR="00637CB5" w:rsidRDefault="00637CB5" w:rsidP="00637CB5"/>
    <w:p w:rsidR="00637CB5" w:rsidRDefault="00637CB5" w:rsidP="00637CB5">
      <w:pPr>
        <w:pStyle w:val="Header"/>
        <w:tabs>
          <w:tab w:val="clear" w:pos="4153"/>
          <w:tab w:val="clear" w:pos="8306"/>
        </w:tabs>
        <w:spacing w:after="120"/>
        <w:rPr>
          <w:b/>
          <w:sz w:val="22"/>
        </w:rPr>
      </w:pPr>
      <w:r>
        <w:rPr>
          <w:b/>
          <w:sz w:val="22"/>
        </w:rPr>
        <w:t>Further information on the Australian regulatory approvals for Roundup Ready</w:t>
      </w:r>
      <w:r>
        <w:rPr>
          <w:vertAlign w:val="superscript"/>
        </w:rPr>
        <w:t>®</w:t>
      </w:r>
      <w:r>
        <w:rPr>
          <w:b/>
          <w:sz w:val="22"/>
        </w:rPr>
        <w:t xml:space="preserve"> canola is available </w:t>
      </w:r>
      <w:proofErr w:type="gramStart"/>
      <w:r>
        <w:rPr>
          <w:b/>
          <w:sz w:val="22"/>
        </w:rPr>
        <w:t>from</w:t>
      </w:r>
      <w:proofErr w:type="gramEnd"/>
      <w:r>
        <w:rPr>
          <w:b/>
          <w:sz w:val="22"/>
        </w:rPr>
        <w:t>:</w:t>
      </w:r>
    </w:p>
    <w:p w:rsidR="00637CB5" w:rsidRDefault="00637CB5" w:rsidP="00637CB5">
      <w:pPr>
        <w:pStyle w:val="Header"/>
        <w:tabs>
          <w:tab w:val="clear" w:pos="4153"/>
          <w:tab w:val="clear" w:pos="8306"/>
        </w:tabs>
        <w:rPr>
          <w:b/>
        </w:rPr>
      </w:pPr>
      <w:hyperlink r:id="rId5" w:history="1">
        <w:r w:rsidRPr="004031CC">
          <w:rPr>
            <w:rStyle w:val="Hyperlink"/>
            <w:b/>
          </w:rPr>
          <w:t>OGTR</w:t>
        </w:r>
      </w:hyperlink>
      <w:r>
        <w:rPr>
          <w:b/>
        </w:rPr>
        <w:t xml:space="preserve"> </w:t>
      </w:r>
    </w:p>
    <w:p w:rsidR="00637CB5" w:rsidRDefault="00637CB5" w:rsidP="00637CB5">
      <w:pPr>
        <w:pStyle w:val="Header"/>
        <w:tabs>
          <w:tab w:val="clear" w:pos="4153"/>
          <w:tab w:val="clear" w:pos="8306"/>
        </w:tabs>
        <w:spacing w:before="120"/>
        <w:rPr>
          <w:b/>
        </w:rPr>
      </w:pPr>
      <w:hyperlink r:id="rId6" w:history="1">
        <w:r w:rsidRPr="004031CC">
          <w:rPr>
            <w:rStyle w:val="Hyperlink"/>
            <w:b/>
          </w:rPr>
          <w:t>APVMA</w:t>
        </w:r>
      </w:hyperlink>
    </w:p>
    <w:p w:rsidR="00637CB5" w:rsidRDefault="00637CB5" w:rsidP="00637CB5">
      <w:pPr>
        <w:pStyle w:val="Header"/>
        <w:tabs>
          <w:tab w:val="clear" w:pos="4153"/>
          <w:tab w:val="clear" w:pos="8306"/>
        </w:tabs>
        <w:spacing w:before="120"/>
        <w:rPr>
          <w:b/>
        </w:rPr>
      </w:pPr>
      <w:hyperlink r:id="rId7" w:history="1">
        <w:r w:rsidRPr="004031CC">
          <w:rPr>
            <w:rStyle w:val="Hyperlink"/>
            <w:b/>
          </w:rPr>
          <w:t>FSANZ</w:t>
        </w:r>
      </w:hyperlink>
    </w:p>
    <w:p w:rsidR="00637CB5" w:rsidRDefault="00637CB5" w:rsidP="00637CB5"/>
    <w:p w:rsidR="00F44296" w:rsidRDefault="00F44296">
      <w:bookmarkStart w:id="0" w:name="_GoBack"/>
      <w:bookmarkEnd w:id="0"/>
    </w:p>
    <w:sectPr w:rsidR="00F44296">
      <w:pgSz w:w="11906" w:h="16838"/>
      <w:pgMar w:top="1440" w:right="1440" w:bottom="1440" w:left="1440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B5"/>
    <w:rsid w:val="00637CB5"/>
    <w:rsid w:val="00F4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C1F37-8D69-47D7-BAD5-3D4CEC69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C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37CB5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CB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637C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637CB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637CB5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637CB5"/>
    <w:pPr>
      <w:spacing w:line="240" w:lineRule="atLeast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637CB5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odstandards.gov.au/standardsdevelopment/applications/applicationa363foodp951.cfm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vices.apvma.gov.au/PubcrisWebApp/ProductDetails?tab=General&amp;prodCode=54112" TargetMode="External"/><Relationship Id="rId5" Type="http://schemas.openxmlformats.org/officeDocument/2006/relationships/hyperlink" Target="http://www.ogtr.gov.au" TargetMode="External"/><Relationship Id="rId4" Type="http://schemas.openxmlformats.org/officeDocument/2006/relationships/hyperlink" Target="http://www.ogtr.gov.au.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020 - Media Release</dc:title>
  <dc:subject/>
  <dc:creator>OGTR.Voicemail@health.gov.au</dc:creator>
  <cp:keywords/>
  <dc:description/>
  <cp:lastModifiedBy>SMITH, Justine</cp:lastModifiedBy>
  <cp:revision>1</cp:revision>
  <dcterms:created xsi:type="dcterms:W3CDTF">2020-12-02T01:46:00Z</dcterms:created>
  <dcterms:modified xsi:type="dcterms:W3CDTF">2020-12-02T01:47:00Z</dcterms:modified>
</cp:coreProperties>
</file>